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5761"/>
        <w:tblOverlap w:val="never"/>
        <w:tblW w:w="9369" w:type="dxa"/>
        <w:tblLayout w:type="fixed"/>
        <w:tblCellMar>
          <w:left w:w="0" w:type="dxa"/>
          <w:right w:w="72" w:type="dxa"/>
        </w:tblCellMar>
        <w:tblLook w:val="01E0" w:firstRow="1" w:lastRow="1" w:firstColumn="1" w:lastColumn="1" w:noHBand="0" w:noVBand="0"/>
      </w:tblPr>
      <w:tblGrid>
        <w:gridCol w:w="9369"/>
      </w:tblGrid>
      <w:tr w:rsidR="00625AFC" w:rsidRPr="00EC4181" w14:paraId="74DE0EFA" w14:textId="77777777" w:rsidTr="00B0580A">
        <w:trPr>
          <w:trHeight w:val="2880"/>
        </w:trPr>
        <w:tc>
          <w:tcPr>
            <w:tcW w:w="9369" w:type="dxa"/>
            <w:tcBorders>
              <w:top w:val="nil"/>
              <w:left w:val="nil"/>
              <w:bottom w:val="nil"/>
              <w:right w:val="nil"/>
            </w:tcBorders>
            <w:vAlign w:val="bottom"/>
          </w:tcPr>
          <w:p w14:paraId="2B8D37A8" w14:textId="77777777" w:rsidR="007F768C" w:rsidRDefault="007F768C" w:rsidP="007F768C">
            <w:pPr>
              <w:pStyle w:val="RptCover-Title"/>
            </w:pPr>
            <w:bookmarkStart w:id="0" w:name="_GoBack"/>
            <w:bookmarkEnd w:id="0"/>
            <w:r>
              <w:t>Remedial Investigation/</w:t>
            </w:r>
          </w:p>
          <w:p w14:paraId="639CF009" w14:textId="24C99E23" w:rsidR="007F768C" w:rsidRDefault="007F768C" w:rsidP="007F768C">
            <w:pPr>
              <w:pStyle w:val="RptCover-Title"/>
            </w:pPr>
            <w:r>
              <w:t xml:space="preserve">Feasibility Study and </w:t>
            </w:r>
          </w:p>
          <w:p w14:paraId="57526213" w14:textId="77777777" w:rsidR="007F768C" w:rsidRPr="007F768C" w:rsidRDefault="007F768C" w:rsidP="007F768C">
            <w:pPr>
              <w:pStyle w:val="RptCover-Subtitle"/>
              <w:framePr w:hSpace="0" w:wrap="auto" w:vAnchor="margin" w:hAnchor="text" w:yAlign="inline"/>
              <w:suppressOverlap w:val="0"/>
              <w:rPr>
                <w:color w:val="4D4D4D"/>
                <w:sz w:val="40"/>
              </w:rPr>
            </w:pPr>
            <w:r w:rsidRPr="007F768C">
              <w:rPr>
                <w:color w:val="4D4D4D"/>
                <w:sz w:val="40"/>
              </w:rPr>
              <w:t xml:space="preserve">Cleanup Action Plan </w:t>
            </w:r>
          </w:p>
          <w:p w14:paraId="4FA1BDC5" w14:textId="62184572" w:rsidR="007F768C" w:rsidRDefault="007F768C" w:rsidP="007F768C">
            <w:pPr>
              <w:pStyle w:val="RptCover-Subtitle"/>
              <w:framePr w:hSpace="0" w:wrap="auto" w:vAnchor="margin" w:hAnchor="text" w:yAlign="inline"/>
              <w:suppressOverlap w:val="0"/>
            </w:pPr>
            <w:r>
              <w:t>Former WSDOT Potlatch Maintenance Facility, Skokomish, Washington Facility/Site #14549</w:t>
            </w:r>
          </w:p>
          <w:p w14:paraId="40EA3AC9" w14:textId="781B223E" w:rsidR="0089374B" w:rsidRPr="00D36A3A" w:rsidRDefault="007F768C" w:rsidP="007F768C">
            <w:pPr>
              <w:pStyle w:val="RptCover-Subtitle"/>
              <w:framePr w:hSpace="0" w:wrap="auto" w:vAnchor="margin" w:hAnchor="text" w:yAlign="inline"/>
              <w:suppressOverlap w:val="0"/>
            </w:pPr>
            <w:r>
              <w:t>Cleanup Site #12397</w:t>
            </w:r>
            <w:r w:rsidR="008307F0">
              <w:br/>
            </w:r>
            <w:r>
              <w:t>VCP Project #SW1405</w:t>
            </w:r>
          </w:p>
        </w:tc>
      </w:tr>
      <w:tr w:rsidR="00625AFC" w:rsidRPr="00EC4181" w14:paraId="1D743FAC" w14:textId="77777777" w:rsidTr="00B0580A">
        <w:trPr>
          <w:trHeight w:hRule="exact" w:val="288"/>
        </w:trPr>
        <w:tc>
          <w:tcPr>
            <w:tcW w:w="9369" w:type="dxa"/>
            <w:tcBorders>
              <w:top w:val="nil"/>
              <w:left w:val="nil"/>
              <w:bottom w:val="nil"/>
              <w:right w:val="nil"/>
            </w:tcBorders>
            <w:vAlign w:val="bottom"/>
          </w:tcPr>
          <w:p w14:paraId="05F1847C" w14:textId="77777777" w:rsidR="00625AFC" w:rsidRPr="00EC4181" w:rsidRDefault="00625AFC" w:rsidP="00B0580A"/>
        </w:tc>
      </w:tr>
      <w:tr w:rsidR="00625AFC" w:rsidRPr="00EC4181" w14:paraId="244E5F7F" w14:textId="77777777" w:rsidTr="007F768C">
        <w:trPr>
          <w:trHeight w:hRule="exact" w:val="4680"/>
        </w:trPr>
        <w:tc>
          <w:tcPr>
            <w:tcW w:w="9369" w:type="dxa"/>
            <w:tcBorders>
              <w:top w:val="nil"/>
              <w:left w:val="nil"/>
              <w:bottom w:val="nil"/>
              <w:right w:val="nil"/>
            </w:tcBorders>
            <w:vAlign w:val="center"/>
          </w:tcPr>
          <w:p w14:paraId="0FBB6CEC" w14:textId="77777777" w:rsidR="00625AFC" w:rsidRPr="00EC4181" w:rsidRDefault="00625AFC" w:rsidP="00B0580A">
            <w:pPr>
              <w:jc w:val="center"/>
            </w:pPr>
          </w:p>
        </w:tc>
      </w:tr>
    </w:tbl>
    <w:p w14:paraId="6DB242BB" w14:textId="77777777" w:rsidR="00643D61" w:rsidRPr="00D36A3A" w:rsidRDefault="00E575B4" w:rsidP="00D36A3A">
      <w:pPr>
        <w:pStyle w:val="RptCover-InfoLevel1"/>
      </w:pPr>
      <w:r w:rsidRPr="00D36A3A">
        <w:fldChar w:fldCharType="begin"/>
      </w:r>
      <w:r w:rsidRPr="00D36A3A">
        <w:instrText xml:space="preserve"> ADVANCE  \d 36 </w:instrText>
      </w:r>
      <w:r w:rsidRPr="00D36A3A">
        <w:fldChar w:fldCharType="end"/>
      </w:r>
      <w:r w:rsidR="00643D61" w:rsidRPr="00D36A3A">
        <w:t>Prepared for</w:t>
      </w:r>
    </w:p>
    <w:p w14:paraId="58FE9C7A" w14:textId="657D4DC5" w:rsidR="006A5189" w:rsidRDefault="00EF2184" w:rsidP="006A5189">
      <w:pPr>
        <w:pStyle w:val="RptCover-InfoLevel2"/>
      </w:pPr>
      <w:bookmarkStart w:id="1" w:name="SD_LAN_Documenttype_N1"/>
      <w:r>
        <w:t xml:space="preserve">Skokomish </w:t>
      </w:r>
      <w:r w:rsidR="0017590B">
        <w:t xml:space="preserve">Indian </w:t>
      </w:r>
      <w:r>
        <w:t>Tribe</w:t>
      </w:r>
    </w:p>
    <w:p w14:paraId="3AC5E4CA" w14:textId="567EACB6" w:rsidR="006A5189" w:rsidRPr="00603C80" w:rsidRDefault="00EF2184" w:rsidP="006A5189">
      <w:pPr>
        <w:pStyle w:val="RptCover-InfoLevel2"/>
      </w:pPr>
      <w:r>
        <w:t>Skokomish, Washington</w:t>
      </w:r>
    </w:p>
    <w:p w14:paraId="686237B0" w14:textId="77777777" w:rsidR="00643D61" w:rsidRPr="00D36A3A" w:rsidRDefault="00643D61" w:rsidP="00D36A3A">
      <w:pPr>
        <w:pStyle w:val="RptCover-InfoLevel1"/>
      </w:pPr>
      <w:r w:rsidRPr="00D36A3A">
        <w:t>Prepared by</w:t>
      </w:r>
    </w:p>
    <w:p w14:paraId="1AFF4710" w14:textId="2E8DD7E6" w:rsidR="00E575B4" w:rsidRDefault="0064405F" w:rsidP="00643D61">
      <w:pPr>
        <w:pStyle w:val="RptCover-InfoLevel2"/>
      </w:pPr>
      <w:r>
        <w:t xml:space="preserve">Ramboll </w:t>
      </w:r>
      <w:r w:rsidR="00E575B4">
        <w:t>US C</w:t>
      </w:r>
      <w:r w:rsidR="00EF2184">
        <w:t>onsulting, Inc.</w:t>
      </w:r>
    </w:p>
    <w:p w14:paraId="4E55E869" w14:textId="1C48357E" w:rsidR="00643D61" w:rsidRPr="00603C80" w:rsidRDefault="00EF2184" w:rsidP="00643D61">
      <w:pPr>
        <w:pStyle w:val="RptCover-InfoLevel2"/>
      </w:pPr>
      <w:r>
        <w:t>Seattle</w:t>
      </w:r>
      <w:r w:rsidR="00EA3755">
        <w:t xml:space="preserve">, </w:t>
      </w:r>
      <w:r>
        <w:t>Washington</w:t>
      </w:r>
    </w:p>
    <w:bookmarkEnd w:id="1"/>
    <w:p w14:paraId="50C1D571" w14:textId="77777777" w:rsidR="00643D61" w:rsidRPr="00D36A3A" w:rsidRDefault="00E575B4" w:rsidP="00D36A3A">
      <w:pPr>
        <w:pStyle w:val="RptCover-InfoLevel1"/>
      </w:pPr>
      <w:r w:rsidRPr="00D36A3A">
        <w:t>Project Number</w:t>
      </w:r>
    </w:p>
    <w:p w14:paraId="37262CF6" w14:textId="20CA411B" w:rsidR="00643D61" w:rsidRPr="00603C80" w:rsidRDefault="000961B2" w:rsidP="00643D61">
      <w:pPr>
        <w:pStyle w:val="RptCover-InfoLevel2"/>
      </w:pPr>
      <w:r>
        <w:t>1690023782</w:t>
      </w:r>
    </w:p>
    <w:p w14:paraId="4E97BC32" w14:textId="77777777" w:rsidR="00643D61" w:rsidRPr="00D36A3A" w:rsidRDefault="00643D61" w:rsidP="00D36A3A">
      <w:pPr>
        <w:pStyle w:val="RptCover-InfoLevel1"/>
      </w:pPr>
      <w:bookmarkStart w:id="2" w:name="SD_LAN_Date_N2"/>
      <w:r w:rsidRPr="00D36A3A">
        <w:t>Date</w:t>
      </w:r>
      <w:bookmarkEnd w:id="2"/>
    </w:p>
    <w:p w14:paraId="2E1BBA68" w14:textId="01326312" w:rsidR="00643D61" w:rsidRPr="00603C80" w:rsidRDefault="00814910" w:rsidP="00643D61">
      <w:pPr>
        <w:pStyle w:val="RptCover-InfoLevel2"/>
      </w:pPr>
      <w:r>
        <w:t>March</w:t>
      </w:r>
      <w:r w:rsidR="00AF592E">
        <w:t xml:space="preserve"> </w:t>
      </w:r>
      <w:r w:rsidR="00843EB7">
        <w:t>2022</w:t>
      </w:r>
    </w:p>
    <w:p w14:paraId="78CB055D" w14:textId="77777777" w:rsidR="00643D61" w:rsidRPr="00603C80" w:rsidRDefault="00643D61" w:rsidP="00643D61"/>
    <w:p w14:paraId="1F99BBF8" w14:textId="77777777" w:rsidR="00567ED6" w:rsidRPr="00EC4181" w:rsidRDefault="00567ED6" w:rsidP="00643D61">
      <w:pPr>
        <w:sectPr w:rsidR="00567ED6" w:rsidRPr="00EC4181" w:rsidSect="00942FE5">
          <w:headerReference w:type="even" r:id="rId11"/>
          <w:headerReference w:type="default" r:id="rId12"/>
          <w:footerReference w:type="default" r:id="rId13"/>
          <w:headerReference w:type="first" r:id="rId14"/>
          <w:footerReference w:type="first" r:id="rId15"/>
          <w:type w:val="continuous"/>
          <w:pgSz w:w="12240" w:h="15840" w:code="1"/>
          <w:pgMar w:top="1440" w:right="1440" w:bottom="1440" w:left="1440" w:header="720" w:footer="720" w:gutter="0"/>
          <w:cols w:space="708"/>
          <w:titlePg/>
          <w:docGrid w:linePitch="360"/>
        </w:sectPr>
      </w:pPr>
    </w:p>
    <w:p w14:paraId="67CCE43F" w14:textId="77777777" w:rsidR="00B45FE9" w:rsidRDefault="008E37F2" w:rsidP="00270371">
      <w:pPr>
        <w:pStyle w:val="RptHeading-Level0"/>
      </w:pPr>
      <w:r>
        <w:lastRenderedPageBreak/>
        <w:t>Prepared By</w:t>
      </w:r>
    </w:p>
    <w:p w14:paraId="3A5D25D8" w14:textId="77777777" w:rsidR="0099735C" w:rsidRDefault="0099735C" w:rsidP="00D36A3A">
      <w:pPr>
        <w:pStyle w:val="RptBodyText-LeftJustified"/>
      </w:pPr>
    </w:p>
    <w:p w14:paraId="2281AAF5" w14:textId="77777777" w:rsidR="008E37F2" w:rsidRPr="00816396" w:rsidRDefault="008E37F2" w:rsidP="00D36A3A">
      <w:pPr>
        <w:pStyle w:val="RptBodyText-LeftJustified"/>
      </w:pPr>
    </w:p>
    <w:p w14:paraId="63884A86" w14:textId="77777777" w:rsidR="0099735C" w:rsidRPr="00816396" w:rsidRDefault="0099735C" w:rsidP="00D36A3A">
      <w:pPr>
        <w:pStyle w:val="RptBodyText-LeftJustified"/>
      </w:pPr>
    </w:p>
    <w:p w14:paraId="4280D376" w14:textId="48D1ECBD" w:rsidR="0099735C" w:rsidRPr="00816396" w:rsidRDefault="0099735C" w:rsidP="00D36A3A">
      <w:pPr>
        <w:pStyle w:val="RptBodyText-LeftJustified"/>
      </w:pPr>
      <w:r w:rsidRPr="00816396">
        <w:t>___________________________________</w:t>
      </w:r>
      <w:r w:rsidRPr="00816396">
        <w:br/>
      </w:r>
      <w:r w:rsidR="000961B2">
        <w:t>Scott Shock, PE</w:t>
      </w:r>
      <w:r w:rsidR="00942FE5">
        <w:br/>
      </w:r>
      <w:r w:rsidR="000961B2">
        <w:t>Principal</w:t>
      </w:r>
    </w:p>
    <w:p w14:paraId="3E6D1824" w14:textId="77777777" w:rsidR="0099735C" w:rsidRDefault="0099735C" w:rsidP="00D36A3A">
      <w:pPr>
        <w:pStyle w:val="RptBodyText-LeftJustified"/>
      </w:pPr>
    </w:p>
    <w:p w14:paraId="7A43EE99" w14:textId="77777777" w:rsidR="00A37904" w:rsidRDefault="00A37904" w:rsidP="00D36A3A">
      <w:pPr>
        <w:pStyle w:val="RptBodyText-LeftJustified"/>
      </w:pPr>
    </w:p>
    <w:p w14:paraId="1B255567" w14:textId="77777777" w:rsidR="00A37904" w:rsidRDefault="00A37904" w:rsidP="00D36A3A">
      <w:pPr>
        <w:pStyle w:val="RptBodyText-LeftJustified"/>
      </w:pPr>
    </w:p>
    <w:p w14:paraId="024A009A" w14:textId="77777777" w:rsidR="00A37904" w:rsidRDefault="00A37904" w:rsidP="00D36A3A">
      <w:pPr>
        <w:pStyle w:val="RptBodyText-LeftJustified"/>
      </w:pPr>
    </w:p>
    <w:p w14:paraId="6C05BF8D" w14:textId="77777777" w:rsidR="00A37904" w:rsidRDefault="00A37904" w:rsidP="00D36A3A">
      <w:pPr>
        <w:pStyle w:val="RptBodyText-LeftJustified"/>
      </w:pPr>
    </w:p>
    <w:p w14:paraId="3392797D" w14:textId="77777777" w:rsidR="00A37904" w:rsidRDefault="00A37904" w:rsidP="00D36A3A">
      <w:pPr>
        <w:pStyle w:val="RptBodyText-LeftJustified"/>
      </w:pPr>
    </w:p>
    <w:p w14:paraId="19B98F4E" w14:textId="77777777" w:rsidR="00F479FA" w:rsidRDefault="00F479FA" w:rsidP="00D36A3A">
      <w:pPr>
        <w:pStyle w:val="RptBodyText-LeftJustified"/>
      </w:pPr>
    </w:p>
    <w:p w14:paraId="7714B7AB" w14:textId="77777777" w:rsidR="00F479FA" w:rsidRDefault="00F479FA" w:rsidP="00D36A3A">
      <w:pPr>
        <w:pStyle w:val="RptBodyText-LeftJustified"/>
      </w:pPr>
    </w:p>
    <w:p w14:paraId="0415755F" w14:textId="77777777" w:rsidR="00F479FA" w:rsidRDefault="00F479FA" w:rsidP="00D36A3A">
      <w:pPr>
        <w:pStyle w:val="RptBodyText-LeftJustified"/>
      </w:pPr>
    </w:p>
    <w:p w14:paraId="4D5B8CCD" w14:textId="77777777" w:rsidR="00F479FA" w:rsidRDefault="00F479FA" w:rsidP="00D36A3A">
      <w:pPr>
        <w:pStyle w:val="RptBodyText-LeftJustified"/>
      </w:pPr>
    </w:p>
    <w:p w14:paraId="05BA8EF7" w14:textId="77777777" w:rsidR="00F479FA" w:rsidRDefault="00F479FA" w:rsidP="00D36A3A">
      <w:pPr>
        <w:pStyle w:val="RptBodyText-LeftJustified"/>
      </w:pPr>
    </w:p>
    <w:p w14:paraId="154B8528" w14:textId="77777777" w:rsidR="00A37904" w:rsidRDefault="00A37904" w:rsidP="00D36A3A">
      <w:pPr>
        <w:pStyle w:val="RptBodyText-LeftJustified"/>
      </w:pPr>
    </w:p>
    <w:p w14:paraId="0D4013B8" w14:textId="77777777" w:rsidR="00A37904" w:rsidRDefault="00A37904" w:rsidP="00D36A3A">
      <w:pPr>
        <w:pStyle w:val="RptBodyText-LeftJustified"/>
      </w:pPr>
    </w:p>
    <w:p w14:paraId="6E41388E" w14:textId="77777777" w:rsidR="00A37904" w:rsidRDefault="00A37904" w:rsidP="00D36A3A">
      <w:pPr>
        <w:pStyle w:val="RptBodyText-LeftJustified"/>
      </w:pPr>
    </w:p>
    <w:p w14:paraId="0CE6B7DC" w14:textId="77777777" w:rsidR="00A37904" w:rsidRDefault="00A37904" w:rsidP="00D36A3A">
      <w:pPr>
        <w:pStyle w:val="RptBodyText-LeftJustified"/>
      </w:pPr>
    </w:p>
    <w:p w14:paraId="0A282C9F" w14:textId="77777777" w:rsidR="00A37904" w:rsidRDefault="00A37904" w:rsidP="00D36A3A">
      <w:pPr>
        <w:pStyle w:val="RptBodyText-LeftJustified"/>
        <w:rPr>
          <w:rStyle w:val="RptText-Bold"/>
        </w:rPr>
      </w:pPr>
    </w:p>
    <w:p w14:paraId="0EB7E210" w14:textId="77777777" w:rsidR="005473A0" w:rsidRDefault="005473A0" w:rsidP="00BB5E36">
      <w:pPr>
        <w:pStyle w:val="RptBodyText-LeftJustified"/>
        <w:spacing w:after="0" w:line="240" w:lineRule="auto"/>
        <w:rPr>
          <w:b/>
        </w:rPr>
      </w:pPr>
    </w:p>
    <w:p w14:paraId="42447DFE" w14:textId="019A76E5" w:rsidR="00706EDB" w:rsidRPr="00A4215C" w:rsidRDefault="00083389" w:rsidP="00BB5E36">
      <w:pPr>
        <w:pStyle w:val="RptBodyText-LeftJustified"/>
        <w:spacing w:after="0" w:line="240" w:lineRule="auto"/>
        <w:rPr>
          <w:b/>
        </w:rPr>
      </w:pPr>
      <w:r w:rsidRPr="00097569">
        <w:rPr>
          <w:b/>
        </w:rPr>
        <w:t>Ramboll US C</w:t>
      </w:r>
      <w:bookmarkStart w:id="3" w:name="SD_OFF_Address"/>
      <w:r w:rsidR="00EF2184">
        <w:rPr>
          <w:b/>
        </w:rPr>
        <w:t>onsulting, Inc.</w:t>
      </w:r>
      <w:r w:rsidR="000E544A" w:rsidRPr="00097569">
        <w:rPr>
          <w:b/>
        </w:rPr>
        <w:br/>
      </w:r>
      <w:bookmarkEnd w:id="3"/>
      <w:r w:rsidR="00EF2184">
        <w:rPr>
          <w:b/>
        </w:rPr>
        <w:t>901 5</w:t>
      </w:r>
      <w:r w:rsidR="00EF2184" w:rsidRPr="00EF2184">
        <w:rPr>
          <w:b/>
          <w:vertAlign w:val="superscript"/>
        </w:rPr>
        <w:t>th</w:t>
      </w:r>
      <w:r w:rsidR="00EF2184">
        <w:rPr>
          <w:b/>
        </w:rPr>
        <w:t xml:space="preserve"> Avenue</w:t>
      </w:r>
    </w:p>
    <w:p w14:paraId="58A255E2" w14:textId="776FFCDB" w:rsidR="00706EDB" w:rsidRPr="00A4215C" w:rsidRDefault="00706EDB" w:rsidP="00BB5E36">
      <w:pPr>
        <w:pStyle w:val="RptBodyText-LeftJustified"/>
        <w:spacing w:after="0" w:line="240" w:lineRule="auto"/>
        <w:rPr>
          <w:b/>
        </w:rPr>
      </w:pPr>
      <w:r w:rsidRPr="00A4215C">
        <w:rPr>
          <w:b/>
        </w:rPr>
        <w:t xml:space="preserve">Suite </w:t>
      </w:r>
      <w:r w:rsidR="00EF2184">
        <w:rPr>
          <w:b/>
        </w:rPr>
        <w:t>2820</w:t>
      </w:r>
    </w:p>
    <w:p w14:paraId="66C5AC6B" w14:textId="7D80BA2F" w:rsidR="00706EDB" w:rsidRPr="00A4215C" w:rsidRDefault="00EF2184" w:rsidP="00BB5E36">
      <w:pPr>
        <w:pStyle w:val="RptBodyText-LeftJustified"/>
        <w:spacing w:after="0" w:line="240" w:lineRule="auto"/>
        <w:rPr>
          <w:b/>
        </w:rPr>
      </w:pPr>
      <w:r>
        <w:rPr>
          <w:b/>
        </w:rPr>
        <w:t>Seattle, Washington 98164</w:t>
      </w:r>
    </w:p>
    <w:p w14:paraId="48748599" w14:textId="2B4E6952" w:rsidR="00706EDB" w:rsidRDefault="00EF2184" w:rsidP="00BB5E36">
      <w:pPr>
        <w:pStyle w:val="RptBodyText-LeftJustified"/>
        <w:spacing w:after="0" w:line="240" w:lineRule="auto"/>
        <w:rPr>
          <w:b/>
        </w:rPr>
      </w:pPr>
      <w:r>
        <w:rPr>
          <w:b/>
        </w:rPr>
        <w:t>(206) 336-1650</w:t>
      </w:r>
    </w:p>
    <w:p w14:paraId="39361AAB" w14:textId="667138FF" w:rsidR="00706EDB" w:rsidRPr="00A4215C" w:rsidRDefault="00EF2184" w:rsidP="00BB5E36">
      <w:pPr>
        <w:pStyle w:val="RptBodyText-LeftJustified"/>
        <w:spacing w:after="0" w:line="240" w:lineRule="auto"/>
        <w:rPr>
          <w:b/>
        </w:rPr>
      </w:pPr>
      <w:r>
        <w:rPr>
          <w:b/>
        </w:rPr>
        <w:t>(206) 336-1651</w:t>
      </w:r>
    </w:p>
    <w:p w14:paraId="6BA9F506" w14:textId="77777777" w:rsidR="0064405F" w:rsidRPr="00C7119D" w:rsidRDefault="0064405F" w:rsidP="00D36A3A">
      <w:pPr>
        <w:pStyle w:val="RptBodyText-LeftJustified"/>
        <w:rPr>
          <w:rStyle w:val="RptText-Underlined"/>
          <w:u w:val="none"/>
        </w:rPr>
        <w:sectPr w:rsidR="0064405F" w:rsidRPr="00C7119D" w:rsidSect="00942FE5">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08"/>
          <w:docGrid w:linePitch="360"/>
        </w:sectPr>
      </w:pPr>
    </w:p>
    <w:p w14:paraId="7229DE63" w14:textId="53942761" w:rsidR="0099735C" w:rsidRDefault="0099735C" w:rsidP="00270371">
      <w:pPr>
        <w:pStyle w:val="RptHeading-Level0"/>
      </w:pPr>
      <w:r w:rsidRPr="00270371">
        <w:lastRenderedPageBreak/>
        <w:t>Contents</w:t>
      </w:r>
    </w:p>
    <w:p w14:paraId="4B457BDE" w14:textId="77777777" w:rsidR="00075FA5" w:rsidRPr="009544DB" w:rsidRDefault="00075FA5" w:rsidP="00075FA5">
      <w:pPr>
        <w:pStyle w:val="RptTOCPageLine"/>
        <w:rPr>
          <w:rFonts w:ascii="Verdana" w:hAnsi="Verdana"/>
        </w:rPr>
      </w:pPr>
      <w:r w:rsidRPr="00075FA5">
        <w:tab/>
      </w:r>
      <w:r w:rsidRPr="009544DB">
        <w:rPr>
          <w:rFonts w:ascii="Verdana" w:hAnsi="Verdana"/>
          <w:sz w:val="18"/>
          <w:szCs w:val="18"/>
        </w:rPr>
        <w:t>Page</w:t>
      </w:r>
    </w:p>
    <w:p w14:paraId="49EA88DB" w14:textId="25CD8B46" w:rsidR="00B663AB" w:rsidRDefault="00097569">
      <w:pPr>
        <w:pStyle w:val="TOC1"/>
        <w:rPr>
          <w:rFonts w:asciiTheme="minorHAnsi" w:eastAsiaTheme="minorEastAsia" w:hAnsiTheme="minorHAnsi" w:cstheme="minorBidi"/>
          <w:b w:val="0"/>
          <w:caps w:val="0"/>
          <w:sz w:val="22"/>
          <w:szCs w:val="22"/>
          <w:lang w:eastAsia="en-US"/>
        </w:rPr>
      </w:pPr>
      <w:r>
        <w:fldChar w:fldCharType="begin"/>
      </w:r>
      <w:r>
        <w:instrText xml:space="preserve"> TOC \h \z \u \t "(Rpt) Heading - Level 1,1,(Rpt) Heading - Level 2,2,(Rpt) Heading - Level 3,3" </w:instrText>
      </w:r>
      <w:r>
        <w:fldChar w:fldCharType="separate"/>
      </w:r>
      <w:hyperlink w:anchor="_Toc98847314" w:history="1">
        <w:r w:rsidR="00B663AB" w:rsidRPr="008C3D0C">
          <w:rPr>
            <w:rStyle w:val="Hyperlink"/>
          </w:rPr>
          <w:t>Limitations</w:t>
        </w:r>
        <w:r w:rsidR="00B663AB">
          <w:rPr>
            <w:webHidden/>
          </w:rPr>
          <w:tab/>
        </w:r>
        <w:r w:rsidR="00B663AB">
          <w:rPr>
            <w:webHidden/>
          </w:rPr>
          <w:fldChar w:fldCharType="begin"/>
        </w:r>
        <w:r w:rsidR="00B663AB">
          <w:rPr>
            <w:webHidden/>
          </w:rPr>
          <w:instrText xml:space="preserve"> PAGEREF _Toc98847314 \h </w:instrText>
        </w:r>
        <w:r w:rsidR="00B663AB">
          <w:rPr>
            <w:webHidden/>
          </w:rPr>
        </w:r>
        <w:r w:rsidR="00B663AB">
          <w:rPr>
            <w:webHidden/>
          </w:rPr>
          <w:fldChar w:fldCharType="separate"/>
        </w:r>
        <w:r w:rsidR="00B663AB">
          <w:rPr>
            <w:webHidden/>
          </w:rPr>
          <w:t>vii</w:t>
        </w:r>
        <w:r w:rsidR="00B663AB">
          <w:rPr>
            <w:webHidden/>
          </w:rPr>
          <w:fldChar w:fldCharType="end"/>
        </w:r>
      </w:hyperlink>
    </w:p>
    <w:p w14:paraId="459106F6" w14:textId="6330C949" w:rsidR="00B663AB" w:rsidRDefault="00C77D86">
      <w:pPr>
        <w:pStyle w:val="TOC1"/>
        <w:rPr>
          <w:rFonts w:asciiTheme="minorHAnsi" w:eastAsiaTheme="minorEastAsia" w:hAnsiTheme="minorHAnsi" w:cstheme="minorBidi"/>
          <w:b w:val="0"/>
          <w:caps w:val="0"/>
          <w:sz w:val="22"/>
          <w:szCs w:val="22"/>
          <w:lang w:eastAsia="en-US"/>
        </w:rPr>
      </w:pPr>
      <w:hyperlink w:anchor="_Toc98847315" w:history="1">
        <w:r w:rsidR="00B663AB" w:rsidRPr="008C3D0C">
          <w:rPr>
            <w:rStyle w:val="Hyperlink"/>
          </w:rPr>
          <w:t>Executive Summary</w:t>
        </w:r>
        <w:r w:rsidR="00B663AB">
          <w:rPr>
            <w:webHidden/>
          </w:rPr>
          <w:tab/>
        </w:r>
        <w:r w:rsidR="00B663AB">
          <w:rPr>
            <w:webHidden/>
          </w:rPr>
          <w:fldChar w:fldCharType="begin"/>
        </w:r>
        <w:r w:rsidR="00B663AB">
          <w:rPr>
            <w:webHidden/>
          </w:rPr>
          <w:instrText xml:space="preserve"> PAGEREF _Toc98847315 \h </w:instrText>
        </w:r>
        <w:r w:rsidR="00B663AB">
          <w:rPr>
            <w:webHidden/>
          </w:rPr>
        </w:r>
        <w:r w:rsidR="00B663AB">
          <w:rPr>
            <w:webHidden/>
          </w:rPr>
          <w:fldChar w:fldCharType="separate"/>
        </w:r>
        <w:r w:rsidR="00B663AB">
          <w:rPr>
            <w:webHidden/>
          </w:rPr>
          <w:t>1</w:t>
        </w:r>
        <w:r w:rsidR="00B663AB">
          <w:rPr>
            <w:webHidden/>
          </w:rPr>
          <w:fldChar w:fldCharType="end"/>
        </w:r>
      </w:hyperlink>
    </w:p>
    <w:p w14:paraId="67C4D731" w14:textId="75ABA149" w:rsidR="00B663AB" w:rsidRDefault="00C77D86">
      <w:pPr>
        <w:pStyle w:val="TOC1"/>
        <w:rPr>
          <w:rFonts w:asciiTheme="minorHAnsi" w:eastAsiaTheme="minorEastAsia" w:hAnsiTheme="minorHAnsi" w:cstheme="minorBidi"/>
          <w:b w:val="0"/>
          <w:caps w:val="0"/>
          <w:sz w:val="22"/>
          <w:szCs w:val="22"/>
          <w:lang w:eastAsia="en-US"/>
        </w:rPr>
      </w:pPr>
      <w:hyperlink w:anchor="_Toc98847316" w:history="1">
        <w:r w:rsidR="00B663AB" w:rsidRPr="008C3D0C">
          <w:rPr>
            <w:rStyle w:val="Hyperlink"/>
          </w:rPr>
          <w:t>1.</w:t>
        </w:r>
        <w:r w:rsidR="00B663AB">
          <w:rPr>
            <w:rFonts w:asciiTheme="minorHAnsi" w:eastAsiaTheme="minorEastAsia" w:hAnsiTheme="minorHAnsi" w:cstheme="minorBidi"/>
            <w:b w:val="0"/>
            <w:caps w:val="0"/>
            <w:sz w:val="22"/>
            <w:szCs w:val="22"/>
            <w:lang w:eastAsia="en-US"/>
          </w:rPr>
          <w:tab/>
        </w:r>
        <w:r w:rsidR="00B663AB" w:rsidRPr="008C3D0C">
          <w:rPr>
            <w:rStyle w:val="Hyperlink"/>
          </w:rPr>
          <w:t>Introduction</w:t>
        </w:r>
        <w:r w:rsidR="00B663AB">
          <w:rPr>
            <w:webHidden/>
          </w:rPr>
          <w:tab/>
        </w:r>
        <w:r w:rsidR="00B663AB">
          <w:rPr>
            <w:webHidden/>
          </w:rPr>
          <w:fldChar w:fldCharType="begin"/>
        </w:r>
        <w:r w:rsidR="00B663AB">
          <w:rPr>
            <w:webHidden/>
          </w:rPr>
          <w:instrText xml:space="preserve"> PAGEREF _Toc98847316 \h </w:instrText>
        </w:r>
        <w:r w:rsidR="00B663AB">
          <w:rPr>
            <w:webHidden/>
          </w:rPr>
        </w:r>
        <w:r w:rsidR="00B663AB">
          <w:rPr>
            <w:webHidden/>
          </w:rPr>
          <w:fldChar w:fldCharType="separate"/>
        </w:r>
        <w:r w:rsidR="00B663AB">
          <w:rPr>
            <w:webHidden/>
          </w:rPr>
          <w:t>5</w:t>
        </w:r>
        <w:r w:rsidR="00B663AB">
          <w:rPr>
            <w:webHidden/>
          </w:rPr>
          <w:fldChar w:fldCharType="end"/>
        </w:r>
      </w:hyperlink>
    </w:p>
    <w:p w14:paraId="05806C1D" w14:textId="51CEFBAB" w:rsidR="00B663AB" w:rsidRDefault="00C77D86">
      <w:pPr>
        <w:pStyle w:val="TOC2"/>
        <w:rPr>
          <w:rFonts w:asciiTheme="minorHAnsi" w:eastAsiaTheme="minorEastAsia" w:hAnsiTheme="minorHAnsi" w:cstheme="minorBidi"/>
          <w:noProof/>
          <w:sz w:val="22"/>
          <w:szCs w:val="22"/>
          <w:lang w:eastAsia="en-US"/>
        </w:rPr>
      </w:pPr>
      <w:hyperlink w:anchor="_Toc98847317" w:history="1">
        <w:r w:rsidR="00B663AB" w:rsidRPr="008C3D0C">
          <w:rPr>
            <w:rStyle w:val="Hyperlink"/>
            <w:noProof/>
          </w:rPr>
          <w:t>1.1</w:t>
        </w:r>
        <w:r w:rsidR="00B663AB">
          <w:rPr>
            <w:rFonts w:asciiTheme="minorHAnsi" w:eastAsiaTheme="minorEastAsia" w:hAnsiTheme="minorHAnsi" w:cstheme="minorBidi"/>
            <w:noProof/>
            <w:sz w:val="22"/>
            <w:szCs w:val="22"/>
            <w:lang w:eastAsia="en-US"/>
          </w:rPr>
          <w:tab/>
        </w:r>
        <w:r w:rsidR="00B663AB" w:rsidRPr="008C3D0C">
          <w:rPr>
            <w:rStyle w:val="Hyperlink"/>
            <w:noProof/>
          </w:rPr>
          <w:t>Purpose</w:t>
        </w:r>
        <w:r w:rsidR="00B663AB">
          <w:rPr>
            <w:noProof/>
            <w:webHidden/>
          </w:rPr>
          <w:tab/>
        </w:r>
        <w:r w:rsidR="00B663AB">
          <w:rPr>
            <w:noProof/>
            <w:webHidden/>
          </w:rPr>
          <w:fldChar w:fldCharType="begin"/>
        </w:r>
        <w:r w:rsidR="00B663AB">
          <w:rPr>
            <w:noProof/>
            <w:webHidden/>
          </w:rPr>
          <w:instrText xml:space="preserve"> PAGEREF _Toc98847317 \h </w:instrText>
        </w:r>
        <w:r w:rsidR="00B663AB">
          <w:rPr>
            <w:noProof/>
            <w:webHidden/>
          </w:rPr>
        </w:r>
        <w:r w:rsidR="00B663AB">
          <w:rPr>
            <w:noProof/>
            <w:webHidden/>
          </w:rPr>
          <w:fldChar w:fldCharType="separate"/>
        </w:r>
        <w:r w:rsidR="00B663AB">
          <w:rPr>
            <w:noProof/>
            <w:webHidden/>
          </w:rPr>
          <w:t>5</w:t>
        </w:r>
        <w:r w:rsidR="00B663AB">
          <w:rPr>
            <w:noProof/>
            <w:webHidden/>
          </w:rPr>
          <w:fldChar w:fldCharType="end"/>
        </w:r>
      </w:hyperlink>
    </w:p>
    <w:p w14:paraId="2AC04AEF" w14:textId="2A1D134B" w:rsidR="00B663AB" w:rsidRDefault="00C77D86">
      <w:pPr>
        <w:pStyle w:val="TOC2"/>
        <w:rPr>
          <w:rFonts w:asciiTheme="minorHAnsi" w:eastAsiaTheme="minorEastAsia" w:hAnsiTheme="minorHAnsi" w:cstheme="minorBidi"/>
          <w:noProof/>
          <w:sz w:val="22"/>
          <w:szCs w:val="22"/>
          <w:lang w:eastAsia="en-US"/>
        </w:rPr>
      </w:pPr>
      <w:hyperlink w:anchor="_Toc98847318" w:history="1">
        <w:r w:rsidR="00B663AB" w:rsidRPr="008C3D0C">
          <w:rPr>
            <w:rStyle w:val="Hyperlink"/>
            <w:noProof/>
          </w:rPr>
          <w:t>1.2</w:t>
        </w:r>
        <w:r w:rsidR="00B663AB">
          <w:rPr>
            <w:rFonts w:asciiTheme="minorHAnsi" w:eastAsiaTheme="minorEastAsia" w:hAnsiTheme="minorHAnsi" w:cstheme="minorBidi"/>
            <w:noProof/>
            <w:sz w:val="22"/>
            <w:szCs w:val="22"/>
            <w:lang w:eastAsia="en-US"/>
          </w:rPr>
          <w:tab/>
        </w:r>
        <w:r w:rsidR="00B663AB" w:rsidRPr="008C3D0C">
          <w:rPr>
            <w:rStyle w:val="Hyperlink"/>
            <w:noProof/>
          </w:rPr>
          <w:t>Report Organization</w:t>
        </w:r>
        <w:r w:rsidR="00B663AB">
          <w:rPr>
            <w:noProof/>
            <w:webHidden/>
          </w:rPr>
          <w:tab/>
        </w:r>
        <w:r w:rsidR="00B663AB">
          <w:rPr>
            <w:noProof/>
            <w:webHidden/>
          </w:rPr>
          <w:fldChar w:fldCharType="begin"/>
        </w:r>
        <w:r w:rsidR="00B663AB">
          <w:rPr>
            <w:noProof/>
            <w:webHidden/>
          </w:rPr>
          <w:instrText xml:space="preserve"> PAGEREF _Toc98847318 \h </w:instrText>
        </w:r>
        <w:r w:rsidR="00B663AB">
          <w:rPr>
            <w:noProof/>
            <w:webHidden/>
          </w:rPr>
        </w:r>
        <w:r w:rsidR="00B663AB">
          <w:rPr>
            <w:noProof/>
            <w:webHidden/>
          </w:rPr>
          <w:fldChar w:fldCharType="separate"/>
        </w:r>
        <w:r w:rsidR="00B663AB">
          <w:rPr>
            <w:noProof/>
            <w:webHidden/>
          </w:rPr>
          <w:t>5</w:t>
        </w:r>
        <w:r w:rsidR="00B663AB">
          <w:rPr>
            <w:noProof/>
            <w:webHidden/>
          </w:rPr>
          <w:fldChar w:fldCharType="end"/>
        </w:r>
      </w:hyperlink>
    </w:p>
    <w:p w14:paraId="2E0787B8" w14:textId="6A6B35F5" w:rsidR="00B663AB" w:rsidRDefault="00C77D86">
      <w:pPr>
        <w:pStyle w:val="TOC1"/>
        <w:rPr>
          <w:rFonts w:asciiTheme="minorHAnsi" w:eastAsiaTheme="minorEastAsia" w:hAnsiTheme="minorHAnsi" w:cstheme="minorBidi"/>
          <w:b w:val="0"/>
          <w:caps w:val="0"/>
          <w:sz w:val="22"/>
          <w:szCs w:val="22"/>
          <w:lang w:eastAsia="en-US"/>
        </w:rPr>
      </w:pPr>
      <w:hyperlink w:anchor="_Toc98847319" w:history="1">
        <w:r w:rsidR="00B663AB" w:rsidRPr="008C3D0C">
          <w:rPr>
            <w:rStyle w:val="Hyperlink"/>
          </w:rPr>
          <w:t>2.</w:t>
        </w:r>
        <w:r w:rsidR="00B663AB">
          <w:rPr>
            <w:rFonts w:asciiTheme="minorHAnsi" w:eastAsiaTheme="minorEastAsia" w:hAnsiTheme="minorHAnsi" w:cstheme="minorBidi"/>
            <w:b w:val="0"/>
            <w:caps w:val="0"/>
            <w:sz w:val="22"/>
            <w:szCs w:val="22"/>
            <w:lang w:eastAsia="en-US"/>
          </w:rPr>
          <w:tab/>
        </w:r>
        <w:r w:rsidR="00B663AB" w:rsidRPr="008C3D0C">
          <w:rPr>
            <w:rStyle w:val="Hyperlink"/>
          </w:rPr>
          <w:t>Site Information</w:t>
        </w:r>
        <w:r w:rsidR="00B663AB">
          <w:rPr>
            <w:webHidden/>
          </w:rPr>
          <w:tab/>
        </w:r>
        <w:r w:rsidR="00B663AB">
          <w:rPr>
            <w:webHidden/>
          </w:rPr>
          <w:fldChar w:fldCharType="begin"/>
        </w:r>
        <w:r w:rsidR="00B663AB">
          <w:rPr>
            <w:webHidden/>
          </w:rPr>
          <w:instrText xml:space="preserve"> PAGEREF _Toc98847319 \h </w:instrText>
        </w:r>
        <w:r w:rsidR="00B663AB">
          <w:rPr>
            <w:webHidden/>
          </w:rPr>
        </w:r>
        <w:r w:rsidR="00B663AB">
          <w:rPr>
            <w:webHidden/>
          </w:rPr>
          <w:fldChar w:fldCharType="separate"/>
        </w:r>
        <w:r w:rsidR="00B663AB">
          <w:rPr>
            <w:webHidden/>
          </w:rPr>
          <w:t>7</w:t>
        </w:r>
        <w:r w:rsidR="00B663AB">
          <w:rPr>
            <w:webHidden/>
          </w:rPr>
          <w:fldChar w:fldCharType="end"/>
        </w:r>
      </w:hyperlink>
    </w:p>
    <w:p w14:paraId="71EE6FF6" w14:textId="0C6AD6CC" w:rsidR="00B663AB" w:rsidRDefault="00C77D86">
      <w:pPr>
        <w:pStyle w:val="TOC2"/>
        <w:rPr>
          <w:rFonts w:asciiTheme="minorHAnsi" w:eastAsiaTheme="minorEastAsia" w:hAnsiTheme="minorHAnsi" w:cstheme="minorBidi"/>
          <w:noProof/>
          <w:sz w:val="22"/>
          <w:szCs w:val="22"/>
          <w:lang w:eastAsia="en-US"/>
        </w:rPr>
      </w:pPr>
      <w:hyperlink w:anchor="_Toc98847320" w:history="1">
        <w:r w:rsidR="00B663AB" w:rsidRPr="008C3D0C">
          <w:rPr>
            <w:rStyle w:val="Hyperlink"/>
            <w:noProof/>
          </w:rPr>
          <w:t>2.1</w:t>
        </w:r>
        <w:r w:rsidR="00B663AB">
          <w:rPr>
            <w:rFonts w:asciiTheme="minorHAnsi" w:eastAsiaTheme="minorEastAsia" w:hAnsiTheme="minorHAnsi" w:cstheme="minorBidi"/>
            <w:noProof/>
            <w:sz w:val="22"/>
            <w:szCs w:val="22"/>
            <w:lang w:eastAsia="en-US"/>
          </w:rPr>
          <w:tab/>
        </w:r>
        <w:r w:rsidR="00B663AB" w:rsidRPr="008C3D0C">
          <w:rPr>
            <w:rStyle w:val="Hyperlink"/>
            <w:noProof/>
          </w:rPr>
          <w:t>Location and Description</w:t>
        </w:r>
        <w:r w:rsidR="00B663AB">
          <w:rPr>
            <w:noProof/>
            <w:webHidden/>
          </w:rPr>
          <w:tab/>
        </w:r>
        <w:r w:rsidR="00B663AB">
          <w:rPr>
            <w:noProof/>
            <w:webHidden/>
          </w:rPr>
          <w:fldChar w:fldCharType="begin"/>
        </w:r>
        <w:r w:rsidR="00B663AB">
          <w:rPr>
            <w:noProof/>
            <w:webHidden/>
          </w:rPr>
          <w:instrText xml:space="preserve"> PAGEREF _Toc98847320 \h </w:instrText>
        </w:r>
        <w:r w:rsidR="00B663AB">
          <w:rPr>
            <w:noProof/>
            <w:webHidden/>
          </w:rPr>
        </w:r>
        <w:r w:rsidR="00B663AB">
          <w:rPr>
            <w:noProof/>
            <w:webHidden/>
          </w:rPr>
          <w:fldChar w:fldCharType="separate"/>
        </w:r>
        <w:r w:rsidR="00B663AB">
          <w:rPr>
            <w:noProof/>
            <w:webHidden/>
          </w:rPr>
          <w:t>7</w:t>
        </w:r>
        <w:r w:rsidR="00B663AB">
          <w:rPr>
            <w:noProof/>
            <w:webHidden/>
          </w:rPr>
          <w:fldChar w:fldCharType="end"/>
        </w:r>
      </w:hyperlink>
    </w:p>
    <w:p w14:paraId="634A3391" w14:textId="0C068AEF" w:rsidR="00B663AB" w:rsidRDefault="00C77D86">
      <w:pPr>
        <w:pStyle w:val="TOC2"/>
        <w:rPr>
          <w:rFonts w:asciiTheme="minorHAnsi" w:eastAsiaTheme="minorEastAsia" w:hAnsiTheme="minorHAnsi" w:cstheme="minorBidi"/>
          <w:noProof/>
          <w:sz w:val="22"/>
          <w:szCs w:val="22"/>
          <w:lang w:eastAsia="en-US"/>
        </w:rPr>
      </w:pPr>
      <w:hyperlink w:anchor="_Toc98847321" w:history="1">
        <w:r w:rsidR="00B663AB" w:rsidRPr="008C3D0C">
          <w:rPr>
            <w:rStyle w:val="Hyperlink"/>
            <w:noProof/>
          </w:rPr>
          <w:t>2.2</w:t>
        </w:r>
        <w:r w:rsidR="00B663AB">
          <w:rPr>
            <w:rFonts w:asciiTheme="minorHAnsi" w:eastAsiaTheme="minorEastAsia" w:hAnsiTheme="minorHAnsi" w:cstheme="minorBidi"/>
            <w:noProof/>
            <w:sz w:val="22"/>
            <w:szCs w:val="22"/>
            <w:lang w:eastAsia="en-US"/>
          </w:rPr>
          <w:tab/>
        </w:r>
        <w:r w:rsidR="00B663AB" w:rsidRPr="008C3D0C">
          <w:rPr>
            <w:rStyle w:val="Hyperlink"/>
            <w:noProof/>
          </w:rPr>
          <w:t>Geology and Hydrogeology</w:t>
        </w:r>
        <w:r w:rsidR="00B663AB">
          <w:rPr>
            <w:noProof/>
            <w:webHidden/>
          </w:rPr>
          <w:tab/>
        </w:r>
        <w:r w:rsidR="00B663AB">
          <w:rPr>
            <w:noProof/>
            <w:webHidden/>
          </w:rPr>
          <w:fldChar w:fldCharType="begin"/>
        </w:r>
        <w:r w:rsidR="00B663AB">
          <w:rPr>
            <w:noProof/>
            <w:webHidden/>
          </w:rPr>
          <w:instrText xml:space="preserve"> PAGEREF _Toc98847321 \h </w:instrText>
        </w:r>
        <w:r w:rsidR="00B663AB">
          <w:rPr>
            <w:noProof/>
            <w:webHidden/>
          </w:rPr>
        </w:r>
        <w:r w:rsidR="00B663AB">
          <w:rPr>
            <w:noProof/>
            <w:webHidden/>
          </w:rPr>
          <w:fldChar w:fldCharType="separate"/>
        </w:r>
        <w:r w:rsidR="00B663AB">
          <w:rPr>
            <w:noProof/>
            <w:webHidden/>
          </w:rPr>
          <w:t>7</w:t>
        </w:r>
        <w:r w:rsidR="00B663AB">
          <w:rPr>
            <w:noProof/>
            <w:webHidden/>
          </w:rPr>
          <w:fldChar w:fldCharType="end"/>
        </w:r>
      </w:hyperlink>
    </w:p>
    <w:p w14:paraId="30A91D9D" w14:textId="2BF5EBA2" w:rsidR="00B663AB" w:rsidRDefault="00C77D86">
      <w:pPr>
        <w:pStyle w:val="TOC2"/>
        <w:rPr>
          <w:rFonts w:asciiTheme="minorHAnsi" w:eastAsiaTheme="minorEastAsia" w:hAnsiTheme="minorHAnsi" w:cstheme="minorBidi"/>
          <w:noProof/>
          <w:sz w:val="22"/>
          <w:szCs w:val="22"/>
          <w:lang w:eastAsia="en-US"/>
        </w:rPr>
      </w:pPr>
      <w:hyperlink w:anchor="_Toc98847322" w:history="1">
        <w:r w:rsidR="00B663AB" w:rsidRPr="008C3D0C">
          <w:rPr>
            <w:rStyle w:val="Hyperlink"/>
            <w:noProof/>
          </w:rPr>
          <w:t>2.3</w:t>
        </w:r>
        <w:r w:rsidR="00B663AB">
          <w:rPr>
            <w:rFonts w:asciiTheme="minorHAnsi" w:eastAsiaTheme="minorEastAsia" w:hAnsiTheme="minorHAnsi" w:cstheme="minorBidi"/>
            <w:noProof/>
            <w:sz w:val="22"/>
            <w:szCs w:val="22"/>
            <w:lang w:eastAsia="en-US"/>
          </w:rPr>
          <w:tab/>
        </w:r>
        <w:r w:rsidR="00B663AB" w:rsidRPr="008C3D0C">
          <w:rPr>
            <w:rStyle w:val="Hyperlink"/>
            <w:noProof/>
          </w:rPr>
          <w:t>Historical Activities and Features</w:t>
        </w:r>
        <w:r w:rsidR="00B663AB">
          <w:rPr>
            <w:noProof/>
            <w:webHidden/>
          </w:rPr>
          <w:tab/>
        </w:r>
        <w:r w:rsidR="00B663AB">
          <w:rPr>
            <w:noProof/>
            <w:webHidden/>
          </w:rPr>
          <w:fldChar w:fldCharType="begin"/>
        </w:r>
        <w:r w:rsidR="00B663AB">
          <w:rPr>
            <w:noProof/>
            <w:webHidden/>
          </w:rPr>
          <w:instrText xml:space="preserve"> PAGEREF _Toc98847322 \h </w:instrText>
        </w:r>
        <w:r w:rsidR="00B663AB">
          <w:rPr>
            <w:noProof/>
            <w:webHidden/>
          </w:rPr>
        </w:r>
        <w:r w:rsidR="00B663AB">
          <w:rPr>
            <w:noProof/>
            <w:webHidden/>
          </w:rPr>
          <w:fldChar w:fldCharType="separate"/>
        </w:r>
        <w:r w:rsidR="00B663AB">
          <w:rPr>
            <w:noProof/>
            <w:webHidden/>
          </w:rPr>
          <w:t>8</w:t>
        </w:r>
        <w:r w:rsidR="00B663AB">
          <w:rPr>
            <w:noProof/>
            <w:webHidden/>
          </w:rPr>
          <w:fldChar w:fldCharType="end"/>
        </w:r>
      </w:hyperlink>
    </w:p>
    <w:p w14:paraId="62E1E501" w14:textId="4795D42C" w:rsidR="00B663AB" w:rsidRDefault="00C77D86">
      <w:pPr>
        <w:pStyle w:val="TOC3"/>
        <w:rPr>
          <w:rFonts w:asciiTheme="minorHAnsi" w:eastAsiaTheme="minorEastAsia" w:hAnsiTheme="minorHAnsi" w:cstheme="minorBidi"/>
          <w:noProof/>
          <w:sz w:val="22"/>
          <w:szCs w:val="22"/>
          <w:lang w:eastAsia="en-US"/>
        </w:rPr>
      </w:pPr>
      <w:hyperlink w:anchor="_Toc98847323" w:history="1">
        <w:r w:rsidR="00B663AB" w:rsidRPr="008C3D0C">
          <w:rPr>
            <w:rStyle w:val="Hyperlink"/>
            <w:noProof/>
          </w:rPr>
          <w:t>2.3.1</w:t>
        </w:r>
        <w:r w:rsidR="00B663AB">
          <w:rPr>
            <w:rFonts w:asciiTheme="minorHAnsi" w:eastAsiaTheme="minorEastAsia" w:hAnsiTheme="minorHAnsi" w:cstheme="minorBidi"/>
            <w:noProof/>
            <w:sz w:val="22"/>
            <w:szCs w:val="22"/>
            <w:lang w:eastAsia="en-US"/>
          </w:rPr>
          <w:tab/>
        </w:r>
        <w:r w:rsidR="00B663AB" w:rsidRPr="008C3D0C">
          <w:rPr>
            <w:rStyle w:val="Hyperlink"/>
            <w:noProof/>
          </w:rPr>
          <w:t>Area 1—Southeast Area</w:t>
        </w:r>
        <w:r w:rsidR="00B663AB">
          <w:rPr>
            <w:noProof/>
            <w:webHidden/>
          </w:rPr>
          <w:tab/>
        </w:r>
        <w:r w:rsidR="00B663AB">
          <w:rPr>
            <w:noProof/>
            <w:webHidden/>
          </w:rPr>
          <w:fldChar w:fldCharType="begin"/>
        </w:r>
        <w:r w:rsidR="00B663AB">
          <w:rPr>
            <w:noProof/>
            <w:webHidden/>
          </w:rPr>
          <w:instrText xml:space="preserve"> PAGEREF _Toc98847323 \h </w:instrText>
        </w:r>
        <w:r w:rsidR="00B663AB">
          <w:rPr>
            <w:noProof/>
            <w:webHidden/>
          </w:rPr>
        </w:r>
        <w:r w:rsidR="00B663AB">
          <w:rPr>
            <w:noProof/>
            <w:webHidden/>
          </w:rPr>
          <w:fldChar w:fldCharType="separate"/>
        </w:r>
        <w:r w:rsidR="00B663AB">
          <w:rPr>
            <w:noProof/>
            <w:webHidden/>
          </w:rPr>
          <w:t>8</w:t>
        </w:r>
        <w:r w:rsidR="00B663AB">
          <w:rPr>
            <w:noProof/>
            <w:webHidden/>
          </w:rPr>
          <w:fldChar w:fldCharType="end"/>
        </w:r>
      </w:hyperlink>
    </w:p>
    <w:p w14:paraId="0F1B3075" w14:textId="5C53CA2A" w:rsidR="00B663AB" w:rsidRDefault="00C77D86">
      <w:pPr>
        <w:pStyle w:val="TOC3"/>
        <w:rPr>
          <w:rFonts w:asciiTheme="minorHAnsi" w:eastAsiaTheme="minorEastAsia" w:hAnsiTheme="minorHAnsi" w:cstheme="minorBidi"/>
          <w:noProof/>
          <w:sz w:val="22"/>
          <w:szCs w:val="22"/>
          <w:lang w:eastAsia="en-US"/>
        </w:rPr>
      </w:pPr>
      <w:hyperlink w:anchor="_Toc98847324" w:history="1">
        <w:r w:rsidR="00B663AB" w:rsidRPr="008C3D0C">
          <w:rPr>
            <w:rStyle w:val="Hyperlink"/>
            <w:noProof/>
          </w:rPr>
          <w:t>2.3.2</w:t>
        </w:r>
        <w:r w:rsidR="00B663AB">
          <w:rPr>
            <w:rFonts w:asciiTheme="minorHAnsi" w:eastAsiaTheme="minorEastAsia" w:hAnsiTheme="minorHAnsi" w:cstheme="minorBidi"/>
            <w:noProof/>
            <w:sz w:val="22"/>
            <w:szCs w:val="22"/>
            <w:lang w:eastAsia="en-US"/>
          </w:rPr>
          <w:tab/>
        </w:r>
        <w:r w:rsidR="00B663AB" w:rsidRPr="008C3D0C">
          <w:rPr>
            <w:rStyle w:val="Hyperlink"/>
            <w:noProof/>
          </w:rPr>
          <w:t>Area 2—Southwest Area</w:t>
        </w:r>
        <w:r w:rsidR="00B663AB">
          <w:rPr>
            <w:noProof/>
            <w:webHidden/>
          </w:rPr>
          <w:tab/>
        </w:r>
        <w:r w:rsidR="00B663AB">
          <w:rPr>
            <w:noProof/>
            <w:webHidden/>
          </w:rPr>
          <w:fldChar w:fldCharType="begin"/>
        </w:r>
        <w:r w:rsidR="00B663AB">
          <w:rPr>
            <w:noProof/>
            <w:webHidden/>
          </w:rPr>
          <w:instrText xml:space="preserve"> PAGEREF _Toc98847324 \h </w:instrText>
        </w:r>
        <w:r w:rsidR="00B663AB">
          <w:rPr>
            <w:noProof/>
            <w:webHidden/>
          </w:rPr>
        </w:r>
        <w:r w:rsidR="00B663AB">
          <w:rPr>
            <w:noProof/>
            <w:webHidden/>
          </w:rPr>
          <w:fldChar w:fldCharType="separate"/>
        </w:r>
        <w:r w:rsidR="00B663AB">
          <w:rPr>
            <w:noProof/>
            <w:webHidden/>
          </w:rPr>
          <w:t>11</w:t>
        </w:r>
        <w:r w:rsidR="00B663AB">
          <w:rPr>
            <w:noProof/>
            <w:webHidden/>
          </w:rPr>
          <w:fldChar w:fldCharType="end"/>
        </w:r>
      </w:hyperlink>
    </w:p>
    <w:p w14:paraId="211EAADC" w14:textId="0DEAAABE" w:rsidR="00B663AB" w:rsidRDefault="00C77D86">
      <w:pPr>
        <w:pStyle w:val="TOC3"/>
        <w:rPr>
          <w:rFonts w:asciiTheme="minorHAnsi" w:eastAsiaTheme="minorEastAsia" w:hAnsiTheme="minorHAnsi" w:cstheme="minorBidi"/>
          <w:noProof/>
          <w:sz w:val="22"/>
          <w:szCs w:val="22"/>
          <w:lang w:eastAsia="en-US"/>
        </w:rPr>
      </w:pPr>
      <w:hyperlink w:anchor="_Toc98847325" w:history="1">
        <w:r w:rsidR="00B663AB" w:rsidRPr="008C3D0C">
          <w:rPr>
            <w:rStyle w:val="Hyperlink"/>
            <w:noProof/>
          </w:rPr>
          <w:t>2.3.3</w:t>
        </w:r>
        <w:r w:rsidR="00B663AB">
          <w:rPr>
            <w:rFonts w:asciiTheme="minorHAnsi" w:eastAsiaTheme="minorEastAsia" w:hAnsiTheme="minorHAnsi" w:cstheme="minorBidi"/>
            <w:noProof/>
            <w:sz w:val="22"/>
            <w:szCs w:val="22"/>
            <w:lang w:eastAsia="en-US"/>
          </w:rPr>
          <w:tab/>
        </w:r>
        <w:r w:rsidR="00B663AB" w:rsidRPr="008C3D0C">
          <w:rPr>
            <w:rStyle w:val="Hyperlink"/>
            <w:noProof/>
          </w:rPr>
          <w:t>Area 3—Northern Area</w:t>
        </w:r>
        <w:r w:rsidR="00B663AB">
          <w:rPr>
            <w:noProof/>
            <w:webHidden/>
          </w:rPr>
          <w:tab/>
        </w:r>
        <w:r w:rsidR="00B663AB">
          <w:rPr>
            <w:noProof/>
            <w:webHidden/>
          </w:rPr>
          <w:fldChar w:fldCharType="begin"/>
        </w:r>
        <w:r w:rsidR="00B663AB">
          <w:rPr>
            <w:noProof/>
            <w:webHidden/>
          </w:rPr>
          <w:instrText xml:space="preserve"> PAGEREF _Toc98847325 \h </w:instrText>
        </w:r>
        <w:r w:rsidR="00B663AB">
          <w:rPr>
            <w:noProof/>
            <w:webHidden/>
          </w:rPr>
        </w:r>
        <w:r w:rsidR="00B663AB">
          <w:rPr>
            <w:noProof/>
            <w:webHidden/>
          </w:rPr>
          <w:fldChar w:fldCharType="separate"/>
        </w:r>
        <w:r w:rsidR="00B663AB">
          <w:rPr>
            <w:noProof/>
            <w:webHidden/>
          </w:rPr>
          <w:t>12</w:t>
        </w:r>
        <w:r w:rsidR="00B663AB">
          <w:rPr>
            <w:noProof/>
            <w:webHidden/>
          </w:rPr>
          <w:fldChar w:fldCharType="end"/>
        </w:r>
      </w:hyperlink>
    </w:p>
    <w:p w14:paraId="308D6FCC" w14:textId="090BFF4C" w:rsidR="00B663AB" w:rsidRDefault="00C77D86">
      <w:pPr>
        <w:pStyle w:val="TOC3"/>
        <w:rPr>
          <w:rFonts w:asciiTheme="minorHAnsi" w:eastAsiaTheme="minorEastAsia" w:hAnsiTheme="minorHAnsi" w:cstheme="minorBidi"/>
          <w:noProof/>
          <w:sz w:val="22"/>
          <w:szCs w:val="22"/>
          <w:lang w:eastAsia="en-US"/>
        </w:rPr>
      </w:pPr>
      <w:hyperlink w:anchor="_Toc98847326" w:history="1">
        <w:r w:rsidR="00B663AB" w:rsidRPr="008C3D0C">
          <w:rPr>
            <w:rStyle w:val="Hyperlink"/>
            <w:noProof/>
          </w:rPr>
          <w:t>2.3.4</w:t>
        </w:r>
        <w:r w:rsidR="00B663AB">
          <w:rPr>
            <w:rFonts w:asciiTheme="minorHAnsi" w:eastAsiaTheme="minorEastAsia" w:hAnsiTheme="minorHAnsi" w:cstheme="minorBidi"/>
            <w:noProof/>
            <w:sz w:val="22"/>
            <w:szCs w:val="22"/>
            <w:lang w:eastAsia="en-US"/>
          </w:rPr>
          <w:tab/>
        </w:r>
        <w:r w:rsidR="00B663AB" w:rsidRPr="008C3D0C">
          <w:rPr>
            <w:rStyle w:val="Hyperlink"/>
            <w:noProof/>
          </w:rPr>
          <w:t>Area 4—Wooded Area</w:t>
        </w:r>
        <w:r w:rsidR="00B663AB">
          <w:rPr>
            <w:noProof/>
            <w:webHidden/>
          </w:rPr>
          <w:tab/>
        </w:r>
        <w:r w:rsidR="00B663AB">
          <w:rPr>
            <w:noProof/>
            <w:webHidden/>
          </w:rPr>
          <w:fldChar w:fldCharType="begin"/>
        </w:r>
        <w:r w:rsidR="00B663AB">
          <w:rPr>
            <w:noProof/>
            <w:webHidden/>
          </w:rPr>
          <w:instrText xml:space="preserve"> PAGEREF _Toc98847326 \h </w:instrText>
        </w:r>
        <w:r w:rsidR="00B663AB">
          <w:rPr>
            <w:noProof/>
            <w:webHidden/>
          </w:rPr>
        </w:r>
        <w:r w:rsidR="00B663AB">
          <w:rPr>
            <w:noProof/>
            <w:webHidden/>
          </w:rPr>
          <w:fldChar w:fldCharType="separate"/>
        </w:r>
        <w:r w:rsidR="00B663AB">
          <w:rPr>
            <w:noProof/>
            <w:webHidden/>
          </w:rPr>
          <w:t>12</w:t>
        </w:r>
        <w:r w:rsidR="00B663AB">
          <w:rPr>
            <w:noProof/>
            <w:webHidden/>
          </w:rPr>
          <w:fldChar w:fldCharType="end"/>
        </w:r>
      </w:hyperlink>
    </w:p>
    <w:p w14:paraId="3D06AF97" w14:textId="0AA913EC" w:rsidR="00B663AB" w:rsidRDefault="00C77D86">
      <w:pPr>
        <w:pStyle w:val="TOC2"/>
        <w:rPr>
          <w:rFonts w:asciiTheme="minorHAnsi" w:eastAsiaTheme="minorEastAsia" w:hAnsiTheme="minorHAnsi" w:cstheme="minorBidi"/>
          <w:noProof/>
          <w:sz w:val="22"/>
          <w:szCs w:val="22"/>
          <w:lang w:eastAsia="en-US"/>
        </w:rPr>
      </w:pPr>
      <w:hyperlink w:anchor="_Toc98847327" w:history="1">
        <w:r w:rsidR="00B663AB" w:rsidRPr="008C3D0C">
          <w:rPr>
            <w:rStyle w:val="Hyperlink"/>
            <w:noProof/>
          </w:rPr>
          <w:t>2.4</w:t>
        </w:r>
        <w:r w:rsidR="00B663AB">
          <w:rPr>
            <w:rFonts w:asciiTheme="minorHAnsi" w:eastAsiaTheme="minorEastAsia" w:hAnsiTheme="minorHAnsi" w:cstheme="minorBidi"/>
            <w:noProof/>
            <w:sz w:val="22"/>
            <w:szCs w:val="22"/>
            <w:lang w:eastAsia="en-US"/>
          </w:rPr>
          <w:tab/>
        </w:r>
        <w:r w:rsidR="00B663AB" w:rsidRPr="008C3D0C">
          <w:rPr>
            <w:rStyle w:val="Hyperlink"/>
            <w:noProof/>
          </w:rPr>
          <w:t>Previous Environmental Investigations and Removal Actions</w:t>
        </w:r>
        <w:r w:rsidR="00B663AB">
          <w:rPr>
            <w:noProof/>
            <w:webHidden/>
          </w:rPr>
          <w:tab/>
        </w:r>
        <w:r w:rsidR="00B663AB">
          <w:rPr>
            <w:noProof/>
            <w:webHidden/>
          </w:rPr>
          <w:fldChar w:fldCharType="begin"/>
        </w:r>
        <w:r w:rsidR="00B663AB">
          <w:rPr>
            <w:noProof/>
            <w:webHidden/>
          </w:rPr>
          <w:instrText xml:space="preserve"> PAGEREF _Toc98847327 \h </w:instrText>
        </w:r>
        <w:r w:rsidR="00B663AB">
          <w:rPr>
            <w:noProof/>
            <w:webHidden/>
          </w:rPr>
        </w:r>
        <w:r w:rsidR="00B663AB">
          <w:rPr>
            <w:noProof/>
            <w:webHidden/>
          </w:rPr>
          <w:fldChar w:fldCharType="separate"/>
        </w:r>
        <w:r w:rsidR="00B663AB">
          <w:rPr>
            <w:noProof/>
            <w:webHidden/>
          </w:rPr>
          <w:t>12</w:t>
        </w:r>
        <w:r w:rsidR="00B663AB">
          <w:rPr>
            <w:noProof/>
            <w:webHidden/>
          </w:rPr>
          <w:fldChar w:fldCharType="end"/>
        </w:r>
      </w:hyperlink>
    </w:p>
    <w:p w14:paraId="448AFC76" w14:textId="72BE2B6F" w:rsidR="00B663AB" w:rsidRDefault="00C77D86">
      <w:pPr>
        <w:pStyle w:val="TOC2"/>
        <w:rPr>
          <w:rFonts w:asciiTheme="minorHAnsi" w:eastAsiaTheme="minorEastAsia" w:hAnsiTheme="minorHAnsi" w:cstheme="minorBidi"/>
          <w:noProof/>
          <w:sz w:val="22"/>
          <w:szCs w:val="22"/>
          <w:lang w:eastAsia="en-US"/>
        </w:rPr>
      </w:pPr>
      <w:hyperlink w:anchor="_Toc98847328" w:history="1">
        <w:r w:rsidR="00B663AB" w:rsidRPr="008C3D0C">
          <w:rPr>
            <w:rStyle w:val="Hyperlink"/>
            <w:noProof/>
          </w:rPr>
          <w:t>2.5</w:t>
        </w:r>
        <w:r w:rsidR="00B663AB">
          <w:rPr>
            <w:rFonts w:asciiTheme="minorHAnsi" w:eastAsiaTheme="minorEastAsia" w:hAnsiTheme="minorHAnsi" w:cstheme="minorBidi"/>
            <w:noProof/>
            <w:sz w:val="22"/>
            <w:szCs w:val="22"/>
            <w:lang w:eastAsia="en-US"/>
          </w:rPr>
          <w:tab/>
        </w:r>
        <w:r w:rsidR="00B663AB" w:rsidRPr="008C3D0C">
          <w:rPr>
            <w:rStyle w:val="Hyperlink"/>
            <w:noProof/>
          </w:rPr>
          <w:t>Constituents of Interest</w:t>
        </w:r>
        <w:r w:rsidR="00B663AB">
          <w:rPr>
            <w:noProof/>
            <w:webHidden/>
          </w:rPr>
          <w:tab/>
        </w:r>
        <w:r w:rsidR="00B663AB">
          <w:rPr>
            <w:noProof/>
            <w:webHidden/>
          </w:rPr>
          <w:fldChar w:fldCharType="begin"/>
        </w:r>
        <w:r w:rsidR="00B663AB">
          <w:rPr>
            <w:noProof/>
            <w:webHidden/>
          </w:rPr>
          <w:instrText xml:space="preserve"> PAGEREF _Toc98847328 \h </w:instrText>
        </w:r>
        <w:r w:rsidR="00B663AB">
          <w:rPr>
            <w:noProof/>
            <w:webHidden/>
          </w:rPr>
        </w:r>
        <w:r w:rsidR="00B663AB">
          <w:rPr>
            <w:noProof/>
            <w:webHidden/>
          </w:rPr>
          <w:fldChar w:fldCharType="separate"/>
        </w:r>
        <w:r w:rsidR="00B663AB">
          <w:rPr>
            <w:noProof/>
            <w:webHidden/>
          </w:rPr>
          <w:t>13</w:t>
        </w:r>
        <w:r w:rsidR="00B663AB">
          <w:rPr>
            <w:noProof/>
            <w:webHidden/>
          </w:rPr>
          <w:fldChar w:fldCharType="end"/>
        </w:r>
      </w:hyperlink>
    </w:p>
    <w:p w14:paraId="23041515" w14:textId="3A5BF47C" w:rsidR="00B663AB" w:rsidRDefault="00C77D86">
      <w:pPr>
        <w:pStyle w:val="TOC2"/>
        <w:rPr>
          <w:rFonts w:asciiTheme="minorHAnsi" w:eastAsiaTheme="minorEastAsia" w:hAnsiTheme="minorHAnsi" w:cstheme="minorBidi"/>
          <w:noProof/>
          <w:sz w:val="22"/>
          <w:szCs w:val="22"/>
          <w:lang w:eastAsia="en-US"/>
        </w:rPr>
      </w:pPr>
      <w:hyperlink w:anchor="_Toc98847329" w:history="1">
        <w:r w:rsidR="00B663AB" w:rsidRPr="008C3D0C">
          <w:rPr>
            <w:rStyle w:val="Hyperlink"/>
            <w:noProof/>
          </w:rPr>
          <w:t>2.6</w:t>
        </w:r>
        <w:r w:rsidR="00B663AB">
          <w:rPr>
            <w:rFonts w:asciiTheme="minorHAnsi" w:eastAsiaTheme="minorEastAsia" w:hAnsiTheme="minorHAnsi" w:cstheme="minorBidi"/>
            <w:noProof/>
            <w:sz w:val="22"/>
            <w:szCs w:val="22"/>
            <w:lang w:eastAsia="en-US"/>
          </w:rPr>
          <w:tab/>
        </w:r>
        <w:r w:rsidR="00B663AB" w:rsidRPr="008C3D0C">
          <w:rPr>
            <w:rStyle w:val="Hyperlink"/>
            <w:noProof/>
          </w:rPr>
          <w:t>Current and Potential Future Land Use and Development</w:t>
        </w:r>
        <w:r w:rsidR="00B663AB">
          <w:rPr>
            <w:noProof/>
            <w:webHidden/>
          </w:rPr>
          <w:tab/>
        </w:r>
        <w:r w:rsidR="00B663AB">
          <w:rPr>
            <w:noProof/>
            <w:webHidden/>
          </w:rPr>
          <w:fldChar w:fldCharType="begin"/>
        </w:r>
        <w:r w:rsidR="00B663AB">
          <w:rPr>
            <w:noProof/>
            <w:webHidden/>
          </w:rPr>
          <w:instrText xml:space="preserve"> PAGEREF _Toc98847329 \h </w:instrText>
        </w:r>
        <w:r w:rsidR="00B663AB">
          <w:rPr>
            <w:noProof/>
            <w:webHidden/>
          </w:rPr>
        </w:r>
        <w:r w:rsidR="00B663AB">
          <w:rPr>
            <w:noProof/>
            <w:webHidden/>
          </w:rPr>
          <w:fldChar w:fldCharType="separate"/>
        </w:r>
        <w:r w:rsidR="00B663AB">
          <w:rPr>
            <w:noProof/>
            <w:webHidden/>
          </w:rPr>
          <w:t>14</w:t>
        </w:r>
        <w:r w:rsidR="00B663AB">
          <w:rPr>
            <w:noProof/>
            <w:webHidden/>
          </w:rPr>
          <w:fldChar w:fldCharType="end"/>
        </w:r>
      </w:hyperlink>
    </w:p>
    <w:p w14:paraId="6EA994C7" w14:textId="199ED0F8" w:rsidR="00B663AB" w:rsidRDefault="00C77D86">
      <w:pPr>
        <w:pStyle w:val="TOC1"/>
        <w:rPr>
          <w:rFonts w:asciiTheme="minorHAnsi" w:eastAsiaTheme="minorEastAsia" w:hAnsiTheme="minorHAnsi" w:cstheme="minorBidi"/>
          <w:b w:val="0"/>
          <w:caps w:val="0"/>
          <w:sz w:val="22"/>
          <w:szCs w:val="22"/>
          <w:lang w:eastAsia="en-US"/>
        </w:rPr>
      </w:pPr>
      <w:hyperlink w:anchor="_Toc98847330" w:history="1">
        <w:r w:rsidR="00B663AB" w:rsidRPr="008C3D0C">
          <w:rPr>
            <w:rStyle w:val="Hyperlink"/>
          </w:rPr>
          <w:t>3.</w:t>
        </w:r>
        <w:r w:rsidR="00B663AB">
          <w:rPr>
            <w:rFonts w:asciiTheme="minorHAnsi" w:eastAsiaTheme="minorEastAsia" w:hAnsiTheme="minorHAnsi" w:cstheme="minorBidi"/>
            <w:b w:val="0"/>
            <w:caps w:val="0"/>
            <w:sz w:val="22"/>
            <w:szCs w:val="22"/>
            <w:lang w:eastAsia="en-US"/>
          </w:rPr>
          <w:tab/>
        </w:r>
        <w:r w:rsidR="00B663AB" w:rsidRPr="008C3D0C">
          <w:rPr>
            <w:rStyle w:val="Hyperlink"/>
          </w:rPr>
          <w:t>Remedial Investigation Activities</w:t>
        </w:r>
        <w:r w:rsidR="00B663AB">
          <w:rPr>
            <w:webHidden/>
          </w:rPr>
          <w:tab/>
        </w:r>
        <w:r w:rsidR="00B663AB">
          <w:rPr>
            <w:webHidden/>
          </w:rPr>
          <w:fldChar w:fldCharType="begin"/>
        </w:r>
        <w:r w:rsidR="00B663AB">
          <w:rPr>
            <w:webHidden/>
          </w:rPr>
          <w:instrText xml:space="preserve"> PAGEREF _Toc98847330 \h </w:instrText>
        </w:r>
        <w:r w:rsidR="00B663AB">
          <w:rPr>
            <w:webHidden/>
          </w:rPr>
        </w:r>
        <w:r w:rsidR="00B663AB">
          <w:rPr>
            <w:webHidden/>
          </w:rPr>
          <w:fldChar w:fldCharType="separate"/>
        </w:r>
        <w:r w:rsidR="00B663AB">
          <w:rPr>
            <w:webHidden/>
          </w:rPr>
          <w:t>15</w:t>
        </w:r>
        <w:r w:rsidR="00B663AB">
          <w:rPr>
            <w:webHidden/>
          </w:rPr>
          <w:fldChar w:fldCharType="end"/>
        </w:r>
      </w:hyperlink>
    </w:p>
    <w:p w14:paraId="7ABD8170" w14:textId="2E26CEC4" w:rsidR="00B663AB" w:rsidRDefault="00C77D86">
      <w:pPr>
        <w:pStyle w:val="TOC2"/>
        <w:rPr>
          <w:rFonts w:asciiTheme="minorHAnsi" w:eastAsiaTheme="minorEastAsia" w:hAnsiTheme="minorHAnsi" w:cstheme="minorBidi"/>
          <w:noProof/>
          <w:sz w:val="22"/>
          <w:szCs w:val="22"/>
          <w:lang w:eastAsia="en-US"/>
        </w:rPr>
      </w:pPr>
      <w:hyperlink w:anchor="_Toc98847331" w:history="1">
        <w:r w:rsidR="00B663AB" w:rsidRPr="008C3D0C">
          <w:rPr>
            <w:rStyle w:val="Hyperlink"/>
            <w:noProof/>
          </w:rPr>
          <w:t>3.1</w:t>
        </w:r>
        <w:r w:rsidR="00B663AB">
          <w:rPr>
            <w:rFonts w:asciiTheme="minorHAnsi" w:eastAsiaTheme="minorEastAsia" w:hAnsiTheme="minorHAnsi" w:cstheme="minorBidi"/>
            <w:noProof/>
            <w:sz w:val="22"/>
            <w:szCs w:val="22"/>
            <w:lang w:eastAsia="en-US"/>
          </w:rPr>
          <w:tab/>
        </w:r>
        <w:r w:rsidR="00B663AB" w:rsidRPr="008C3D0C">
          <w:rPr>
            <w:rStyle w:val="Hyperlink"/>
            <w:noProof/>
          </w:rPr>
          <w:t>Geophysical Surveys</w:t>
        </w:r>
        <w:r w:rsidR="00B663AB">
          <w:rPr>
            <w:noProof/>
            <w:webHidden/>
          </w:rPr>
          <w:tab/>
        </w:r>
        <w:r w:rsidR="00B663AB">
          <w:rPr>
            <w:noProof/>
            <w:webHidden/>
          </w:rPr>
          <w:fldChar w:fldCharType="begin"/>
        </w:r>
        <w:r w:rsidR="00B663AB">
          <w:rPr>
            <w:noProof/>
            <w:webHidden/>
          </w:rPr>
          <w:instrText xml:space="preserve"> PAGEREF _Toc98847331 \h </w:instrText>
        </w:r>
        <w:r w:rsidR="00B663AB">
          <w:rPr>
            <w:noProof/>
            <w:webHidden/>
          </w:rPr>
        </w:r>
        <w:r w:rsidR="00B663AB">
          <w:rPr>
            <w:noProof/>
            <w:webHidden/>
          </w:rPr>
          <w:fldChar w:fldCharType="separate"/>
        </w:r>
        <w:r w:rsidR="00B663AB">
          <w:rPr>
            <w:noProof/>
            <w:webHidden/>
          </w:rPr>
          <w:t>15</w:t>
        </w:r>
        <w:r w:rsidR="00B663AB">
          <w:rPr>
            <w:noProof/>
            <w:webHidden/>
          </w:rPr>
          <w:fldChar w:fldCharType="end"/>
        </w:r>
      </w:hyperlink>
    </w:p>
    <w:p w14:paraId="531B9C4C" w14:textId="5B37A9C6" w:rsidR="00B663AB" w:rsidRDefault="00C77D86">
      <w:pPr>
        <w:pStyle w:val="TOC3"/>
        <w:rPr>
          <w:rFonts w:asciiTheme="minorHAnsi" w:eastAsiaTheme="minorEastAsia" w:hAnsiTheme="minorHAnsi" w:cstheme="minorBidi"/>
          <w:noProof/>
          <w:sz w:val="22"/>
          <w:szCs w:val="22"/>
          <w:lang w:eastAsia="en-US"/>
        </w:rPr>
      </w:pPr>
      <w:hyperlink w:anchor="_Toc98847332" w:history="1">
        <w:r w:rsidR="00B663AB" w:rsidRPr="008C3D0C">
          <w:rPr>
            <w:rStyle w:val="Hyperlink"/>
            <w:noProof/>
          </w:rPr>
          <w:t>3.1.1</w:t>
        </w:r>
        <w:r w:rsidR="00B663AB">
          <w:rPr>
            <w:rFonts w:asciiTheme="minorHAnsi" w:eastAsiaTheme="minorEastAsia" w:hAnsiTheme="minorHAnsi" w:cstheme="minorBidi"/>
            <w:noProof/>
            <w:sz w:val="22"/>
            <w:szCs w:val="22"/>
            <w:lang w:eastAsia="en-US"/>
          </w:rPr>
          <w:tab/>
        </w:r>
        <w:r w:rsidR="00B663AB" w:rsidRPr="008C3D0C">
          <w:rPr>
            <w:rStyle w:val="Hyperlink"/>
            <w:noProof/>
          </w:rPr>
          <w:t>EMI Survey</w:t>
        </w:r>
        <w:r w:rsidR="00B663AB">
          <w:rPr>
            <w:noProof/>
            <w:webHidden/>
          </w:rPr>
          <w:tab/>
        </w:r>
        <w:r w:rsidR="00B663AB">
          <w:rPr>
            <w:noProof/>
            <w:webHidden/>
          </w:rPr>
          <w:fldChar w:fldCharType="begin"/>
        </w:r>
        <w:r w:rsidR="00B663AB">
          <w:rPr>
            <w:noProof/>
            <w:webHidden/>
          </w:rPr>
          <w:instrText xml:space="preserve"> PAGEREF _Toc98847332 \h </w:instrText>
        </w:r>
        <w:r w:rsidR="00B663AB">
          <w:rPr>
            <w:noProof/>
            <w:webHidden/>
          </w:rPr>
        </w:r>
        <w:r w:rsidR="00B663AB">
          <w:rPr>
            <w:noProof/>
            <w:webHidden/>
          </w:rPr>
          <w:fldChar w:fldCharType="separate"/>
        </w:r>
        <w:r w:rsidR="00B663AB">
          <w:rPr>
            <w:noProof/>
            <w:webHidden/>
          </w:rPr>
          <w:t>16</w:t>
        </w:r>
        <w:r w:rsidR="00B663AB">
          <w:rPr>
            <w:noProof/>
            <w:webHidden/>
          </w:rPr>
          <w:fldChar w:fldCharType="end"/>
        </w:r>
      </w:hyperlink>
    </w:p>
    <w:p w14:paraId="6547FE20" w14:textId="257DDF84" w:rsidR="00B663AB" w:rsidRDefault="00C77D86">
      <w:pPr>
        <w:pStyle w:val="TOC3"/>
        <w:rPr>
          <w:rFonts w:asciiTheme="minorHAnsi" w:eastAsiaTheme="minorEastAsia" w:hAnsiTheme="minorHAnsi" w:cstheme="minorBidi"/>
          <w:noProof/>
          <w:sz w:val="22"/>
          <w:szCs w:val="22"/>
          <w:lang w:eastAsia="en-US"/>
        </w:rPr>
      </w:pPr>
      <w:hyperlink w:anchor="_Toc98847333" w:history="1">
        <w:r w:rsidR="00B663AB" w:rsidRPr="008C3D0C">
          <w:rPr>
            <w:rStyle w:val="Hyperlink"/>
            <w:noProof/>
          </w:rPr>
          <w:t>3.1.2</w:t>
        </w:r>
        <w:r w:rsidR="00B663AB">
          <w:rPr>
            <w:rFonts w:asciiTheme="minorHAnsi" w:eastAsiaTheme="minorEastAsia" w:hAnsiTheme="minorHAnsi" w:cstheme="minorBidi"/>
            <w:noProof/>
            <w:sz w:val="22"/>
            <w:szCs w:val="22"/>
            <w:lang w:eastAsia="en-US"/>
          </w:rPr>
          <w:tab/>
        </w:r>
        <w:r w:rsidR="00B663AB" w:rsidRPr="008C3D0C">
          <w:rPr>
            <w:rStyle w:val="Hyperlink"/>
            <w:noProof/>
          </w:rPr>
          <w:t>GPR Survey</w:t>
        </w:r>
        <w:r w:rsidR="00B663AB">
          <w:rPr>
            <w:noProof/>
            <w:webHidden/>
          </w:rPr>
          <w:tab/>
        </w:r>
        <w:r w:rsidR="00B663AB">
          <w:rPr>
            <w:noProof/>
            <w:webHidden/>
          </w:rPr>
          <w:fldChar w:fldCharType="begin"/>
        </w:r>
        <w:r w:rsidR="00B663AB">
          <w:rPr>
            <w:noProof/>
            <w:webHidden/>
          </w:rPr>
          <w:instrText xml:space="preserve"> PAGEREF _Toc98847333 \h </w:instrText>
        </w:r>
        <w:r w:rsidR="00B663AB">
          <w:rPr>
            <w:noProof/>
            <w:webHidden/>
          </w:rPr>
        </w:r>
        <w:r w:rsidR="00B663AB">
          <w:rPr>
            <w:noProof/>
            <w:webHidden/>
          </w:rPr>
          <w:fldChar w:fldCharType="separate"/>
        </w:r>
        <w:r w:rsidR="00B663AB">
          <w:rPr>
            <w:noProof/>
            <w:webHidden/>
          </w:rPr>
          <w:t>16</w:t>
        </w:r>
        <w:r w:rsidR="00B663AB">
          <w:rPr>
            <w:noProof/>
            <w:webHidden/>
          </w:rPr>
          <w:fldChar w:fldCharType="end"/>
        </w:r>
      </w:hyperlink>
    </w:p>
    <w:p w14:paraId="15ED0EC2" w14:textId="7751A5A9" w:rsidR="00B663AB" w:rsidRDefault="00C77D86">
      <w:pPr>
        <w:pStyle w:val="TOC2"/>
        <w:rPr>
          <w:rFonts w:asciiTheme="minorHAnsi" w:eastAsiaTheme="minorEastAsia" w:hAnsiTheme="minorHAnsi" w:cstheme="minorBidi"/>
          <w:noProof/>
          <w:sz w:val="22"/>
          <w:szCs w:val="22"/>
          <w:lang w:eastAsia="en-US"/>
        </w:rPr>
      </w:pPr>
      <w:hyperlink w:anchor="_Toc98847334" w:history="1">
        <w:r w:rsidR="00B663AB" w:rsidRPr="008C3D0C">
          <w:rPr>
            <w:rStyle w:val="Hyperlink"/>
            <w:noProof/>
          </w:rPr>
          <w:t>3.2</w:t>
        </w:r>
        <w:r w:rsidR="00B663AB">
          <w:rPr>
            <w:rFonts w:asciiTheme="minorHAnsi" w:eastAsiaTheme="minorEastAsia" w:hAnsiTheme="minorHAnsi" w:cstheme="minorBidi"/>
            <w:noProof/>
            <w:sz w:val="22"/>
            <w:szCs w:val="22"/>
            <w:lang w:eastAsia="en-US"/>
          </w:rPr>
          <w:tab/>
        </w:r>
        <w:r w:rsidR="00B663AB" w:rsidRPr="008C3D0C">
          <w:rPr>
            <w:rStyle w:val="Hyperlink"/>
            <w:noProof/>
          </w:rPr>
          <w:t>Test Pits</w:t>
        </w:r>
        <w:r w:rsidR="00B663AB">
          <w:rPr>
            <w:noProof/>
            <w:webHidden/>
          </w:rPr>
          <w:tab/>
        </w:r>
        <w:r w:rsidR="00B663AB">
          <w:rPr>
            <w:noProof/>
            <w:webHidden/>
          </w:rPr>
          <w:fldChar w:fldCharType="begin"/>
        </w:r>
        <w:r w:rsidR="00B663AB">
          <w:rPr>
            <w:noProof/>
            <w:webHidden/>
          </w:rPr>
          <w:instrText xml:space="preserve"> PAGEREF _Toc98847334 \h </w:instrText>
        </w:r>
        <w:r w:rsidR="00B663AB">
          <w:rPr>
            <w:noProof/>
            <w:webHidden/>
          </w:rPr>
        </w:r>
        <w:r w:rsidR="00B663AB">
          <w:rPr>
            <w:noProof/>
            <w:webHidden/>
          </w:rPr>
          <w:fldChar w:fldCharType="separate"/>
        </w:r>
        <w:r w:rsidR="00B663AB">
          <w:rPr>
            <w:noProof/>
            <w:webHidden/>
          </w:rPr>
          <w:t>17</w:t>
        </w:r>
        <w:r w:rsidR="00B663AB">
          <w:rPr>
            <w:noProof/>
            <w:webHidden/>
          </w:rPr>
          <w:fldChar w:fldCharType="end"/>
        </w:r>
      </w:hyperlink>
    </w:p>
    <w:p w14:paraId="425BE8FD" w14:textId="66F920CC" w:rsidR="00B663AB" w:rsidRDefault="00C77D86">
      <w:pPr>
        <w:pStyle w:val="TOC2"/>
        <w:rPr>
          <w:rFonts w:asciiTheme="minorHAnsi" w:eastAsiaTheme="minorEastAsia" w:hAnsiTheme="minorHAnsi" w:cstheme="minorBidi"/>
          <w:noProof/>
          <w:sz w:val="22"/>
          <w:szCs w:val="22"/>
          <w:lang w:eastAsia="en-US"/>
        </w:rPr>
      </w:pPr>
      <w:hyperlink w:anchor="_Toc98847335" w:history="1">
        <w:r w:rsidR="00B663AB" w:rsidRPr="008C3D0C">
          <w:rPr>
            <w:rStyle w:val="Hyperlink"/>
            <w:noProof/>
          </w:rPr>
          <w:t>3.3</w:t>
        </w:r>
        <w:r w:rsidR="00B663AB">
          <w:rPr>
            <w:rFonts w:asciiTheme="minorHAnsi" w:eastAsiaTheme="minorEastAsia" w:hAnsiTheme="minorHAnsi" w:cstheme="minorBidi"/>
            <w:noProof/>
            <w:sz w:val="22"/>
            <w:szCs w:val="22"/>
            <w:lang w:eastAsia="en-US"/>
          </w:rPr>
          <w:tab/>
        </w:r>
        <w:r w:rsidR="00B663AB" w:rsidRPr="008C3D0C">
          <w:rPr>
            <w:rStyle w:val="Hyperlink"/>
            <w:noProof/>
          </w:rPr>
          <w:t>Soil Borings and Soil Sampling</w:t>
        </w:r>
        <w:r w:rsidR="00B663AB">
          <w:rPr>
            <w:noProof/>
            <w:webHidden/>
          </w:rPr>
          <w:tab/>
        </w:r>
        <w:r w:rsidR="00B663AB">
          <w:rPr>
            <w:noProof/>
            <w:webHidden/>
          </w:rPr>
          <w:fldChar w:fldCharType="begin"/>
        </w:r>
        <w:r w:rsidR="00B663AB">
          <w:rPr>
            <w:noProof/>
            <w:webHidden/>
          </w:rPr>
          <w:instrText xml:space="preserve"> PAGEREF _Toc98847335 \h </w:instrText>
        </w:r>
        <w:r w:rsidR="00B663AB">
          <w:rPr>
            <w:noProof/>
            <w:webHidden/>
          </w:rPr>
        </w:r>
        <w:r w:rsidR="00B663AB">
          <w:rPr>
            <w:noProof/>
            <w:webHidden/>
          </w:rPr>
          <w:fldChar w:fldCharType="separate"/>
        </w:r>
        <w:r w:rsidR="00B663AB">
          <w:rPr>
            <w:noProof/>
            <w:webHidden/>
          </w:rPr>
          <w:t>17</w:t>
        </w:r>
        <w:r w:rsidR="00B663AB">
          <w:rPr>
            <w:noProof/>
            <w:webHidden/>
          </w:rPr>
          <w:fldChar w:fldCharType="end"/>
        </w:r>
      </w:hyperlink>
    </w:p>
    <w:p w14:paraId="5B061ACF" w14:textId="79782301" w:rsidR="00B663AB" w:rsidRDefault="00C77D86">
      <w:pPr>
        <w:pStyle w:val="TOC2"/>
        <w:rPr>
          <w:rFonts w:asciiTheme="minorHAnsi" w:eastAsiaTheme="minorEastAsia" w:hAnsiTheme="minorHAnsi" w:cstheme="minorBidi"/>
          <w:noProof/>
          <w:sz w:val="22"/>
          <w:szCs w:val="22"/>
          <w:lang w:eastAsia="en-US"/>
        </w:rPr>
      </w:pPr>
      <w:hyperlink w:anchor="_Toc98847336" w:history="1">
        <w:r w:rsidR="00B663AB" w:rsidRPr="008C3D0C">
          <w:rPr>
            <w:rStyle w:val="Hyperlink"/>
            <w:noProof/>
          </w:rPr>
          <w:t>3.4</w:t>
        </w:r>
        <w:r w:rsidR="00B663AB">
          <w:rPr>
            <w:rFonts w:asciiTheme="minorHAnsi" w:eastAsiaTheme="minorEastAsia" w:hAnsiTheme="minorHAnsi" w:cstheme="minorBidi"/>
            <w:noProof/>
            <w:sz w:val="22"/>
            <w:szCs w:val="22"/>
            <w:lang w:eastAsia="en-US"/>
          </w:rPr>
          <w:tab/>
        </w:r>
        <w:r w:rsidR="00B663AB" w:rsidRPr="008C3D0C">
          <w:rPr>
            <w:rStyle w:val="Hyperlink"/>
            <w:noProof/>
          </w:rPr>
          <w:t>Surface Soil Sampling</w:t>
        </w:r>
        <w:r w:rsidR="00B663AB">
          <w:rPr>
            <w:noProof/>
            <w:webHidden/>
          </w:rPr>
          <w:tab/>
        </w:r>
        <w:r w:rsidR="00B663AB">
          <w:rPr>
            <w:noProof/>
            <w:webHidden/>
          </w:rPr>
          <w:fldChar w:fldCharType="begin"/>
        </w:r>
        <w:r w:rsidR="00B663AB">
          <w:rPr>
            <w:noProof/>
            <w:webHidden/>
          </w:rPr>
          <w:instrText xml:space="preserve"> PAGEREF _Toc98847336 \h </w:instrText>
        </w:r>
        <w:r w:rsidR="00B663AB">
          <w:rPr>
            <w:noProof/>
            <w:webHidden/>
          </w:rPr>
        </w:r>
        <w:r w:rsidR="00B663AB">
          <w:rPr>
            <w:noProof/>
            <w:webHidden/>
          </w:rPr>
          <w:fldChar w:fldCharType="separate"/>
        </w:r>
        <w:r w:rsidR="00B663AB">
          <w:rPr>
            <w:noProof/>
            <w:webHidden/>
          </w:rPr>
          <w:t>18</w:t>
        </w:r>
        <w:r w:rsidR="00B663AB">
          <w:rPr>
            <w:noProof/>
            <w:webHidden/>
          </w:rPr>
          <w:fldChar w:fldCharType="end"/>
        </w:r>
      </w:hyperlink>
    </w:p>
    <w:p w14:paraId="143F5C6E" w14:textId="224CB8B3" w:rsidR="00B663AB" w:rsidRDefault="00C77D86">
      <w:pPr>
        <w:pStyle w:val="TOC3"/>
        <w:rPr>
          <w:rFonts w:asciiTheme="minorHAnsi" w:eastAsiaTheme="minorEastAsia" w:hAnsiTheme="minorHAnsi" w:cstheme="minorBidi"/>
          <w:noProof/>
          <w:sz w:val="22"/>
          <w:szCs w:val="22"/>
          <w:lang w:eastAsia="en-US"/>
        </w:rPr>
      </w:pPr>
      <w:hyperlink w:anchor="_Toc98847337" w:history="1">
        <w:r w:rsidR="00B663AB" w:rsidRPr="008C3D0C">
          <w:rPr>
            <w:rStyle w:val="Hyperlink"/>
            <w:noProof/>
          </w:rPr>
          <w:t>3.4.1</w:t>
        </w:r>
        <w:r w:rsidR="00B663AB">
          <w:rPr>
            <w:rFonts w:asciiTheme="minorHAnsi" w:eastAsiaTheme="minorEastAsia" w:hAnsiTheme="minorHAnsi" w:cstheme="minorBidi"/>
            <w:noProof/>
            <w:sz w:val="22"/>
            <w:szCs w:val="22"/>
            <w:lang w:eastAsia="en-US"/>
          </w:rPr>
          <w:tab/>
        </w:r>
        <w:r w:rsidR="00B663AB" w:rsidRPr="008C3D0C">
          <w:rPr>
            <w:rStyle w:val="Hyperlink"/>
            <w:noProof/>
          </w:rPr>
          <w:t>Former Stockpiled Soils in Areas 1, 2, and 3</w:t>
        </w:r>
        <w:r w:rsidR="00B663AB">
          <w:rPr>
            <w:noProof/>
            <w:webHidden/>
          </w:rPr>
          <w:tab/>
        </w:r>
        <w:r w:rsidR="00B663AB">
          <w:rPr>
            <w:noProof/>
            <w:webHidden/>
          </w:rPr>
          <w:fldChar w:fldCharType="begin"/>
        </w:r>
        <w:r w:rsidR="00B663AB">
          <w:rPr>
            <w:noProof/>
            <w:webHidden/>
          </w:rPr>
          <w:instrText xml:space="preserve"> PAGEREF _Toc98847337 \h </w:instrText>
        </w:r>
        <w:r w:rsidR="00B663AB">
          <w:rPr>
            <w:noProof/>
            <w:webHidden/>
          </w:rPr>
        </w:r>
        <w:r w:rsidR="00B663AB">
          <w:rPr>
            <w:noProof/>
            <w:webHidden/>
          </w:rPr>
          <w:fldChar w:fldCharType="separate"/>
        </w:r>
        <w:r w:rsidR="00B663AB">
          <w:rPr>
            <w:noProof/>
            <w:webHidden/>
          </w:rPr>
          <w:t>18</w:t>
        </w:r>
        <w:r w:rsidR="00B663AB">
          <w:rPr>
            <w:noProof/>
            <w:webHidden/>
          </w:rPr>
          <w:fldChar w:fldCharType="end"/>
        </w:r>
      </w:hyperlink>
    </w:p>
    <w:p w14:paraId="5DC9AAA5" w14:textId="4D9E01EA" w:rsidR="00B663AB" w:rsidRDefault="00C77D86">
      <w:pPr>
        <w:pStyle w:val="TOC3"/>
        <w:rPr>
          <w:rFonts w:asciiTheme="minorHAnsi" w:eastAsiaTheme="minorEastAsia" w:hAnsiTheme="minorHAnsi" w:cstheme="minorBidi"/>
          <w:noProof/>
          <w:sz w:val="22"/>
          <w:szCs w:val="22"/>
          <w:lang w:eastAsia="en-US"/>
        </w:rPr>
      </w:pPr>
      <w:hyperlink w:anchor="_Toc98847338" w:history="1">
        <w:r w:rsidR="00B663AB" w:rsidRPr="008C3D0C">
          <w:rPr>
            <w:rStyle w:val="Hyperlink"/>
            <w:noProof/>
          </w:rPr>
          <w:t>3.4.2</w:t>
        </w:r>
        <w:r w:rsidR="00B663AB">
          <w:rPr>
            <w:rFonts w:asciiTheme="minorHAnsi" w:eastAsiaTheme="minorEastAsia" w:hAnsiTheme="minorHAnsi" w:cstheme="minorBidi"/>
            <w:noProof/>
            <w:sz w:val="22"/>
            <w:szCs w:val="22"/>
            <w:lang w:eastAsia="en-US"/>
          </w:rPr>
          <w:tab/>
        </w:r>
        <w:r w:rsidR="00B663AB" w:rsidRPr="008C3D0C">
          <w:rPr>
            <w:rStyle w:val="Hyperlink"/>
            <w:noProof/>
          </w:rPr>
          <w:t>Surface Soils in Area 4</w:t>
        </w:r>
        <w:r w:rsidR="00B663AB">
          <w:rPr>
            <w:noProof/>
            <w:webHidden/>
          </w:rPr>
          <w:tab/>
        </w:r>
        <w:r w:rsidR="00B663AB">
          <w:rPr>
            <w:noProof/>
            <w:webHidden/>
          </w:rPr>
          <w:fldChar w:fldCharType="begin"/>
        </w:r>
        <w:r w:rsidR="00B663AB">
          <w:rPr>
            <w:noProof/>
            <w:webHidden/>
          </w:rPr>
          <w:instrText xml:space="preserve"> PAGEREF _Toc98847338 \h </w:instrText>
        </w:r>
        <w:r w:rsidR="00B663AB">
          <w:rPr>
            <w:noProof/>
            <w:webHidden/>
          </w:rPr>
        </w:r>
        <w:r w:rsidR="00B663AB">
          <w:rPr>
            <w:noProof/>
            <w:webHidden/>
          </w:rPr>
          <w:fldChar w:fldCharType="separate"/>
        </w:r>
        <w:r w:rsidR="00B663AB">
          <w:rPr>
            <w:noProof/>
            <w:webHidden/>
          </w:rPr>
          <w:t>19</w:t>
        </w:r>
        <w:r w:rsidR="00B663AB">
          <w:rPr>
            <w:noProof/>
            <w:webHidden/>
          </w:rPr>
          <w:fldChar w:fldCharType="end"/>
        </w:r>
      </w:hyperlink>
    </w:p>
    <w:p w14:paraId="1CA46F1C" w14:textId="3FF68F73" w:rsidR="00B663AB" w:rsidRDefault="00C77D86">
      <w:pPr>
        <w:pStyle w:val="TOC2"/>
        <w:rPr>
          <w:rFonts w:asciiTheme="minorHAnsi" w:eastAsiaTheme="minorEastAsia" w:hAnsiTheme="minorHAnsi" w:cstheme="minorBidi"/>
          <w:noProof/>
          <w:sz w:val="22"/>
          <w:szCs w:val="22"/>
          <w:lang w:eastAsia="en-US"/>
        </w:rPr>
      </w:pPr>
      <w:hyperlink w:anchor="_Toc98847339" w:history="1">
        <w:r w:rsidR="00B663AB" w:rsidRPr="008C3D0C">
          <w:rPr>
            <w:rStyle w:val="Hyperlink"/>
            <w:noProof/>
          </w:rPr>
          <w:t>3.5</w:t>
        </w:r>
        <w:r w:rsidR="00B663AB">
          <w:rPr>
            <w:rFonts w:asciiTheme="minorHAnsi" w:eastAsiaTheme="minorEastAsia" w:hAnsiTheme="minorHAnsi" w:cstheme="minorBidi"/>
            <w:noProof/>
            <w:sz w:val="22"/>
            <w:szCs w:val="22"/>
            <w:lang w:eastAsia="en-US"/>
          </w:rPr>
          <w:tab/>
        </w:r>
        <w:r w:rsidR="00B663AB" w:rsidRPr="008C3D0C">
          <w:rPr>
            <w:rStyle w:val="Hyperlink"/>
            <w:noProof/>
          </w:rPr>
          <w:t>Groundwater Sampling</w:t>
        </w:r>
        <w:r w:rsidR="00B663AB">
          <w:rPr>
            <w:noProof/>
            <w:webHidden/>
          </w:rPr>
          <w:tab/>
        </w:r>
        <w:r w:rsidR="00B663AB">
          <w:rPr>
            <w:noProof/>
            <w:webHidden/>
          </w:rPr>
          <w:fldChar w:fldCharType="begin"/>
        </w:r>
        <w:r w:rsidR="00B663AB">
          <w:rPr>
            <w:noProof/>
            <w:webHidden/>
          </w:rPr>
          <w:instrText xml:space="preserve"> PAGEREF _Toc98847339 \h </w:instrText>
        </w:r>
        <w:r w:rsidR="00B663AB">
          <w:rPr>
            <w:noProof/>
            <w:webHidden/>
          </w:rPr>
        </w:r>
        <w:r w:rsidR="00B663AB">
          <w:rPr>
            <w:noProof/>
            <w:webHidden/>
          </w:rPr>
          <w:fldChar w:fldCharType="separate"/>
        </w:r>
        <w:r w:rsidR="00B663AB">
          <w:rPr>
            <w:noProof/>
            <w:webHidden/>
          </w:rPr>
          <w:t>20</w:t>
        </w:r>
        <w:r w:rsidR="00B663AB">
          <w:rPr>
            <w:noProof/>
            <w:webHidden/>
          </w:rPr>
          <w:fldChar w:fldCharType="end"/>
        </w:r>
      </w:hyperlink>
    </w:p>
    <w:p w14:paraId="6B473F9D" w14:textId="411EA862" w:rsidR="00B663AB" w:rsidRDefault="00C77D86">
      <w:pPr>
        <w:pStyle w:val="TOC3"/>
        <w:rPr>
          <w:rFonts w:asciiTheme="minorHAnsi" w:eastAsiaTheme="minorEastAsia" w:hAnsiTheme="minorHAnsi" w:cstheme="minorBidi"/>
          <w:noProof/>
          <w:sz w:val="22"/>
          <w:szCs w:val="22"/>
          <w:lang w:eastAsia="en-US"/>
        </w:rPr>
      </w:pPr>
      <w:hyperlink w:anchor="_Toc98847340" w:history="1">
        <w:r w:rsidR="00B663AB" w:rsidRPr="008C3D0C">
          <w:rPr>
            <w:rStyle w:val="Hyperlink"/>
            <w:noProof/>
          </w:rPr>
          <w:t>3.5.1</w:t>
        </w:r>
        <w:r w:rsidR="00B663AB">
          <w:rPr>
            <w:rFonts w:asciiTheme="minorHAnsi" w:eastAsiaTheme="minorEastAsia" w:hAnsiTheme="minorHAnsi" w:cstheme="minorBidi"/>
            <w:noProof/>
            <w:sz w:val="22"/>
            <w:szCs w:val="22"/>
            <w:lang w:eastAsia="en-US"/>
          </w:rPr>
          <w:tab/>
        </w:r>
        <w:r w:rsidR="00B663AB" w:rsidRPr="008C3D0C">
          <w:rPr>
            <w:rStyle w:val="Hyperlink"/>
            <w:noProof/>
          </w:rPr>
          <w:t>Permanent Monitoring Wells</w:t>
        </w:r>
        <w:r w:rsidR="00B663AB">
          <w:rPr>
            <w:noProof/>
            <w:webHidden/>
          </w:rPr>
          <w:tab/>
        </w:r>
        <w:r w:rsidR="00B663AB">
          <w:rPr>
            <w:noProof/>
            <w:webHidden/>
          </w:rPr>
          <w:fldChar w:fldCharType="begin"/>
        </w:r>
        <w:r w:rsidR="00B663AB">
          <w:rPr>
            <w:noProof/>
            <w:webHidden/>
          </w:rPr>
          <w:instrText xml:space="preserve"> PAGEREF _Toc98847340 \h </w:instrText>
        </w:r>
        <w:r w:rsidR="00B663AB">
          <w:rPr>
            <w:noProof/>
            <w:webHidden/>
          </w:rPr>
        </w:r>
        <w:r w:rsidR="00B663AB">
          <w:rPr>
            <w:noProof/>
            <w:webHidden/>
          </w:rPr>
          <w:fldChar w:fldCharType="separate"/>
        </w:r>
        <w:r w:rsidR="00B663AB">
          <w:rPr>
            <w:noProof/>
            <w:webHidden/>
          </w:rPr>
          <w:t>20</w:t>
        </w:r>
        <w:r w:rsidR="00B663AB">
          <w:rPr>
            <w:noProof/>
            <w:webHidden/>
          </w:rPr>
          <w:fldChar w:fldCharType="end"/>
        </w:r>
      </w:hyperlink>
    </w:p>
    <w:p w14:paraId="27605DF3" w14:textId="71E41603" w:rsidR="00B663AB" w:rsidRDefault="00C77D86">
      <w:pPr>
        <w:pStyle w:val="TOC2"/>
        <w:rPr>
          <w:rFonts w:asciiTheme="minorHAnsi" w:eastAsiaTheme="minorEastAsia" w:hAnsiTheme="minorHAnsi" w:cstheme="minorBidi"/>
          <w:noProof/>
          <w:sz w:val="22"/>
          <w:szCs w:val="22"/>
          <w:lang w:eastAsia="en-US"/>
        </w:rPr>
      </w:pPr>
      <w:hyperlink w:anchor="_Toc98847341" w:history="1">
        <w:r w:rsidR="00B663AB" w:rsidRPr="008C3D0C">
          <w:rPr>
            <w:rStyle w:val="Hyperlink"/>
            <w:noProof/>
          </w:rPr>
          <w:t>3.6</w:t>
        </w:r>
        <w:r w:rsidR="00B663AB">
          <w:rPr>
            <w:rFonts w:asciiTheme="minorHAnsi" w:eastAsiaTheme="minorEastAsia" w:hAnsiTheme="minorHAnsi" w:cstheme="minorBidi"/>
            <w:noProof/>
            <w:sz w:val="22"/>
            <w:szCs w:val="22"/>
            <w:lang w:eastAsia="en-US"/>
          </w:rPr>
          <w:tab/>
        </w:r>
        <w:r w:rsidR="00B663AB" w:rsidRPr="008C3D0C">
          <w:rPr>
            <w:rStyle w:val="Hyperlink"/>
            <w:noProof/>
          </w:rPr>
          <w:t>Temporary Monitoring Wells</w:t>
        </w:r>
        <w:r w:rsidR="00B663AB">
          <w:rPr>
            <w:noProof/>
            <w:webHidden/>
          </w:rPr>
          <w:tab/>
        </w:r>
        <w:r w:rsidR="00B663AB">
          <w:rPr>
            <w:noProof/>
            <w:webHidden/>
          </w:rPr>
          <w:fldChar w:fldCharType="begin"/>
        </w:r>
        <w:r w:rsidR="00B663AB">
          <w:rPr>
            <w:noProof/>
            <w:webHidden/>
          </w:rPr>
          <w:instrText xml:space="preserve"> PAGEREF _Toc98847341 \h </w:instrText>
        </w:r>
        <w:r w:rsidR="00B663AB">
          <w:rPr>
            <w:noProof/>
            <w:webHidden/>
          </w:rPr>
        </w:r>
        <w:r w:rsidR="00B663AB">
          <w:rPr>
            <w:noProof/>
            <w:webHidden/>
          </w:rPr>
          <w:fldChar w:fldCharType="separate"/>
        </w:r>
        <w:r w:rsidR="00B663AB">
          <w:rPr>
            <w:noProof/>
            <w:webHidden/>
          </w:rPr>
          <w:t>21</w:t>
        </w:r>
        <w:r w:rsidR="00B663AB">
          <w:rPr>
            <w:noProof/>
            <w:webHidden/>
          </w:rPr>
          <w:fldChar w:fldCharType="end"/>
        </w:r>
      </w:hyperlink>
    </w:p>
    <w:p w14:paraId="37010D1E" w14:textId="2CA21570" w:rsidR="00B663AB" w:rsidRDefault="00C77D86">
      <w:pPr>
        <w:pStyle w:val="TOC2"/>
        <w:rPr>
          <w:rFonts w:asciiTheme="minorHAnsi" w:eastAsiaTheme="minorEastAsia" w:hAnsiTheme="minorHAnsi" w:cstheme="minorBidi"/>
          <w:noProof/>
          <w:sz w:val="22"/>
          <w:szCs w:val="22"/>
          <w:lang w:eastAsia="en-US"/>
        </w:rPr>
      </w:pPr>
      <w:hyperlink w:anchor="_Toc98847342" w:history="1">
        <w:r w:rsidR="00B663AB" w:rsidRPr="008C3D0C">
          <w:rPr>
            <w:rStyle w:val="Hyperlink"/>
            <w:noProof/>
          </w:rPr>
          <w:t>3.7</w:t>
        </w:r>
        <w:r w:rsidR="00B663AB">
          <w:rPr>
            <w:rFonts w:asciiTheme="minorHAnsi" w:eastAsiaTheme="minorEastAsia" w:hAnsiTheme="minorHAnsi" w:cstheme="minorBidi"/>
            <w:noProof/>
            <w:sz w:val="22"/>
            <w:szCs w:val="22"/>
            <w:lang w:eastAsia="en-US"/>
          </w:rPr>
          <w:tab/>
        </w:r>
        <w:r w:rsidR="00B663AB" w:rsidRPr="008C3D0C">
          <w:rPr>
            <w:rStyle w:val="Hyperlink"/>
            <w:noProof/>
          </w:rPr>
          <w:t>Investigation Derived Waste</w:t>
        </w:r>
        <w:r w:rsidR="00B663AB">
          <w:rPr>
            <w:noProof/>
            <w:webHidden/>
          </w:rPr>
          <w:tab/>
        </w:r>
        <w:r w:rsidR="00B663AB">
          <w:rPr>
            <w:noProof/>
            <w:webHidden/>
          </w:rPr>
          <w:fldChar w:fldCharType="begin"/>
        </w:r>
        <w:r w:rsidR="00B663AB">
          <w:rPr>
            <w:noProof/>
            <w:webHidden/>
          </w:rPr>
          <w:instrText xml:space="preserve"> PAGEREF _Toc98847342 \h </w:instrText>
        </w:r>
        <w:r w:rsidR="00B663AB">
          <w:rPr>
            <w:noProof/>
            <w:webHidden/>
          </w:rPr>
        </w:r>
        <w:r w:rsidR="00B663AB">
          <w:rPr>
            <w:noProof/>
            <w:webHidden/>
          </w:rPr>
          <w:fldChar w:fldCharType="separate"/>
        </w:r>
        <w:r w:rsidR="00B663AB">
          <w:rPr>
            <w:noProof/>
            <w:webHidden/>
          </w:rPr>
          <w:t>22</w:t>
        </w:r>
        <w:r w:rsidR="00B663AB">
          <w:rPr>
            <w:noProof/>
            <w:webHidden/>
          </w:rPr>
          <w:fldChar w:fldCharType="end"/>
        </w:r>
      </w:hyperlink>
    </w:p>
    <w:p w14:paraId="3E610992" w14:textId="3E25B774" w:rsidR="00B663AB" w:rsidRDefault="00C77D86">
      <w:pPr>
        <w:pStyle w:val="TOC2"/>
        <w:rPr>
          <w:rFonts w:asciiTheme="minorHAnsi" w:eastAsiaTheme="minorEastAsia" w:hAnsiTheme="minorHAnsi" w:cstheme="minorBidi"/>
          <w:noProof/>
          <w:sz w:val="22"/>
          <w:szCs w:val="22"/>
          <w:lang w:eastAsia="en-US"/>
        </w:rPr>
      </w:pPr>
      <w:hyperlink w:anchor="_Toc98847343" w:history="1">
        <w:r w:rsidR="00B663AB" w:rsidRPr="008C3D0C">
          <w:rPr>
            <w:rStyle w:val="Hyperlink"/>
            <w:noProof/>
          </w:rPr>
          <w:t>3.8</w:t>
        </w:r>
        <w:r w:rsidR="00B663AB">
          <w:rPr>
            <w:rFonts w:asciiTheme="minorHAnsi" w:eastAsiaTheme="minorEastAsia" w:hAnsiTheme="minorHAnsi" w:cstheme="minorBidi"/>
            <w:noProof/>
            <w:sz w:val="22"/>
            <w:szCs w:val="22"/>
            <w:lang w:eastAsia="en-US"/>
          </w:rPr>
          <w:tab/>
        </w:r>
        <w:r w:rsidR="00B663AB" w:rsidRPr="008C3D0C">
          <w:rPr>
            <w:rStyle w:val="Hyperlink"/>
            <w:noProof/>
          </w:rPr>
          <w:t>Sample Analyses and Data Validation</w:t>
        </w:r>
        <w:r w:rsidR="00B663AB">
          <w:rPr>
            <w:noProof/>
            <w:webHidden/>
          </w:rPr>
          <w:tab/>
        </w:r>
        <w:r w:rsidR="00B663AB">
          <w:rPr>
            <w:noProof/>
            <w:webHidden/>
          </w:rPr>
          <w:fldChar w:fldCharType="begin"/>
        </w:r>
        <w:r w:rsidR="00B663AB">
          <w:rPr>
            <w:noProof/>
            <w:webHidden/>
          </w:rPr>
          <w:instrText xml:space="preserve"> PAGEREF _Toc98847343 \h </w:instrText>
        </w:r>
        <w:r w:rsidR="00B663AB">
          <w:rPr>
            <w:noProof/>
            <w:webHidden/>
          </w:rPr>
        </w:r>
        <w:r w:rsidR="00B663AB">
          <w:rPr>
            <w:noProof/>
            <w:webHidden/>
          </w:rPr>
          <w:fldChar w:fldCharType="separate"/>
        </w:r>
        <w:r w:rsidR="00B663AB">
          <w:rPr>
            <w:noProof/>
            <w:webHidden/>
          </w:rPr>
          <w:t>22</w:t>
        </w:r>
        <w:r w:rsidR="00B663AB">
          <w:rPr>
            <w:noProof/>
            <w:webHidden/>
          </w:rPr>
          <w:fldChar w:fldCharType="end"/>
        </w:r>
      </w:hyperlink>
    </w:p>
    <w:p w14:paraId="2BB8FF6E" w14:textId="74A1E3F4" w:rsidR="00B663AB" w:rsidRDefault="00C77D86">
      <w:pPr>
        <w:pStyle w:val="TOC2"/>
        <w:rPr>
          <w:rFonts w:asciiTheme="minorHAnsi" w:eastAsiaTheme="minorEastAsia" w:hAnsiTheme="minorHAnsi" w:cstheme="minorBidi"/>
          <w:noProof/>
          <w:sz w:val="22"/>
          <w:szCs w:val="22"/>
          <w:lang w:eastAsia="en-US"/>
        </w:rPr>
      </w:pPr>
      <w:hyperlink w:anchor="_Toc98847344" w:history="1">
        <w:r w:rsidR="00B663AB" w:rsidRPr="008C3D0C">
          <w:rPr>
            <w:rStyle w:val="Hyperlink"/>
            <w:noProof/>
          </w:rPr>
          <w:t>3.9</w:t>
        </w:r>
        <w:r w:rsidR="00B663AB">
          <w:rPr>
            <w:rFonts w:asciiTheme="minorHAnsi" w:eastAsiaTheme="minorEastAsia" w:hAnsiTheme="minorHAnsi" w:cstheme="minorBidi"/>
            <w:noProof/>
            <w:sz w:val="22"/>
            <w:szCs w:val="22"/>
            <w:lang w:eastAsia="en-US"/>
          </w:rPr>
          <w:tab/>
        </w:r>
        <w:r w:rsidR="00B663AB" w:rsidRPr="008C3D0C">
          <w:rPr>
            <w:rStyle w:val="Hyperlink"/>
            <w:noProof/>
          </w:rPr>
          <w:t>Determination of Screening Levels</w:t>
        </w:r>
        <w:r w:rsidR="00B663AB">
          <w:rPr>
            <w:noProof/>
            <w:webHidden/>
          </w:rPr>
          <w:tab/>
        </w:r>
        <w:r w:rsidR="00B663AB">
          <w:rPr>
            <w:noProof/>
            <w:webHidden/>
          </w:rPr>
          <w:fldChar w:fldCharType="begin"/>
        </w:r>
        <w:r w:rsidR="00B663AB">
          <w:rPr>
            <w:noProof/>
            <w:webHidden/>
          </w:rPr>
          <w:instrText xml:space="preserve"> PAGEREF _Toc98847344 \h </w:instrText>
        </w:r>
        <w:r w:rsidR="00B663AB">
          <w:rPr>
            <w:noProof/>
            <w:webHidden/>
          </w:rPr>
        </w:r>
        <w:r w:rsidR="00B663AB">
          <w:rPr>
            <w:noProof/>
            <w:webHidden/>
          </w:rPr>
          <w:fldChar w:fldCharType="separate"/>
        </w:r>
        <w:r w:rsidR="00B663AB">
          <w:rPr>
            <w:noProof/>
            <w:webHidden/>
          </w:rPr>
          <w:t>22</w:t>
        </w:r>
        <w:r w:rsidR="00B663AB">
          <w:rPr>
            <w:noProof/>
            <w:webHidden/>
          </w:rPr>
          <w:fldChar w:fldCharType="end"/>
        </w:r>
      </w:hyperlink>
    </w:p>
    <w:p w14:paraId="732BED2F" w14:textId="24ED2004" w:rsidR="00B663AB" w:rsidRDefault="00C77D86">
      <w:pPr>
        <w:pStyle w:val="TOC3"/>
        <w:rPr>
          <w:rFonts w:asciiTheme="minorHAnsi" w:eastAsiaTheme="minorEastAsia" w:hAnsiTheme="minorHAnsi" w:cstheme="minorBidi"/>
          <w:noProof/>
          <w:sz w:val="22"/>
          <w:szCs w:val="22"/>
          <w:lang w:eastAsia="en-US"/>
        </w:rPr>
      </w:pPr>
      <w:hyperlink w:anchor="_Toc98847345" w:history="1">
        <w:r w:rsidR="00B663AB" w:rsidRPr="008C3D0C">
          <w:rPr>
            <w:rStyle w:val="Hyperlink"/>
            <w:noProof/>
          </w:rPr>
          <w:t>3.9.1</w:t>
        </w:r>
        <w:r w:rsidR="00B663AB">
          <w:rPr>
            <w:rFonts w:asciiTheme="minorHAnsi" w:eastAsiaTheme="minorEastAsia" w:hAnsiTheme="minorHAnsi" w:cstheme="minorBidi"/>
            <w:noProof/>
            <w:sz w:val="22"/>
            <w:szCs w:val="22"/>
            <w:lang w:eastAsia="en-US"/>
          </w:rPr>
          <w:tab/>
        </w:r>
        <w:r w:rsidR="00B663AB" w:rsidRPr="008C3D0C">
          <w:rPr>
            <w:rStyle w:val="Hyperlink"/>
            <w:noProof/>
          </w:rPr>
          <w:t>Soil</w:t>
        </w:r>
        <w:r w:rsidR="00B663AB">
          <w:rPr>
            <w:noProof/>
            <w:webHidden/>
          </w:rPr>
          <w:tab/>
        </w:r>
        <w:r w:rsidR="00B663AB">
          <w:rPr>
            <w:noProof/>
            <w:webHidden/>
          </w:rPr>
          <w:fldChar w:fldCharType="begin"/>
        </w:r>
        <w:r w:rsidR="00B663AB">
          <w:rPr>
            <w:noProof/>
            <w:webHidden/>
          </w:rPr>
          <w:instrText xml:space="preserve"> PAGEREF _Toc98847345 \h </w:instrText>
        </w:r>
        <w:r w:rsidR="00B663AB">
          <w:rPr>
            <w:noProof/>
            <w:webHidden/>
          </w:rPr>
        </w:r>
        <w:r w:rsidR="00B663AB">
          <w:rPr>
            <w:noProof/>
            <w:webHidden/>
          </w:rPr>
          <w:fldChar w:fldCharType="separate"/>
        </w:r>
        <w:r w:rsidR="00B663AB">
          <w:rPr>
            <w:noProof/>
            <w:webHidden/>
          </w:rPr>
          <w:t>23</w:t>
        </w:r>
        <w:r w:rsidR="00B663AB">
          <w:rPr>
            <w:noProof/>
            <w:webHidden/>
          </w:rPr>
          <w:fldChar w:fldCharType="end"/>
        </w:r>
      </w:hyperlink>
    </w:p>
    <w:p w14:paraId="77371630" w14:textId="04AC0DD5" w:rsidR="00B663AB" w:rsidRDefault="00C77D86">
      <w:pPr>
        <w:pStyle w:val="TOC3"/>
        <w:rPr>
          <w:rFonts w:asciiTheme="minorHAnsi" w:eastAsiaTheme="minorEastAsia" w:hAnsiTheme="minorHAnsi" w:cstheme="minorBidi"/>
          <w:noProof/>
          <w:sz w:val="22"/>
          <w:szCs w:val="22"/>
          <w:lang w:eastAsia="en-US"/>
        </w:rPr>
      </w:pPr>
      <w:hyperlink w:anchor="_Toc98847346" w:history="1">
        <w:r w:rsidR="00B663AB" w:rsidRPr="008C3D0C">
          <w:rPr>
            <w:rStyle w:val="Hyperlink"/>
            <w:noProof/>
          </w:rPr>
          <w:t>3.9.2</w:t>
        </w:r>
        <w:r w:rsidR="00B663AB">
          <w:rPr>
            <w:rFonts w:asciiTheme="minorHAnsi" w:eastAsiaTheme="minorEastAsia" w:hAnsiTheme="minorHAnsi" w:cstheme="minorBidi"/>
            <w:noProof/>
            <w:sz w:val="22"/>
            <w:szCs w:val="22"/>
            <w:lang w:eastAsia="en-US"/>
          </w:rPr>
          <w:tab/>
        </w:r>
        <w:r w:rsidR="00B663AB" w:rsidRPr="008C3D0C">
          <w:rPr>
            <w:rStyle w:val="Hyperlink"/>
            <w:noProof/>
          </w:rPr>
          <w:t>Groundwater</w:t>
        </w:r>
        <w:r w:rsidR="00B663AB">
          <w:rPr>
            <w:noProof/>
            <w:webHidden/>
          </w:rPr>
          <w:tab/>
        </w:r>
        <w:r w:rsidR="00B663AB">
          <w:rPr>
            <w:noProof/>
            <w:webHidden/>
          </w:rPr>
          <w:fldChar w:fldCharType="begin"/>
        </w:r>
        <w:r w:rsidR="00B663AB">
          <w:rPr>
            <w:noProof/>
            <w:webHidden/>
          </w:rPr>
          <w:instrText xml:space="preserve"> PAGEREF _Toc98847346 \h </w:instrText>
        </w:r>
        <w:r w:rsidR="00B663AB">
          <w:rPr>
            <w:noProof/>
            <w:webHidden/>
          </w:rPr>
        </w:r>
        <w:r w:rsidR="00B663AB">
          <w:rPr>
            <w:noProof/>
            <w:webHidden/>
          </w:rPr>
          <w:fldChar w:fldCharType="separate"/>
        </w:r>
        <w:r w:rsidR="00B663AB">
          <w:rPr>
            <w:noProof/>
            <w:webHidden/>
          </w:rPr>
          <w:t>23</w:t>
        </w:r>
        <w:r w:rsidR="00B663AB">
          <w:rPr>
            <w:noProof/>
            <w:webHidden/>
          </w:rPr>
          <w:fldChar w:fldCharType="end"/>
        </w:r>
      </w:hyperlink>
    </w:p>
    <w:p w14:paraId="175B21DB" w14:textId="14E515D8" w:rsidR="00B663AB" w:rsidRDefault="00C77D86">
      <w:pPr>
        <w:pStyle w:val="TOC1"/>
        <w:rPr>
          <w:rFonts w:asciiTheme="minorHAnsi" w:eastAsiaTheme="minorEastAsia" w:hAnsiTheme="minorHAnsi" w:cstheme="minorBidi"/>
          <w:b w:val="0"/>
          <w:caps w:val="0"/>
          <w:sz w:val="22"/>
          <w:szCs w:val="22"/>
          <w:lang w:eastAsia="en-US"/>
        </w:rPr>
      </w:pPr>
      <w:hyperlink w:anchor="_Toc98847347" w:history="1">
        <w:r w:rsidR="00B663AB" w:rsidRPr="008C3D0C">
          <w:rPr>
            <w:rStyle w:val="Hyperlink"/>
          </w:rPr>
          <w:t>4.</w:t>
        </w:r>
        <w:r w:rsidR="00B663AB">
          <w:rPr>
            <w:rFonts w:asciiTheme="minorHAnsi" w:eastAsiaTheme="minorEastAsia" w:hAnsiTheme="minorHAnsi" w:cstheme="minorBidi"/>
            <w:b w:val="0"/>
            <w:caps w:val="0"/>
            <w:sz w:val="22"/>
            <w:szCs w:val="22"/>
            <w:lang w:eastAsia="en-US"/>
          </w:rPr>
          <w:tab/>
        </w:r>
        <w:r w:rsidR="00B663AB" w:rsidRPr="008C3D0C">
          <w:rPr>
            <w:rStyle w:val="Hyperlink"/>
          </w:rPr>
          <w:t>Remedial Investigation Results</w:t>
        </w:r>
        <w:r w:rsidR="00B663AB">
          <w:rPr>
            <w:webHidden/>
          </w:rPr>
          <w:tab/>
        </w:r>
        <w:r w:rsidR="00B663AB">
          <w:rPr>
            <w:webHidden/>
          </w:rPr>
          <w:fldChar w:fldCharType="begin"/>
        </w:r>
        <w:r w:rsidR="00B663AB">
          <w:rPr>
            <w:webHidden/>
          </w:rPr>
          <w:instrText xml:space="preserve"> PAGEREF _Toc98847347 \h </w:instrText>
        </w:r>
        <w:r w:rsidR="00B663AB">
          <w:rPr>
            <w:webHidden/>
          </w:rPr>
        </w:r>
        <w:r w:rsidR="00B663AB">
          <w:rPr>
            <w:webHidden/>
          </w:rPr>
          <w:fldChar w:fldCharType="separate"/>
        </w:r>
        <w:r w:rsidR="00B663AB">
          <w:rPr>
            <w:webHidden/>
          </w:rPr>
          <w:t>25</w:t>
        </w:r>
        <w:r w:rsidR="00B663AB">
          <w:rPr>
            <w:webHidden/>
          </w:rPr>
          <w:fldChar w:fldCharType="end"/>
        </w:r>
      </w:hyperlink>
    </w:p>
    <w:p w14:paraId="1E2E9020" w14:textId="1E789C61" w:rsidR="00B663AB" w:rsidRDefault="00C77D86">
      <w:pPr>
        <w:pStyle w:val="TOC2"/>
        <w:rPr>
          <w:rFonts w:asciiTheme="minorHAnsi" w:eastAsiaTheme="minorEastAsia" w:hAnsiTheme="minorHAnsi" w:cstheme="minorBidi"/>
          <w:noProof/>
          <w:sz w:val="22"/>
          <w:szCs w:val="22"/>
          <w:lang w:eastAsia="en-US"/>
        </w:rPr>
      </w:pPr>
      <w:hyperlink w:anchor="_Toc98847348" w:history="1">
        <w:r w:rsidR="00B663AB" w:rsidRPr="008C3D0C">
          <w:rPr>
            <w:rStyle w:val="Hyperlink"/>
            <w:noProof/>
          </w:rPr>
          <w:t>4.1</w:t>
        </w:r>
        <w:r w:rsidR="00B663AB">
          <w:rPr>
            <w:rFonts w:asciiTheme="minorHAnsi" w:eastAsiaTheme="minorEastAsia" w:hAnsiTheme="minorHAnsi" w:cstheme="minorBidi"/>
            <w:noProof/>
            <w:sz w:val="22"/>
            <w:szCs w:val="22"/>
            <w:lang w:eastAsia="en-US"/>
          </w:rPr>
          <w:tab/>
        </w:r>
        <w:r w:rsidR="00B663AB" w:rsidRPr="008C3D0C">
          <w:rPr>
            <w:rStyle w:val="Hyperlink"/>
            <w:noProof/>
          </w:rPr>
          <w:t>Soil Investigation Results</w:t>
        </w:r>
        <w:r w:rsidR="00B663AB">
          <w:rPr>
            <w:noProof/>
            <w:webHidden/>
          </w:rPr>
          <w:tab/>
        </w:r>
        <w:r w:rsidR="00B663AB">
          <w:rPr>
            <w:noProof/>
            <w:webHidden/>
          </w:rPr>
          <w:fldChar w:fldCharType="begin"/>
        </w:r>
        <w:r w:rsidR="00B663AB">
          <w:rPr>
            <w:noProof/>
            <w:webHidden/>
          </w:rPr>
          <w:instrText xml:space="preserve"> PAGEREF _Toc98847348 \h </w:instrText>
        </w:r>
        <w:r w:rsidR="00B663AB">
          <w:rPr>
            <w:noProof/>
            <w:webHidden/>
          </w:rPr>
        </w:r>
        <w:r w:rsidR="00B663AB">
          <w:rPr>
            <w:noProof/>
            <w:webHidden/>
          </w:rPr>
          <w:fldChar w:fldCharType="separate"/>
        </w:r>
        <w:r w:rsidR="00B663AB">
          <w:rPr>
            <w:noProof/>
            <w:webHidden/>
          </w:rPr>
          <w:t>25</w:t>
        </w:r>
        <w:r w:rsidR="00B663AB">
          <w:rPr>
            <w:noProof/>
            <w:webHidden/>
          </w:rPr>
          <w:fldChar w:fldCharType="end"/>
        </w:r>
      </w:hyperlink>
    </w:p>
    <w:p w14:paraId="7B5BCCA0" w14:textId="6CB4272A" w:rsidR="00B663AB" w:rsidRDefault="00C77D86">
      <w:pPr>
        <w:pStyle w:val="TOC3"/>
        <w:rPr>
          <w:rFonts w:asciiTheme="minorHAnsi" w:eastAsiaTheme="minorEastAsia" w:hAnsiTheme="minorHAnsi" w:cstheme="minorBidi"/>
          <w:noProof/>
          <w:sz w:val="22"/>
          <w:szCs w:val="22"/>
          <w:lang w:eastAsia="en-US"/>
        </w:rPr>
      </w:pPr>
      <w:hyperlink w:anchor="_Toc98847349" w:history="1">
        <w:r w:rsidR="00B663AB" w:rsidRPr="008C3D0C">
          <w:rPr>
            <w:rStyle w:val="Hyperlink"/>
            <w:noProof/>
          </w:rPr>
          <w:t>4.1.1</w:t>
        </w:r>
        <w:r w:rsidR="00B663AB">
          <w:rPr>
            <w:rFonts w:asciiTheme="minorHAnsi" w:eastAsiaTheme="minorEastAsia" w:hAnsiTheme="minorHAnsi" w:cstheme="minorBidi"/>
            <w:noProof/>
            <w:sz w:val="22"/>
            <w:szCs w:val="22"/>
            <w:lang w:eastAsia="en-US"/>
          </w:rPr>
          <w:tab/>
        </w:r>
        <w:r w:rsidR="00B663AB" w:rsidRPr="008C3D0C">
          <w:rPr>
            <w:rStyle w:val="Hyperlink"/>
            <w:noProof/>
          </w:rPr>
          <w:t>Site Stratigraphy</w:t>
        </w:r>
        <w:r w:rsidR="00B663AB">
          <w:rPr>
            <w:noProof/>
            <w:webHidden/>
          </w:rPr>
          <w:tab/>
        </w:r>
        <w:r w:rsidR="00B663AB">
          <w:rPr>
            <w:noProof/>
            <w:webHidden/>
          </w:rPr>
          <w:fldChar w:fldCharType="begin"/>
        </w:r>
        <w:r w:rsidR="00B663AB">
          <w:rPr>
            <w:noProof/>
            <w:webHidden/>
          </w:rPr>
          <w:instrText xml:space="preserve"> PAGEREF _Toc98847349 \h </w:instrText>
        </w:r>
        <w:r w:rsidR="00B663AB">
          <w:rPr>
            <w:noProof/>
            <w:webHidden/>
          </w:rPr>
        </w:r>
        <w:r w:rsidR="00B663AB">
          <w:rPr>
            <w:noProof/>
            <w:webHidden/>
          </w:rPr>
          <w:fldChar w:fldCharType="separate"/>
        </w:r>
        <w:r w:rsidR="00B663AB">
          <w:rPr>
            <w:noProof/>
            <w:webHidden/>
          </w:rPr>
          <w:t>25</w:t>
        </w:r>
        <w:r w:rsidR="00B663AB">
          <w:rPr>
            <w:noProof/>
            <w:webHidden/>
          </w:rPr>
          <w:fldChar w:fldCharType="end"/>
        </w:r>
      </w:hyperlink>
    </w:p>
    <w:p w14:paraId="0BC60E63" w14:textId="42DC5955" w:rsidR="00B663AB" w:rsidRDefault="00C77D86">
      <w:pPr>
        <w:pStyle w:val="TOC3"/>
        <w:rPr>
          <w:rFonts w:asciiTheme="minorHAnsi" w:eastAsiaTheme="minorEastAsia" w:hAnsiTheme="minorHAnsi" w:cstheme="minorBidi"/>
          <w:noProof/>
          <w:sz w:val="22"/>
          <w:szCs w:val="22"/>
          <w:lang w:eastAsia="en-US"/>
        </w:rPr>
      </w:pPr>
      <w:hyperlink w:anchor="_Toc98847350" w:history="1">
        <w:r w:rsidR="00B663AB" w:rsidRPr="008C3D0C">
          <w:rPr>
            <w:rStyle w:val="Hyperlink"/>
            <w:noProof/>
          </w:rPr>
          <w:t>4.1.2</w:t>
        </w:r>
        <w:r w:rsidR="00B663AB">
          <w:rPr>
            <w:rFonts w:asciiTheme="minorHAnsi" w:eastAsiaTheme="minorEastAsia" w:hAnsiTheme="minorHAnsi" w:cstheme="minorBidi"/>
            <w:noProof/>
            <w:sz w:val="22"/>
            <w:szCs w:val="22"/>
            <w:lang w:eastAsia="en-US"/>
          </w:rPr>
          <w:tab/>
        </w:r>
        <w:r w:rsidR="00B663AB" w:rsidRPr="008C3D0C">
          <w:rPr>
            <w:rStyle w:val="Hyperlink"/>
            <w:noProof/>
          </w:rPr>
          <w:t>Nature and Extent of Soil Constituents of Interest</w:t>
        </w:r>
        <w:r w:rsidR="00B663AB">
          <w:rPr>
            <w:noProof/>
            <w:webHidden/>
          </w:rPr>
          <w:tab/>
        </w:r>
        <w:r w:rsidR="00B663AB">
          <w:rPr>
            <w:noProof/>
            <w:webHidden/>
          </w:rPr>
          <w:fldChar w:fldCharType="begin"/>
        </w:r>
        <w:r w:rsidR="00B663AB">
          <w:rPr>
            <w:noProof/>
            <w:webHidden/>
          </w:rPr>
          <w:instrText xml:space="preserve"> PAGEREF _Toc98847350 \h </w:instrText>
        </w:r>
        <w:r w:rsidR="00B663AB">
          <w:rPr>
            <w:noProof/>
            <w:webHidden/>
          </w:rPr>
        </w:r>
        <w:r w:rsidR="00B663AB">
          <w:rPr>
            <w:noProof/>
            <w:webHidden/>
          </w:rPr>
          <w:fldChar w:fldCharType="separate"/>
        </w:r>
        <w:r w:rsidR="00B663AB">
          <w:rPr>
            <w:noProof/>
            <w:webHidden/>
          </w:rPr>
          <w:t>26</w:t>
        </w:r>
        <w:r w:rsidR="00B663AB">
          <w:rPr>
            <w:noProof/>
            <w:webHidden/>
          </w:rPr>
          <w:fldChar w:fldCharType="end"/>
        </w:r>
      </w:hyperlink>
    </w:p>
    <w:p w14:paraId="4822B3F9" w14:textId="11735A7D" w:rsidR="00B663AB" w:rsidRDefault="00C77D86">
      <w:pPr>
        <w:pStyle w:val="TOC3"/>
        <w:rPr>
          <w:rFonts w:asciiTheme="minorHAnsi" w:eastAsiaTheme="minorEastAsia" w:hAnsiTheme="minorHAnsi" w:cstheme="minorBidi"/>
          <w:noProof/>
          <w:sz w:val="22"/>
          <w:szCs w:val="22"/>
          <w:lang w:eastAsia="en-US"/>
        </w:rPr>
      </w:pPr>
      <w:hyperlink w:anchor="_Toc98847351" w:history="1">
        <w:r w:rsidR="00B663AB" w:rsidRPr="008C3D0C">
          <w:rPr>
            <w:rStyle w:val="Hyperlink"/>
            <w:noProof/>
          </w:rPr>
          <w:t>4.1.3</w:t>
        </w:r>
        <w:r w:rsidR="00B663AB">
          <w:rPr>
            <w:rFonts w:asciiTheme="minorHAnsi" w:eastAsiaTheme="minorEastAsia" w:hAnsiTheme="minorHAnsi" w:cstheme="minorBidi"/>
            <w:noProof/>
            <w:sz w:val="22"/>
            <w:szCs w:val="22"/>
            <w:lang w:eastAsia="en-US"/>
          </w:rPr>
          <w:tab/>
        </w:r>
        <w:r w:rsidR="00B663AB" w:rsidRPr="008C3D0C">
          <w:rPr>
            <w:rStyle w:val="Hyperlink"/>
            <w:noProof/>
          </w:rPr>
          <w:t>Soil Investigation Summary</w:t>
        </w:r>
        <w:r w:rsidR="00B663AB">
          <w:rPr>
            <w:noProof/>
            <w:webHidden/>
          </w:rPr>
          <w:tab/>
        </w:r>
        <w:r w:rsidR="00B663AB">
          <w:rPr>
            <w:noProof/>
            <w:webHidden/>
          </w:rPr>
          <w:fldChar w:fldCharType="begin"/>
        </w:r>
        <w:r w:rsidR="00B663AB">
          <w:rPr>
            <w:noProof/>
            <w:webHidden/>
          </w:rPr>
          <w:instrText xml:space="preserve"> PAGEREF _Toc98847351 \h </w:instrText>
        </w:r>
        <w:r w:rsidR="00B663AB">
          <w:rPr>
            <w:noProof/>
            <w:webHidden/>
          </w:rPr>
        </w:r>
        <w:r w:rsidR="00B663AB">
          <w:rPr>
            <w:noProof/>
            <w:webHidden/>
          </w:rPr>
          <w:fldChar w:fldCharType="separate"/>
        </w:r>
        <w:r w:rsidR="00B663AB">
          <w:rPr>
            <w:noProof/>
            <w:webHidden/>
          </w:rPr>
          <w:t>30</w:t>
        </w:r>
        <w:r w:rsidR="00B663AB">
          <w:rPr>
            <w:noProof/>
            <w:webHidden/>
          </w:rPr>
          <w:fldChar w:fldCharType="end"/>
        </w:r>
      </w:hyperlink>
    </w:p>
    <w:p w14:paraId="765F2049" w14:textId="7218FA98" w:rsidR="00B663AB" w:rsidRDefault="00C77D86">
      <w:pPr>
        <w:pStyle w:val="TOC2"/>
        <w:rPr>
          <w:rFonts w:asciiTheme="minorHAnsi" w:eastAsiaTheme="minorEastAsia" w:hAnsiTheme="minorHAnsi" w:cstheme="minorBidi"/>
          <w:noProof/>
          <w:sz w:val="22"/>
          <w:szCs w:val="22"/>
          <w:lang w:eastAsia="en-US"/>
        </w:rPr>
      </w:pPr>
      <w:hyperlink w:anchor="_Toc98847352" w:history="1">
        <w:r w:rsidR="00B663AB" w:rsidRPr="008C3D0C">
          <w:rPr>
            <w:rStyle w:val="Hyperlink"/>
            <w:noProof/>
          </w:rPr>
          <w:t>4.2</w:t>
        </w:r>
        <w:r w:rsidR="00B663AB">
          <w:rPr>
            <w:rFonts w:asciiTheme="minorHAnsi" w:eastAsiaTheme="minorEastAsia" w:hAnsiTheme="minorHAnsi" w:cstheme="minorBidi"/>
            <w:noProof/>
            <w:sz w:val="22"/>
            <w:szCs w:val="22"/>
            <w:lang w:eastAsia="en-US"/>
          </w:rPr>
          <w:tab/>
        </w:r>
        <w:r w:rsidR="00B663AB" w:rsidRPr="008C3D0C">
          <w:rPr>
            <w:rStyle w:val="Hyperlink"/>
            <w:noProof/>
          </w:rPr>
          <w:t>Groundwater Investigation</w:t>
        </w:r>
        <w:r w:rsidR="00B663AB">
          <w:rPr>
            <w:noProof/>
            <w:webHidden/>
          </w:rPr>
          <w:tab/>
        </w:r>
        <w:r w:rsidR="00B663AB">
          <w:rPr>
            <w:noProof/>
            <w:webHidden/>
          </w:rPr>
          <w:fldChar w:fldCharType="begin"/>
        </w:r>
        <w:r w:rsidR="00B663AB">
          <w:rPr>
            <w:noProof/>
            <w:webHidden/>
          </w:rPr>
          <w:instrText xml:space="preserve"> PAGEREF _Toc98847352 \h </w:instrText>
        </w:r>
        <w:r w:rsidR="00B663AB">
          <w:rPr>
            <w:noProof/>
            <w:webHidden/>
          </w:rPr>
        </w:r>
        <w:r w:rsidR="00B663AB">
          <w:rPr>
            <w:noProof/>
            <w:webHidden/>
          </w:rPr>
          <w:fldChar w:fldCharType="separate"/>
        </w:r>
        <w:r w:rsidR="00B663AB">
          <w:rPr>
            <w:noProof/>
            <w:webHidden/>
          </w:rPr>
          <w:t>30</w:t>
        </w:r>
        <w:r w:rsidR="00B663AB">
          <w:rPr>
            <w:noProof/>
            <w:webHidden/>
          </w:rPr>
          <w:fldChar w:fldCharType="end"/>
        </w:r>
      </w:hyperlink>
    </w:p>
    <w:p w14:paraId="3A667FA4" w14:textId="661B3768" w:rsidR="00B663AB" w:rsidRDefault="00C77D86">
      <w:pPr>
        <w:pStyle w:val="TOC3"/>
        <w:rPr>
          <w:rFonts w:asciiTheme="minorHAnsi" w:eastAsiaTheme="minorEastAsia" w:hAnsiTheme="minorHAnsi" w:cstheme="minorBidi"/>
          <w:noProof/>
          <w:sz w:val="22"/>
          <w:szCs w:val="22"/>
          <w:lang w:eastAsia="en-US"/>
        </w:rPr>
      </w:pPr>
      <w:hyperlink w:anchor="_Toc98847353" w:history="1">
        <w:r w:rsidR="00B663AB" w:rsidRPr="008C3D0C">
          <w:rPr>
            <w:rStyle w:val="Hyperlink"/>
            <w:noProof/>
          </w:rPr>
          <w:t>4.2.1</w:t>
        </w:r>
        <w:r w:rsidR="00B663AB">
          <w:rPr>
            <w:rFonts w:asciiTheme="minorHAnsi" w:eastAsiaTheme="minorEastAsia" w:hAnsiTheme="minorHAnsi" w:cstheme="minorBidi"/>
            <w:noProof/>
            <w:sz w:val="22"/>
            <w:szCs w:val="22"/>
            <w:lang w:eastAsia="en-US"/>
          </w:rPr>
          <w:tab/>
        </w:r>
        <w:r w:rsidR="00B663AB" w:rsidRPr="008C3D0C">
          <w:rPr>
            <w:rStyle w:val="Hyperlink"/>
            <w:noProof/>
          </w:rPr>
          <w:t>Site Hydrogeology</w:t>
        </w:r>
        <w:r w:rsidR="00B663AB">
          <w:rPr>
            <w:noProof/>
            <w:webHidden/>
          </w:rPr>
          <w:tab/>
        </w:r>
        <w:r w:rsidR="00B663AB">
          <w:rPr>
            <w:noProof/>
            <w:webHidden/>
          </w:rPr>
          <w:fldChar w:fldCharType="begin"/>
        </w:r>
        <w:r w:rsidR="00B663AB">
          <w:rPr>
            <w:noProof/>
            <w:webHidden/>
          </w:rPr>
          <w:instrText xml:space="preserve"> PAGEREF _Toc98847353 \h </w:instrText>
        </w:r>
        <w:r w:rsidR="00B663AB">
          <w:rPr>
            <w:noProof/>
            <w:webHidden/>
          </w:rPr>
        </w:r>
        <w:r w:rsidR="00B663AB">
          <w:rPr>
            <w:noProof/>
            <w:webHidden/>
          </w:rPr>
          <w:fldChar w:fldCharType="separate"/>
        </w:r>
        <w:r w:rsidR="00B663AB">
          <w:rPr>
            <w:noProof/>
            <w:webHidden/>
          </w:rPr>
          <w:t>30</w:t>
        </w:r>
        <w:r w:rsidR="00B663AB">
          <w:rPr>
            <w:noProof/>
            <w:webHidden/>
          </w:rPr>
          <w:fldChar w:fldCharType="end"/>
        </w:r>
      </w:hyperlink>
    </w:p>
    <w:p w14:paraId="093B7872" w14:textId="0D7A6989" w:rsidR="00B663AB" w:rsidRDefault="00C77D86">
      <w:pPr>
        <w:pStyle w:val="TOC3"/>
        <w:rPr>
          <w:rFonts w:asciiTheme="minorHAnsi" w:eastAsiaTheme="minorEastAsia" w:hAnsiTheme="minorHAnsi" w:cstheme="minorBidi"/>
          <w:noProof/>
          <w:sz w:val="22"/>
          <w:szCs w:val="22"/>
          <w:lang w:eastAsia="en-US"/>
        </w:rPr>
      </w:pPr>
      <w:hyperlink w:anchor="_Toc98847354" w:history="1">
        <w:r w:rsidR="00B663AB" w:rsidRPr="008C3D0C">
          <w:rPr>
            <w:rStyle w:val="Hyperlink"/>
            <w:noProof/>
          </w:rPr>
          <w:t>4.2.2</w:t>
        </w:r>
        <w:r w:rsidR="00B663AB">
          <w:rPr>
            <w:rFonts w:asciiTheme="minorHAnsi" w:eastAsiaTheme="minorEastAsia" w:hAnsiTheme="minorHAnsi" w:cstheme="minorBidi"/>
            <w:noProof/>
            <w:sz w:val="22"/>
            <w:szCs w:val="22"/>
            <w:lang w:eastAsia="en-US"/>
          </w:rPr>
          <w:tab/>
        </w:r>
        <w:r w:rsidR="00B663AB" w:rsidRPr="008C3D0C">
          <w:rPr>
            <w:rStyle w:val="Hyperlink"/>
            <w:noProof/>
          </w:rPr>
          <w:t>Nature and Extent of Groundwater Constituents of Interest</w:t>
        </w:r>
        <w:r w:rsidR="00B663AB">
          <w:rPr>
            <w:noProof/>
            <w:webHidden/>
          </w:rPr>
          <w:tab/>
        </w:r>
        <w:r w:rsidR="00B663AB">
          <w:rPr>
            <w:noProof/>
            <w:webHidden/>
          </w:rPr>
          <w:fldChar w:fldCharType="begin"/>
        </w:r>
        <w:r w:rsidR="00B663AB">
          <w:rPr>
            <w:noProof/>
            <w:webHidden/>
          </w:rPr>
          <w:instrText xml:space="preserve"> PAGEREF _Toc98847354 \h </w:instrText>
        </w:r>
        <w:r w:rsidR="00B663AB">
          <w:rPr>
            <w:noProof/>
            <w:webHidden/>
          </w:rPr>
        </w:r>
        <w:r w:rsidR="00B663AB">
          <w:rPr>
            <w:noProof/>
            <w:webHidden/>
          </w:rPr>
          <w:fldChar w:fldCharType="separate"/>
        </w:r>
        <w:r w:rsidR="00B663AB">
          <w:rPr>
            <w:noProof/>
            <w:webHidden/>
          </w:rPr>
          <w:t>31</w:t>
        </w:r>
        <w:r w:rsidR="00B663AB">
          <w:rPr>
            <w:noProof/>
            <w:webHidden/>
          </w:rPr>
          <w:fldChar w:fldCharType="end"/>
        </w:r>
      </w:hyperlink>
    </w:p>
    <w:p w14:paraId="498853ED" w14:textId="2BF56782" w:rsidR="00B663AB" w:rsidRDefault="00C77D86">
      <w:pPr>
        <w:pStyle w:val="TOC3"/>
        <w:rPr>
          <w:rFonts w:asciiTheme="minorHAnsi" w:eastAsiaTheme="minorEastAsia" w:hAnsiTheme="minorHAnsi" w:cstheme="minorBidi"/>
          <w:noProof/>
          <w:sz w:val="22"/>
          <w:szCs w:val="22"/>
          <w:lang w:eastAsia="en-US"/>
        </w:rPr>
      </w:pPr>
      <w:hyperlink w:anchor="_Toc98847355" w:history="1">
        <w:r w:rsidR="00B663AB" w:rsidRPr="008C3D0C">
          <w:rPr>
            <w:rStyle w:val="Hyperlink"/>
            <w:noProof/>
          </w:rPr>
          <w:t>4.2.3</w:t>
        </w:r>
        <w:r w:rsidR="00B663AB">
          <w:rPr>
            <w:rFonts w:asciiTheme="minorHAnsi" w:eastAsiaTheme="minorEastAsia" w:hAnsiTheme="minorHAnsi" w:cstheme="minorBidi"/>
            <w:noProof/>
            <w:sz w:val="22"/>
            <w:szCs w:val="22"/>
            <w:lang w:eastAsia="en-US"/>
          </w:rPr>
          <w:tab/>
        </w:r>
        <w:r w:rsidR="00B663AB" w:rsidRPr="008C3D0C">
          <w:rPr>
            <w:rStyle w:val="Hyperlink"/>
            <w:noProof/>
          </w:rPr>
          <w:t>Groundwater Investigation Summary</w:t>
        </w:r>
        <w:r w:rsidR="00B663AB">
          <w:rPr>
            <w:noProof/>
            <w:webHidden/>
          </w:rPr>
          <w:tab/>
        </w:r>
        <w:r w:rsidR="00B663AB">
          <w:rPr>
            <w:noProof/>
            <w:webHidden/>
          </w:rPr>
          <w:fldChar w:fldCharType="begin"/>
        </w:r>
        <w:r w:rsidR="00B663AB">
          <w:rPr>
            <w:noProof/>
            <w:webHidden/>
          </w:rPr>
          <w:instrText xml:space="preserve"> PAGEREF _Toc98847355 \h </w:instrText>
        </w:r>
        <w:r w:rsidR="00B663AB">
          <w:rPr>
            <w:noProof/>
            <w:webHidden/>
          </w:rPr>
        </w:r>
        <w:r w:rsidR="00B663AB">
          <w:rPr>
            <w:noProof/>
            <w:webHidden/>
          </w:rPr>
          <w:fldChar w:fldCharType="separate"/>
        </w:r>
        <w:r w:rsidR="00B663AB">
          <w:rPr>
            <w:noProof/>
            <w:webHidden/>
          </w:rPr>
          <w:t>32</w:t>
        </w:r>
        <w:r w:rsidR="00B663AB">
          <w:rPr>
            <w:noProof/>
            <w:webHidden/>
          </w:rPr>
          <w:fldChar w:fldCharType="end"/>
        </w:r>
      </w:hyperlink>
    </w:p>
    <w:p w14:paraId="0E0892E0" w14:textId="1CCF3C45" w:rsidR="00B663AB" w:rsidRDefault="00C77D86">
      <w:pPr>
        <w:pStyle w:val="TOC1"/>
        <w:rPr>
          <w:rFonts w:asciiTheme="minorHAnsi" w:eastAsiaTheme="minorEastAsia" w:hAnsiTheme="minorHAnsi" w:cstheme="minorBidi"/>
          <w:b w:val="0"/>
          <w:caps w:val="0"/>
          <w:sz w:val="22"/>
          <w:szCs w:val="22"/>
          <w:lang w:eastAsia="en-US"/>
        </w:rPr>
      </w:pPr>
      <w:hyperlink w:anchor="_Toc98847356" w:history="1">
        <w:r w:rsidR="00B663AB" w:rsidRPr="008C3D0C">
          <w:rPr>
            <w:rStyle w:val="Hyperlink"/>
          </w:rPr>
          <w:t>5.</w:t>
        </w:r>
        <w:r w:rsidR="00B663AB">
          <w:rPr>
            <w:rFonts w:asciiTheme="minorHAnsi" w:eastAsiaTheme="minorEastAsia" w:hAnsiTheme="minorHAnsi" w:cstheme="minorBidi"/>
            <w:b w:val="0"/>
            <w:caps w:val="0"/>
            <w:sz w:val="22"/>
            <w:szCs w:val="22"/>
            <w:lang w:eastAsia="en-US"/>
          </w:rPr>
          <w:tab/>
        </w:r>
        <w:r w:rsidR="00B663AB" w:rsidRPr="008C3D0C">
          <w:rPr>
            <w:rStyle w:val="Hyperlink"/>
          </w:rPr>
          <w:t>Terrestrial Ecological Evaluation</w:t>
        </w:r>
        <w:r w:rsidR="00B663AB">
          <w:rPr>
            <w:webHidden/>
          </w:rPr>
          <w:tab/>
        </w:r>
        <w:r w:rsidR="00B663AB">
          <w:rPr>
            <w:webHidden/>
          </w:rPr>
          <w:fldChar w:fldCharType="begin"/>
        </w:r>
        <w:r w:rsidR="00B663AB">
          <w:rPr>
            <w:webHidden/>
          </w:rPr>
          <w:instrText xml:space="preserve"> PAGEREF _Toc98847356 \h </w:instrText>
        </w:r>
        <w:r w:rsidR="00B663AB">
          <w:rPr>
            <w:webHidden/>
          </w:rPr>
        </w:r>
        <w:r w:rsidR="00B663AB">
          <w:rPr>
            <w:webHidden/>
          </w:rPr>
          <w:fldChar w:fldCharType="separate"/>
        </w:r>
        <w:r w:rsidR="00B663AB">
          <w:rPr>
            <w:webHidden/>
          </w:rPr>
          <w:t>33</w:t>
        </w:r>
        <w:r w:rsidR="00B663AB">
          <w:rPr>
            <w:webHidden/>
          </w:rPr>
          <w:fldChar w:fldCharType="end"/>
        </w:r>
      </w:hyperlink>
    </w:p>
    <w:p w14:paraId="79F764CD" w14:textId="4DAED15A" w:rsidR="00B663AB" w:rsidRDefault="00C77D86">
      <w:pPr>
        <w:pStyle w:val="TOC2"/>
        <w:rPr>
          <w:rFonts w:asciiTheme="minorHAnsi" w:eastAsiaTheme="minorEastAsia" w:hAnsiTheme="minorHAnsi" w:cstheme="minorBidi"/>
          <w:noProof/>
          <w:sz w:val="22"/>
          <w:szCs w:val="22"/>
          <w:lang w:eastAsia="en-US"/>
        </w:rPr>
      </w:pPr>
      <w:hyperlink w:anchor="_Toc98847357" w:history="1">
        <w:r w:rsidR="00B663AB" w:rsidRPr="008C3D0C">
          <w:rPr>
            <w:rStyle w:val="Hyperlink"/>
            <w:noProof/>
          </w:rPr>
          <w:t>5.1</w:t>
        </w:r>
        <w:r w:rsidR="00B663AB">
          <w:rPr>
            <w:rFonts w:asciiTheme="minorHAnsi" w:eastAsiaTheme="minorEastAsia" w:hAnsiTheme="minorHAnsi" w:cstheme="minorBidi"/>
            <w:noProof/>
            <w:sz w:val="22"/>
            <w:szCs w:val="22"/>
            <w:lang w:eastAsia="en-US"/>
          </w:rPr>
          <w:tab/>
        </w:r>
        <w:r w:rsidR="00B663AB" w:rsidRPr="008C3D0C">
          <w:rPr>
            <w:rStyle w:val="Hyperlink"/>
            <w:noProof/>
          </w:rPr>
          <w:t>Regulatory Framework</w:t>
        </w:r>
        <w:r w:rsidR="00B663AB">
          <w:rPr>
            <w:noProof/>
            <w:webHidden/>
          </w:rPr>
          <w:tab/>
        </w:r>
        <w:r w:rsidR="00B663AB">
          <w:rPr>
            <w:noProof/>
            <w:webHidden/>
          </w:rPr>
          <w:fldChar w:fldCharType="begin"/>
        </w:r>
        <w:r w:rsidR="00B663AB">
          <w:rPr>
            <w:noProof/>
            <w:webHidden/>
          </w:rPr>
          <w:instrText xml:space="preserve"> PAGEREF _Toc98847357 \h </w:instrText>
        </w:r>
        <w:r w:rsidR="00B663AB">
          <w:rPr>
            <w:noProof/>
            <w:webHidden/>
          </w:rPr>
        </w:r>
        <w:r w:rsidR="00B663AB">
          <w:rPr>
            <w:noProof/>
            <w:webHidden/>
          </w:rPr>
          <w:fldChar w:fldCharType="separate"/>
        </w:r>
        <w:r w:rsidR="00B663AB">
          <w:rPr>
            <w:noProof/>
            <w:webHidden/>
          </w:rPr>
          <w:t>33</w:t>
        </w:r>
        <w:r w:rsidR="00B663AB">
          <w:rPr>
            <w:noProof/>
            <w:webHidden/>
          </w:rPr>
          <w:fldChar w:fldCharType="end"/>
        </w:r>
      </w:hyperlink>
    </w:p>
    <w:p w14:paraId="22E30CFA" w14:textId="7042122B" w:rsidR="00B663AB" w:rsidRDefault="00C77D86">
      <w:pPr>
        <w:pStyle w:val="TOC2"/>
        <w:rPr>
          <w:rFonts w:asciiTheme="minorHAnsi" w:eastAsiaTheme="minorEastAsia" w:hAnsiTheme="minorHAnsi" w:cstheme="minorBidi"/>
          <w:noProof/>
          <w:sz w:val="22"/>
          <w:szCs w:val="22"/>
          <w:lang w:eastAsia="en-US"/>
        </w:rPr>
      </w:pPr>
      <w:hyperlink w:anchor="_Toc98847358" w:history="1">
        <w:r w:rsidR="00B663AB" w:rsidRPr="008C3D0C">
          <w:rPr>
            <w:rStyle w:val="Hyperlink"/>
            <w:noProof/>
          </w:rPr>
          <w:t>5.2</w:t>
        </w:r>
        <w:r w:rsidR="00B663AB">
          <w:rPr>
            <w:rFonts w:asciiTheme="minorHAnsi" w:eastAsiaTheme="minorEastAsia" w:hAnsiTheme="minorHAnsi" w:cstheme="minorBidi"/>
            <w:noProof/>
            <w:sz w:val="22"/>
            <w:szCs w:val="22"/>
            <w:lang w:eastAsia="en-US"/>
          </w:rPr>
          <w:tab/>
        </w:r>
        <w:r w:rsidR="00B663AB" w:rsidRPr="008C3D0C">
          <w:rPr>
            <w:rStyle w:val="Hyperlink"/>
            <w:noProof/>
          </w:rPr>
          <w:t>Chemicals of Ecological Concern</w:t>
        </w:r>
        <w:r w:rsidR="00B663AB">
          <w:rPr>
            <w:noProof/>
            <w:webHidden/>
          </w:rPr>
          <w:tab/>
        </w:r>
        <w:r w:rsidR="00B663AB">
          <w:rPr>
            <w:noProof/>
            <w:webHidden/>
          </w:rPr>
          <w:fldChar w:fldCharType="begin"/>
        </w:r>
        <w:r w:rsidR="00B663AB">
          <w:rPr>
            <w:noProof/>
            <w:webHidden/>
          </w:rPr>
          <w:instrText xml:space="preserve"> PAGEREF _Toc98847358 \h </w:instrText>
        </w:r>
        <w:r w:rsidR="00B663AB">
          <w:rPr>
            <w:noProof/>
            <w:webHidden/>
          </w:rPr>
        </w:r>
        <w:r w:rsidR="00B663AB">
          <w:rPr>
            <w:noProof/>
            <w:webHidden/>
          </w:rPr>
          <w:fldChar w:fldCharType="separate"/>
        </w:r>
        <w:r w:rsidR="00B663AB">
          <w:rPr>
            <w:noProof/>
            <w:webHidden/>
          </w:rPr>
          <w:t>34</w:t>
        </w:r>
        <w:r w:rsidR="00B663AB">
          <w:rPr>
            <w:noProof/>
            <w:webHidden/>
          </w:rPr>
          <w:fldChar w:fldCharType="end"/>
        </w:r>
      </w:hyperlink>
    </w:p>
    <w:p w14:paraId="7B759A13" w14:textId="0763359D" w:rsidR="00B663AB" w:rsidRDefault="00C77D86">
      <w:pPr>
        <w:pStyle w:val="TOC2"/>
        <w:rPr>
          <w:rFonts w:asciiTheme="minorHAnsi" w:eastAsiaTheme="minorEastAsia" w:hAnsiTheme="minorHAnsi" w:cstheme="minorBidi"/>
          <w:noProof/>
          <w:sz w:val="22"/>
          <w:szCs w:val="22"/>
          <w:lang w:eastAsia="en-US"/>
        </w:rPr>
      </w:pPr>
      <w:hyperlink w:anchor="_Toc98847359" w:history="1">
        <w:r w:rsidR="00B663AB" w:rsidRPr="008C3D0C">
          <w:rPr>
            <w:rStyle w:val="Hyperlink"/>
            <w:noProof/>
          </w:rPr>
          <w:t>5.3</w:t>
        </w:r>
        <w:r w:rsidR="00B663AB">
          <w:rPr>
            <w:rFonts w:asciiTheme="minorHAnsi" w:eastAsiaTheme="minorEastAsia" w:hAnsiTheme="minorHAnsi" w:cstheme="minorBidi"/>
            <w:noProof/>
            <w:sz w:val="22"/>
            <w:szCs w:val="22"/>
            <w:lang w:eastAsia="en-US"/>
          </w:rPr>
          <w:tab/>
        </w:r>
        <w:r w:rsidR="00B663AB" w:rsidRPr="008C3D0C">
          <w:rPr>
            <w:rStyle w:val="Hyperlink"/>
            <w:noProof/>
          </w:rPr>
          <w:t>Terrestrial Ecological Receptors of Concern</w:t>
        </w:r>
        <w:r w:rsidR="00B663AB">
          <w:rPr>
            <w:noProof/>
            <w:webHidden/>
          </w:rPr>
          <w:tab/>
        </w:r>
        <w:r w:rsidR="00B663AB">
          <w:rPr>
            <w:noProof/>
            <w:webHidden/>
          </w:rPr>
          <w:fldChar w:fldCharType="begin"/>
        </w:r>
        <w:r w:rsidR="00B663AB">
          <w:rPr>
            <w:noProof/>
            <w:webHidden/>
          </w:rPr>
          <w:instrText xml:space="preserve"> PAGEREF _Toc98847359 \h </w:instrText>
        </w:r>
        <w:r w:rsidR="00B663AB">
          <w:rPr>
            <w:noProof/>
            <w:webHidden/>
          </w:rPr>
        </w:r>
        <w:r w:rsidR="00B663AB">
          <w:rPr>
            <w:noProof/>
            <w:webHidden/>
          </w:rPr>
          <w:fldChar w:fldCharType="separate"/>
        </w:r>
        <w:r w:rsidR="00B663AB">
          <w:rPr>
            <w:noProof/>
            <w:webHidden/>
          </w:rPr>
          <w:t>34</w:t>
        </w:r>
        <w:r w:rsidR="00B663AB">
          <w:rPr>
            <w:noProof/>
            <w:webHidden/>
          </w:rPr>
          <w:fldChar w:fldCharType="end"/>
        </w:r>
      </w:hyperlink>
    </w:p>
    <w:p w14:paraId="69A4C123" w14:textId="1B301AC5" w:rsidR="00B663AB" w:rsidRDefault="00C77D86">
      <w:pPr>
        <w:pStyle w:val="TOC2"/>
        <w:rPr>
          <w:rFonts w:asciiTheme="minorHAnsi" w:eastAsiaTheme="minorEastAsia" w:hAnsiTheme="minorHAnsi" w:cstheme="minorBidi"/>
          <w:noProof/>
          <w:sz w:val="22"/>
          <w:szCs w:val="22"/>
          <w:lang w:eastAsia="en-US"/>
        </w:rPr>
      </w:pPr>
      <w:hyperlink w:anchor="_Toc98847360" w:history="1">
        <w:r w:rsidR="00B663AB" w:rsidRPr="008C3D0C">
          <w:rPr>
            <w:rStyle w:val="Hyperlink"/>
            <w:noProof/>
          </w:rPr>
          <w:t>5.4</w:t>
        </w:r>
        <w:r w:rsidR="00B663AB">
          <w:rPr>
            <w:rFonts w:asciiTheme="minorHAnsi" w:eastAsiaTheme="minorEastAsia" w:hAnsiTheme="minorHAnsi" w:cstheme="minorBidi"/>
            <w:noProof/>
            <w:sz w:val="22"/>
            <w:szCs w:val="22"/>
            <w:lang w:eastAsia="en-US"/>
          </w:rPr>
          <w:tab/>
        </w:r>
        <w:r w:rsidR="00B663AB" w:rsidRPr="008C3D0C">
          <w:rPr>
            <w:rStyle w:val="Hyperlink"/>
            <w:noProof/>
          </w:rPr>
          <w:t>Exposure Pathways</w:t>
        </w:r>
        <w:r w:rsidR="00B663AB">
          <w:rPr>
            <w:noProof/>
            <w:webHidden/>
          </w:rPr>
          <w:tab/>
        </w:r>
        <w:r w:rsidR="00B663AB">
          <w:rPr>
            <w:noProof/>
            <w:webHidden/>
          </w:rPr>
          <w:fldChar w:fldCharType="begin"/>
        </w:r>
        <w:r w:rsidR="00B663AB">
          <w:rPr>
            <w:noProof/>
            <w:webHidden/>
          </w:rPr>
          <w:instrText xml:space="preserve"> PAGEREF _Toc98847360 \h </w:instrText>
        </w:r>
        <w:r w:rsidR="00B663AB">
          <w:rPr>
            <w:noProof/>
            <w:webHidden/>
          </w:rPr>
        </w:r>
        <w:r w:rsidR="00B663AB">
          <w:rPr>
            <w:noProof/>
            <w:webHidden/>
          </w:rPr>
          <w:fldChar w:fldCharType="separate"/>
        </w:r>
        <w:r w:rsidR="00B663AB">
          <w:rPr>
            <w:noProof/>
            <w:webHidden/>
          </w:rPr>
          <w:t>35</w:t>
        </w:r>
        <w:r w:rsidR="00B663AB">
          <w:rPr>
            <w:noProof/>
            <w:webHidden/>
          </w:rPr>
          <w:fldChar w:fldCharType="end"/>
        </w:r>
      </w:hyperlink>
    </w:p>
    <w:p w14:paraId="70924DD4" w14:textId="3BF62E63" w:rsidR="00B663AB" w:rsidRDefault="00C77D86">
      <w:pPr>
        <w:pStyle w:val="TOC2"/>
        <w:rPr>
          <w:rFonts w:asciiTheme="minorHAnsi" w:eastAsiaTheme="minorEastAsia" w:hAnsiTheme="minorHAnsi" w:cstheme="minorBidi"/>
          <w:noProof/>
          <w:sz w:val="22"/>
          <w:szCs w:val="22"/>
          <w:lang w:eastAsia="en-US"/>
        </w:rPr>
      </w:pPr>
      <w:hyperlink w:anchor="_Toc98847361" w:history="1">
        <w:r w:rsidR="00B663AB" w:rsidRPr="008C3D0C">
          <w:rPr>
            <w:rStyle w:val="Hyperlink"/>
            <w:noProof/>
          </w:rPr>
          <w:t>5.5</w:t>
        </w:r>
        <w:r w:rsidR="00B663AB">
          <w:rPr>
            <w:rFonts w:asciiTheme="minorHAnsi" w:eastAsiaTheme="minorEastAsia" w:hAnsiTheme="minorHAnsi" w:cstheme="minorBidi"/>
            <w:noProof/>
            <w:sz w:val="22"/>
            <w:szCs w:val="22"/>
            <w:lang w:eastAsia="en-US"/>
          </w:rPr>
          <w:tab/>
        </w:r>
        <w:r w:rsidR="00B663AB" w:rsidRPr="008C3D0C">
          <w:rPr>
            <w:rStyle w:val="Hyperlink"/>
            <w:noProof/>
          </w:rPr>
          <w:t>Toxicological Assessment</w:t>
        </w:r>
        <w:r w:rsidR="00B663AB">
          <w:rPr>
            <w:noProof/>
            <w:webHidden/>
          </w:rPr>
          <w:tab/>
        </w:r>
        <w:r w:rsidR="00B663AB">
          <w:rPr>
            <w:noProof/>
            <w:webHidden/>
          </w:rPr>
          <w:fldChar w:fldCharType="begin"/>
        </w:r>
        <w:r w:rsidR="00B663AB">
          <w:rPr>
            <w:noProof/>
            <w:webHidden/>
          </w:rPr>
          <w:instrText xml:space="preserve"> PAGEREF _Toc98847361 \h </w:instrText>
        </w:r>
        <w:r w:rsidR="00B663AB">
          <w:rPr>
            <w:noProof/>
            <w:webHidden/>
          </w:rPr>
        </w:r>
        <w:r w:rsidR="00B663AB">
          <w:rPr>
            <w:noProof/>
            <w:webHidden/>
          </w:rPr>
          <w:fldChar w:fldCharType="separate"/>
        </w:r>
        <w:r w:rsidR="00B663AB">
          <w:rPr>
            <w:noProof/>
            <w:webHidden/>
          </w:rPr>
          <w:t>35</w:t>
        </w:r>
        <w:r w:rsidR="00B663AB">
          <w:rPr>
            <w:noProof/>
            <w:webHidden/>
          </w:rPr>
          <w:fldChar w:fldCharType="end"/>
        </w:r>
      </w:hyperlink>
    </w:p>
    <w:p w14:paraId="37C0B05B" w14:textId="6FA1A688" w:rsidR="00B663AB" w:rsidRDefault="00C77D86">
      <w:pPr>
        <w:pStyle w:val="TOC3"/>
        <w:rPr>
          <w:rFonts w:asciiTheme="minorHAnsi" w:eastAsiaTheme="minorEastAsia" w:hAnsiTheme="minorHAnsi" w:cstheme="minorBidi"/>
          <w:noProof/>
          <w:sz w:val="22"/>
          <w:szCs w:val="22"/>
          <w:lang w:eastAsia="en-US"/>
        </w:rPr>
      </w:pPr>
      <w:hyperlink w:anchor="_Toc98847362" w:history="1">
        <w:r w:rsidR="00B663AB" w:rsidRPr="008C3D0C">
          <w:rPr>
            <w:rStyle w:val="Hyperlink"/>
            <w:noProof/>
          </w:rPr>
          <w:t>5.5.1</w:t>
        </w:r>
        <w:r w:rsidR="00B663AB">
          <w:rPr>
            <w:rFonts w:asciiTheme="minorHAnsi" w:eastAsiaTheme="minorEastAsia" w:hAnsiTheme="minorHAnsi" w:cstheme="minorBidi"/>
            <w:noProof/>
            <w:sz w:val="22"/>
            <w:szCs w:val="22"/>
            <w:lang w:eastAsia="en-US"/>
          </w:rPr>
          <w:tab/>
        </w:r>
        <w:r w:rsidR="00B663AB" w:rsidRPr="008C3D0C">
          <w:rPr>
            <w:rStyle w:val="Hyperlink"/>
            <w:noProof/>
          </w:rPr>
          <w:t>Petroleum Hydrocarbons</w:t>
        </w:r>
        <w:r w:rsidR="00B663AB">
          <w:rPr>
            <w:noProof/>
            <w:webHidden/>
          </w:rPr>
          <w:tab/>
        </w:r>
        <w:r w:rsidR="00B663AB">
          <w:rPr>
            <w:noProof/>
            <w:webHidden/>
          </w:rPr>
          <w:fldChar w:fldCharType="begin"/>
        </w:r>
        <w:r w:rsidR="00B663AB">
          <w:rPr>
            <w:noProof/>
            <w:webHidden/>
          </w:rPr>
          <w:instrText xml:space="preserve"> PAGEREF _Toc98847362 \h </w:instrText>
        </w:r>
        <w:r w:rsidR="00B663AB">
          <w:rPr>
            <w:noProof/>
            <w:webHidden/>
          </w:rPr>
        </w:r>
        <w:r w:rsidR="00B663AB">
          <w:rPr>
            <w:noProof/>
            <w:webHidden/>
          </w:rPr>
          <w:fldChar w:fldCharType="separate"/>
        </w:r>
        <w:r w:rsidR="00B663AB">
          <w:rPr>
            <w:noProof/>
            <w:webHidden/>
          </w:rPr>
          <w:t>35</w:t>
        </w:r>
        <w:r w:rsidR="00B663AB">
          <w:rPr>
            <w:noProof/>
            <w:webHidden/>
          </w:rPr>
          <w:fldChar w:fldCharType="end"/>
        </w:r>
      </w:hyperlink>
    </w:p>
    <w:p w14:paraId="763A7416" w14:textId="19407FC8" w:rsidR="00B663AB" w:rsidRDefault="00C77D86">
      <w:pPr>
        <w:pStyle w:val="TOC3"/>
        <w:rPr>
          <w:rFonts w:asciiTheme="minorHAnsi" w:eastAsiaTheme="minorEastAsia" w:hAnsiTheme="minorHAnsi" w:cstheme="minorBidi"/>
          <w:noProof/>
          <w:sz w:val="22"/>
          <w:szCs w:val="22"/>
          <w:lang w:eastAsia="en-US"/>
        </w:rPr>
      </w:pPr>
      <w:hyperlink w:anchor="_Toc98847363" w:history="1">
        <w:r w:rsidR="00B663AB" w:rsidRPr="008C3D0C">
          <w:rPr>
            <w:rStyle w:val="Hyperlink"/>
            <w:noProof/>
          </w:rPr>
          <w:t>5.5.2</w:t>
        </w:r>
        <w:r w:rsidR="00B663AB">
          <w:rPr>
            <w:rFonts w:asciiTheme="minorHAnsi" w:eastAsiaTheme="minorEastAsia" w:hAnsiTheme="minorHAnsi" w:cstheme="minorBidi"/>
            <w:noProof/>
            <w:sz w:val="22"/>
            <w:szCs w:val="22"/>
            <w:lang w:eastAsia="en-US"/>
          </w:rPr>
          <w:tab/>
        </w:r>
        <w:r w:rsidR="00B663AB" w:rsidRPr="008C3D0C">
          <w:rPr>
            <w:rStyle w:val="Hyperlink"/>
            <w:noProof/>
          </w:rPr>
          <w:t>Lead</w:t>
        </w:r>
        <w:r w:rsidR="00B663AB">
          <w:rPr>
            <w:noProof/>
            <w:webHidden/>
          </w:rPr>
          <w:tab/>
        </w:r>
        <w:r w:rsidR="00B663AB">
          <w:rPr>
            <w:noProof/>
            <w:webHidden/>
          </w:rPr>
          <w:fldChar w:fldCharType="begin"/>
        </w:r>
        <w:r w:rsidR="00B663AB">
          <w:rPr>
            <w:noProof/>
            <w:webHidden/>
          </w:rPr>
          <w:instrText xml:space="preserve"> PAGEREF _Toc98847363 \h </w:instrText>
        </w:r>
        <w:r w:rsidR="00B663AB">
          <w:rPr>
            <w:noProof/>
            <w:webHidden/>
          </w:rPr>
        </w:r>
        <w:r w:rsidR="00B663AB">
          <w:rPr>
            <w:noProof/>
            <w:webHidden/>
          </w:rPr>
          <w:fldChar w:fldCharType="separate"/>
        </w:r>
        <w:r w:rsidR="00B663AB">
          <w:rPr>
            <w:noProof/>
            <w:webHidden/>
          </w:rPr>
          <w:t>35</w:t>
        </w:r>
        <w:r w:rsidR="00B663AB">
          <w:rPr>
            <w:noProof/>
            <w:webHidden/>
          </w:rPr>
          <w:fldChar w:fldCharType="end"/>
        </w:r>
      </w:hyperlink>
    </w:p>
    <w:p w14:paraId="3B8478D0" w14:textId="673D65F6" w:rsidR="00B663AB" w:rsidRDefault="00C77D86">
      <w:pPr>
        <w:pStyle w:val="TOC3"/>
        <w:rPr>
          <w:rFonts w:asciiTheme="minorHAnsi" w:eastAsiaTheme="minorEastAsia" w:hAnsiTheme="minorHAnsi" w:cstheme="minorBidi"/>
          <w:noProof/>
          <w:sz w:val="22"/>
          <w:szCs w:val="22"/>
          <w:lang w:eastAsia="en-US"/>
        </w:rPr>
      </w:pPr>
      <w:hyperlink w:anchor="_Toc98847364" w:history="1">
        <w:r w:rsidR="00B663AB" w:rsidRPr="008C3D0C">
          <w:rPr>
            <w:rStyle w:val="Hyperlink"/>
            <w:noProof/>
          </w:rPr>
          <w:t>5.5.3</w:t>
        </w:r>
        <w:r w:rsidR="00B663AB">
          <w:rPr>
            <w:rFonts w:asciiTheme="minorHAnsi" w:eastAsiaTheme="minorEastAsia" w:hAnsiTheme="minorHAnsi" w:cstheme="minorBidi"/>
            <w:noProof/>
            <w:sz w:val="22"/>
            <w:szCs w:val="22"/>
            <w:lang w:eastAsia="en-US"/>
          </w:rPr>
          <w:tab/>
        </w:r>
        <w:r w:rsidR="00B663AB" w:rsidRPr="008C3D0C">
          <w:rPr>
            <w:rStyle w:val="Hyperlink"/>
            <w:noProof/>
          </w:rPr>
          <w:t>Dioxins and Furans</w:t>
        </w:r>
        <w:r w:rsidR="00B663AB">
          <w:rPr>
            <w:noProof/>
            <w:webHidden/>
          </w:rPr>
          <w:tab/>
        </w:r>
        <w:r w:rsidR="00B663AB">
          <w:rPr>
            <w:noProof/>
            <w:webHidden/>
          </w:rPr>
          <w:fldChar w:fldCharType="begin"/>
        </w:r>
        <w:r w:rsidR="00B663AB">
          <w:rPr>
            <w:noProof/>
            <w:webHidden/>
          </w:rPr>
          <w:instrText xml:space="preserve"> PAGEREF _Toc98847364 \h </w:instrText>
        </w:r>
        <w:r w:rsidR="00B663AB">
          <w:rPr>
            <w:noProof/>
            <w:webHidden/>
          </w:rPr>
        </w:r>
        <w:r w:rsidR="00B663AB">
          <w:rPr>
            <w:noProof/>
            <w:webHidden/>
          </w:rPr>
          <w:fldChar w:fldCharType="separate"/>
        </w:r>
        <w:r w:rsidR="00B663AB">
          <w:rPr>
            <w:noProof/>
            <w:webHidden/>
          </w:rPr>
          <w:t>35</w:t>
        </w:r>
        <w:r w:rsidR="00B663AB">
          <w:rPr>
            <w:noProof/>
            <w:webHidden/>
          </w:rPr>
          <w:fldChar w:fldCharType="end"/>
        </w:r>
      </w:hyperlink>
    </w:p>
    <w:p w14:paraId="641B911D" w14:textId="562CD61D" w:rsidR="00B663AB" w:rsidRDefault="00C77D86">
      <w:pPr>
        <w:pStyle w:val="TOC2"/>
        <w:rPr>
          <w:rFonts w:asciiTheme="minorHAnsi" w:eastAsiaTheme="minorEastAsia" w:hAnsiTheme="minorHAnsi" w:cstheme="minorBidi"/>
          <w:noProof/>
          <w:sz w:val="22"/>
          <w:szCs w:val="22"/>
          <w:lang w:eastAsia="en-US"/>
        </w:rPr>
      </w:pPr>
      <w:hyperlink w:anchor="_Toc98847365" w:history="1">
        <w:r w:rsidR="00B663AB" w:rsidRPr="008C3D0C">
          <w:rPr>
            <w:rStyle w:val="Hyperlink"/>
            <w:noProof/>
          </w:rPr>
          <w:t>5.6</w:t>
        </w:r>
        <w:r w:rsidR="00B663AB">
          <w:rPr>
            <w:rFonts w:asciiTheme="minorHAnsi" w:eastAsiaTheme="minorEastAsia" w:hAnsiTheme="minorHAnsi" w:cstheme="minorBidi"/>
            <w:noProof/>
            <w:sz w:val="22"/>
            <w:szCs w:val="22"/>
            <w:lang w:eastAsia="en-US"/>
          </w:rPr>
          <w:tab/>
        </w:r>
        <w:r w:rsidR="00B663AB" w:rsidRPr="008C3D0C">
          <w:rPr>
            <w:rStyle w:val="Hyperlink"/>
            <w:noProof/>
          </w:rPr>
          <w:t>TEE Summary</w:t>
        </w:r>
        <w:r w:rsidR="00B663AB">
          <w:rPr>
            <w:noProof/>
            <w:webHidden/>
          </w:rPr>
          <w:tab/>
        </w:r>
        <w:r w:rsidR="00B663AB">
          <w:rPr>
            <w:noProof/>
            <w:webHidden/>
          </w:rPr>
          <w:fldChar w:fldCharType="begin"/>
        </w:r>
        <w:r w:rsidR="00B663AB">
          <w:rPr>
            <w:noProof/>
            <w:webHidden/>
          </w:rPr>
          <w:instrText xml:space="preserve"> PAGEREF _Toc98847365 \h </w:instrText>
        </w:r>
        <w:r w:rsidR="00B663AB">
          <w:rPr>
            <w:noProof/>
            <w:webHidden/>
          </w:rPr>
        </w:r>
        <w:r w:rsidR="00B663AB">
          <w:rPr>
            <w:noProof/>
            <w:webHidden/>
          </w:rPr>
          <w:fldChar w:fldCharType="separate"/>
        </w:r>
        <w:r w:rsidR="00B663AB">
          <w:rPr>
            <w:noProof/>
            <w:webHidden/>
          </w:rPr>
          <w:t>36</w:t>
        </w:r>
        <w:r w:rsidR="00B663AB">
          <w:rPr>
            <w:noProof/>
            <w:webHidden/>
          </w:rPr>
          <w:fldChar w:fldCharType="end"/>
        </w:r>
      </w:hyperlink>
    </w:p>
    <w:p w14:paraId="109ADF4D" w14:textId="7A36BFEA" w:rsidR="00B663AB" w:rsidRDefault="00C77D86">
      <w:pPr>
        <w:pStyle w:val="TOC1"/>
        <w:rPr>
          <w:rFonts w:asciiTheme="minorHAnsi" w:eastAsiaTheme="minorEastAsia" w:hAnsiTheme="minorHAnsi" w:cstheme="minorBidi"/>
          <w:b w:val="0"/>
          <w:caps w:val="0"/>
          <w:sz w:val="22"/>
          <w:szCs w:val="22"/>
          <w:lang w:eastAsia="en-US"/>
        </w:rPr>
      </w:pPr>
      <w:hyperlink w:anchor="_Toc98847366" w:history="1">
        <w:r w:rsidR="00B663AB" w:rsidRPr="008C3D0C">
          <w:rPr>
            <w:rStyle w:val="Hyperlink"/>
          </w:rPr>
          <w:t>6.</w:t>
        </w:r>
        <w:r w:rsidR="00B663AB">
          <w:rPr>
            <w:rFonts w:asciiTheme="minorHAnsi" w:eastAsiaTheme="minorEastAsia" w:hAnsiTheme="minorHAnsi" w:cstheme="minorBidi"/>
            <w:b w:val="0"/>
            <w:caps w:val="0"/>
            <w:sz w:val="22"/>
            <w:szCs w:val="22"/>
            <w:lang w:eastAsia="en-US"/>
          </w:rPr>
          <w:tab/>
        </w:r>
        <w:r w:rsidR="00B663AB" w:rsidRPr="008C3D0C">
          <w:rPr>
            <w:rStyle w:val="Hyperlink"/>
          </w:rPr>
          <w:t>Conceptual Site Model</w:t>
        </w:r>
        <w:r w:rsidR="00B663AB">
          <w:rPr>
            <w:webHidden/>
          </w:rPr>
          <w:tab/>
        </w:r>
        <w:r w:rsidR="00B663AB">
          <w:rPr>
            <w:webHidden/>
          </w:rPr>
          <w:fldChar w:fldCharType="begin"/>
        </w:r>
        <w:r w:rsidR="00B663AB">
          <w:rPr>
            <w:webHidden/>
          </w:rPr>
          <w:instrText xml:space="preserve"> PAGEREF _Toc98847366 \h </w:instrText>
        </w:r>
        <w:r w:rsidR="00B663AB">
          <w:rPr>
            <w:webHidden/>
          </w:rPr>
        </w:r>
        <w:r w:rsidR="00B663AB">
          <w:rPr>
            <w:webHidden/>
          </w:rPr>
          <w:fldChar w:fldCharType="separate"/>
        </w:r>
        <w:r w:rsidR="00B663AB">
          <w:rPr>
            <w:webHidden/>
          </w:rPr>
          <w:t>38</w:t>
        </w:r>
        <w:r w:rsidR="00B663AB">
          <w:rPr>
            <w:webHidden/>
          </w:rPr>
          <w:fldChar w:fldCharType="end"/>
        </w:r>
      </w:hyperlink>
    </w:p>
    <w:p w14:paraId="207557AE" w14:textId="54F281C7" w:rsidR="00B663AB" w:rsidRDefault="00C77D86">
      <w:pPr>
        <w:pStyle w:val="TOC2"/>
        <w:rPr>
          <w:rFonts w:asciiTheme="minorHAnsi" w:eastAsiaTheme="minorEastAsia" w:hAnsiTheme="minorHAnsi" w:cstheme="minorBidi"/>
          <w:noProof/>
          <w:sz w:val="22"/>
          <w:szCs w:val="22"/>
          <w:lang w:eastAsia="en-US"/>
        </w:rPr>
      </w:pPr>
      <w:hyperlink w:anchor="_Toc98847367" w:history="1">
        <w:r w:rsidR="00B663AB" w:rsidRPr="008C3D0C">
          <w:rPr>
            <w:rStyle w:val="Hyperlink"/>
            <w:noProof/>
          </w:rPr>
          <w:t>6.1</w:t>
        </w:r>
        <w:r w:rsidR="00B663AB">
          <w:rPr>
            <w:rFonts w:asciiTheme="minorHAnsi" w:eastAsiaTheme="minorEastAsia" w:hAnsiTheme="minorHAnsi" w:cstheme="minorBidi"/>
            <w:noProof/>
            <w:sz w:val="22"/>
            <w:szCs w:val="22"/>
            <w:lang w:eastAsia="en-US"/>
          </w:rPr>
          <w:tab/>
        </w:r>
        <w:r w:rsidR="00B663AB" w:rsidRPr="008C3D0C">
          <w:rPr>
            <w:rStyle w:val="Hyperlink"/>
            <w:noProof/>
          </w:rPr>
          <w:t>Soil Contaminant Sources</w:t>
        </w:r>
        <w:r w:rsidR="00B663AB">
          <w:rPr>
            <w:noProof/>
            <w:webHidden/>
          </w:rPr>
          <w:tab/>
        </w:r>
        <w:r w:rsidR="00B663AB">
          <w:rPr>
            <w:noProof/>
            <w:webHidden/>
          </w:rPr>
          <w:fldChar w:fldCharType="begin"/>
        </w:r>
        <w:r w:rsidR="00B663AB">
          <w:rPr>
            <w:noProof/>
            <w:webHidden/>
          </w:rPr>
          <w:instrText xml:space="preserve"> PAGEREF _Toc98847367 \h </w:instrText>
        </w:r>
        <w:r w:rsidR="00B663AB">
          <w:rPr>
            <w:noProof/>
            <w:webHidden/>
          </w:rPr>
        </w:r>
        <w:r w:rsidR="00B663AB">
          <w:rPr>
            <w:noProof/>
            <w:webHidden/>
          </w:rPr>
          <w:fldChar w:fldCharType="separate"/>
        </w:r>
        <w:r w:rsidR="00B663AB">
          <w:rPr>
            <w:noProof/>
            <w:webHidden/>
          </w:rPr>
          <w:t>38</w:t>
        </w:r>
        <w:r w:rsidR="00B663AB">
          <w:rPr>
            <w:noProof/>
            <w:webHidden/>
          </w:rPr>
          <w:fldChar w:fldCharType="end"/>
        </w:r>
      </w:hyperlink>
    </w:p>
    <w:p w14:paraId="50B1655C" w14:textId="2779260E" w:rsidR="00B663AB" w:rsidRDefault="00C77D86">
      <w:pPr>
        <w:pStyle w:val="TOC2"/>
        <w:rPr>
          <w:rFonts w:asciiTheme="minorHAnsi" w:eastAsiaTheme="minorEastAsia" w:hAnsiTheme="minorHAnsi" w:cstheme="minorBidi"/>
          <w:noProof/>
          <w:sz w:val="22"/>
          <w:szCs w:val="22"/>
          <w:lang w:eastAsia="en-US"/>
        </w:rPr>
      </w:pPr>
      <w:hyperlink w:anchor="_Toc98847368" w:history="1">
        <w:r w:rsidR="00B663AB" w:rsidRPr="008C3D0C">
          <w:rPr>
            <w:rStyle w:val="Hyperlink"/>
            <w:noProof/>
          </w:rPr>
          <w:t>6.2</w:t>
        </w:r>
        <w:r w:rsidR="00B663AB">
          <w:rPr>
            <w:rFonts w:asciiTheme="minorHAnsi" w:eastAsiaTheme="minorEastAsia" w:hAnsiTheme="minorHAnsi" w:cstheme="minorBidi"/>
            <w:noProof/>
            <w:sz w:val="22"/>
            <w:szCs w:val="22"/>
            <w:lang w:eastAsia="en-US"/>
          </w:rPr>
          <w:tab/>
        </w:r>
        <w:r w:rsidR="00B663AB" w:rsidRPr="008C3D0C">
          <w:rPr>
            <w:rStyle w:val="Hyperlink"/>
            <w:noProof/>
          </w:rPr>
          <w:t>Groundwater Contaminant Sources</w:t>
        </w:r>
        <w:r w:rsidR="00B663AB">
          <w:rPr>
            <w:noProof/>
            <w:webHidden/>
          </w:rPr>
          <w:tab/>
        </w:r>
        <w:r w:rsidR="00B663AB">
          <w:rPr>
            <w:noProof/>
            <w:webHidden/>
          </w:rPr>
          <w:fldChar w:fldCharType="begin"/>
        </w:r>
        <w:r w:rsidR="00B663AB">
          <w:rPr>
            <w:noProof/>
            <w:webHidden/>
          </w:rPr>
          <w:instrText xml:space="preserve"> PAGEREF _Toc98847368 \h </w:instrText>
        </w:r>
        <w:r w:rsidR="00B663AB">
          <w:rPr>
            <w:noProof/>
            <w:webHidden/>
          </w:rPr>
        </w:r>
        <w:r w:rsidR="00B663AB">
          <w:rPr>
            <w:noProof/>
            <w:webHidden/>
          </w:rPr>
          <w:fldChar w:fldCharType="separate"/>
        </w:r>
        <w:r w:rsidR="00B663AB">
          <w:rPr>
            <w:noProof/>
            <w:webHidden/>
          </w:rPr>
          <w:t>38</w:t>
        </w:r>
        <w:r w:rsidR="00B663AB">
          <w:rPr>
            <w:noProof/>
            <w:webHidden/>
          </w:rPr>
          <w:fldChar w:fldCharType="end"/>
        </w:r>
      </w:hyperlink>
    </w:p>
    <w:p w14:paraId="408A4846" w14:textId="5FDFDDF1" w:rsidR="00B663AB" w:rsidRDefault="00C77D86">
      <w:pPr>
        <w:pStyle w:val="TOC2"/>
        <w:rPr>
          <w:rFonts w:asciiTheme="minorHAnsi" w:eastAsiaTheme="minorEastAsia" w:hAnsiTheme="minorHAnsi" w:cstheme="minorBidi"/>
          <w:noProof/>
          <w:sz w:val="22"/>
          <w:szCs w:val="22"/>
          <w:lang w:eastAsia="en-US"/>
        </w:rPr>
      </w:pPr>
      <w:hyperlink w:anchor="_Toc98847369" w:history="1">
        <w:r w:rsidR="00B663AB" w:rsidRPr="008C3D0C">
          <w:rPr>
            <w:rStyle w:val="Hyperlink"/>
            <w:noProof/>
          </w:rPr>
          <w:t>6.3</w:t>
        </w:r>
        <w:r w:rsidR="00B663AB">
          <w:rPr>
            <w:rFonts w:asciiTheme="minorHAnsi" w:eastAsiaTheme="minorEastAsia" w:hAnsiTheme="minorHAnsi" w:cstheme="minorBidi"/>
            <w:noProof/>
            <w:sz w:val="22"/>
            <w:szCs w:val="22"/>
            <w:lang w:eastAsia="en-US"/>
          </w:rPr>
          <w:tab/>
        </w:r>
        <w:r w:rsidR="00B663AB" w:rsidRPr="008C3D0C">
          <w:rPr>
            <w:rStyle w:val="Hyperlink"/>
            <w:noProof/>
          </w:rPr>
          <w:t>Receptors</w:t>
        </w:r>
        <w:r w:rsidR="00B663AB">
          <w:rPr>
            <w:noProof/>
            <w:webHidden/>
          </w:rPr>
          <w:tab/>
        </w:r>
        <w:r w:rsidR="00B663AB">
          <w:rPr>
            <w:noProof/>
            <w:webHidden/>
          </w:rPr>
          <w:fldChar w:fldCharType="begin"/>
        </w:r>
        <w:r w:rsidR="00B663AB">
          <w:rPr>
            <w:noProof/>
            <w:webHidden/>
          </w:rPr>
          <w:instrText xml:space="preserve"> PAGEREF _Toc98847369 \h </w:instrText>
        </w:r>
        <w:r w:rsidR="00B663AB">
          <w:rPr>
            <w:noProof/>
            <w:webHidden/>
          </w:rPr>
        </w:r>
        <w:r w:rsidR="00B663AB">
          <w:rPr>
            <w:noProof/>
            <w:webHidden/>
          </w:rPr>
          <w:fldChar w:fldCharType="separate"/>
        </w:r>
        <w:r w:rsidR="00B663AB">
          <w:rPr>
            <w:noProof/>
            <w:webHidden/>
          </w:rPr>
          <w:t>38</w:t>
        </w:r>
        <w:r w:rsidR="00B663AB">
          <w:rPr>
            <w:noProof/>
            <w:webHidden/>
          </w:rPr>
          <w:fldChar w:fldCharType="end"/>
        </w:r>
      </w:hyperlink>
    </w:p>
    <w:p w14:paraId="140374B5" w14:textId="0D6B562A" w:rsidR="00B663AB" w:rsidRDefault="00C77D86">
      <w:pPr>
        <w:pStyle w:val="TOC2"/>
        <w:rPr>
          <w:rFonts w:asciiTheme="minorHAnsi" w:eastAsiaTheme="minorEastAsia" w:hAnsiTheme="minorHAnsi" w:cstheme="minorBidi"/>
          <w:noProof/>
          <w:sz w:val="22"/>
          <w:szCs w:val="22"/>
          <w:lang w:eastAsia="en-US"/>
        </w:rPr>
      </w:pPr>
      <w:hyperlink w:anchor="_Toc98847370" w:history="1">
        <w:r w:rsidR="00B663AB" w:rsidRPr="008C3D0C">
          <w:rPr>
            <w:rStyle w:val="Hyperlink"/>
            <w:noProof/>
          </w:rPr>
          <w:t>6.4</w:t>
        </w:r>
        <w:r w:rsidR="00B663AB">
          <w:rPr>
            <w:rFonts w:asciiTheme="minorHAnsi" w:eastAsiaTheme="minorEastAsia" w:hAnsiTheme="minorHAnsi" w:cstheme="minorBidi"/>
            <w:noProof/>
            <w:sz w:val="22"/>
            <w:szCs w:val="22"/>
            <w:lang w:eastAsia="en-US"/>
          </w:rPr>
          <w:tab/>
        </w:r>
        <w:r w:rsidR="00B663AB" w:rsidRPr="008C3D0C">
          <w:rPr>
            <w:rStyle w:val="Hyperlink"/>
            <w:noProof/>
          </w:rPr>
          <w:t>Potentially Complete Exposure Pathways</w:t>
        </w:r>
        <w:r w:rsidR="00B663AB">
          <w:rPr>
            <w:noProof/>
            <w:webHidden/>
          </w:rPr>
          <w:tab/>
        </w:r>
        <w:r w:rsidR="00B663AB">
          <w:rPr>
            <w:noProof/>
            <w:webHidden/>
          </w:rPr>
          <w:fldChar w:fldCharType="begin"/>
        </w:r>
        <w:r w:rsidR="00B663AB">
          <w:rPr>
            <w:noProof/>
            <w:webHidden/>
          </w:rPr>
          <w:instrText xml:space="preserve"> PAGEREF _Toc98847370 \h </w:instrText>
        </w:r>
        <w:r w:rsidR="00B663AB">
          <w:rPr>
            <w:noProof/>
            <w:webHidden/>
          </w:rPr>
        </w:r>
        <w:r w:rsidR="00B663AB">
          <w:rPr>
            <w:noProof/>
            <w:webHidden/>
          </w:rPr>
          <w:fldChar w:fldCharType="separate"/>
        </w:r>
        <w:r w:rsidR="00B663AB">
          <w:rPr>
            <w:noProof/>
            <w:webHidden/>
          </w:rPr>
          <w:t>39</w:t>
        </w:r>
        <w:r w:rsidR="00B663AB">
          <w:rPr>
            <w:noProof/>
            <w:webHidden/>
          </w:rPr>
          <w:fldChar w:fldCharType="end"/>
        </w:r>
      </w:hyperlink>
    </w:p>
    <w:p w14:paraId="63A0FDF9" w14:textId="58273EA7" w:rsidR="00B663AB" w:rsidRDefault="00C77D86">
      <w:pPr>
        <w:pStyle w:val="TOC1"/>
        <w:rPr>
          <w:rFonts w:asciiTheme="minorHAnsi" w:eastAsiaTheme="minorEastAsia" w:hAnsiTheme="minorHAnsi" w:cstheme="minorBidi"/>
          <w:b w:val="0"/>
          <w:caps w:val="0"/>
          <w:sz w:val="22"/>
          <w:szCs w:val="22"/>
          <w:lang w:eastAsia="en-US"/>
        </w:rPr>
      </w:pPr>
      <w:hyperlink w:anchor="_Toc98847371" w:history="1">
        <w:r w:rsidR="00B663AB" w:rsidRPr="008C3D0C">
          <w:rPr>
            <w:rStyle w:val="Hyperlink"/>
          </w:rPr>
          <w:t>7.</w:t>
        </w:r>
        <w:r w:rsidR="00B663AB">
          <w:rPr>
            <w:rFonts w:asciiTheme="minorHAnsi" w:eastAsiaTheme="minorEastAsia" w:hAnsiTheme="minorHAnsi" w:cstheme="minorBidi"/>
            <w:b w:val="0"/>
            <w:caps w:val="0"/>
            <w:sz w:val="22"/>
            <w:szCs w:val="22"/>
            <w:lang w:eastAsia="en-US"/>
          </w:rPr>
          <w:tab/>
        </w:r>
        <w:r w:rsidR="00B663AB" w:rsidRPr="008C3D0C">
          <w:rPr>
            <w:rStyle w:val="Hyperlink"/>
          </w:rPr>
          <w:t>Proposed Cleanup Standards</w:t>
        </w:r>
        <w:r w:rsidR="00B663AB">
          <w:rPr>
            <w:webHidden/>
          </w:rPr>
          <w:tab/>
        </w:r>
        <w:r w:rsidR="00B663AB">
          <w:rPr>
            <w:webHidden/>
          </w:rPr>
          <w:fldChar w:fldCharType="begin"/>
        </w:r>
        <w:r w:rsidR="00B663AB">
          <w:rPr>
            <w:webHidden/>
          </w:rPr>
          <w:instrText xml:space="preserve"> PAGEREF _Toc98847371 \h </w:instrText>
        </w:r>
        <w:r w:rsidR="00B663AB">
          <w:rPr>
            <w:webHidden/>
          </w:rPr>
        </w:r>
        <w:r w:rsidR="00B663AB">
          <w:rPr>
            <w:webHidden/>
          </w:rPr>
          <w:fldChar w:fldCharType="separate"/>
        </w:r>
        <w:r w:rsidR="00B663AB">
          <w:rPr>
            <w:webHidden/>
          </w:rPr>
          <w:t>40</w:t>
        </w:r>
        <w:r w:rsidR="00B663AB">
          <w:rPr>
            <w:webHidden/>
          </w:rPr>
          <w:fldChar w:fldCharType="end"/>
        </w:r>
      </w:hyperlink>
    </w:p>
    <w:p w14:paraId="323C1878" w14:textId="7AED5D2F" w:rsidR="00B663AB" w:rsidRDefault="00C77D86">
      <w:pPr>
        <w:pStyle w:val="TOC2"/>
        <w:rPr>
          <w:rFonts w:asciiTheme="minorHAnsi" w:eastAsiaTheme="minorEastAsia" w:hAnsiTheme="minorHAnsi" w:cstheme="minorBidi"/>
          <w:noProof/>
          <w:sz w:val="22"/>
          <w:szCs w:val="22"/>
          <w:lang w:eastAsia="en-US"/>
        </w:rPr>
      </w:pPr>
      <w:hyperlink w:anchor="_Toc98847372" w:history="1">
        <w:r w:rsidR="00B663AB" w:rsidRPr="008C3D0C">
          <w:rPr>
            <w:rStyle w:val="Hyperlink"/>
            <w:noProof/>
          </w:rPr>
          <w:t>7.1</w:t>
        </w:r>
        <w:r w:rsidR="00B663AB">
          <w:rPr>
            <w:rFonts w:asciiTheme="minorHAnsi" w:eastAsiaTheme="minorEastAsia" w:hAnsiTheme="minorHAnsi" w:cstheme="minorBidi"/>
            <w:noProof/>
            <w:sz w:val="22"/>
            <w:szCs w:val="22"/>
            <w:lang w:eastAsia="en-US"/>
          </w:rPr>
          <w:tab/>
        </w:r>
        <w:r w:rsidR="00B663AB" w:rsidRPr="008C3D0C">
          <w:rPr>
            <w:rStyle w:val="Hyperlink"/>
            <w:noProof/>
          </w:rPr>
          <w:t>Cleanup Levels</w:t>
        </w:r>
        <w:r w:rsidR="00B663AB">
          <w:rPr>
            <w:noProof/>
            <w:webHidden/>
          </w:rPr>
          <w:tab/>
        </w:r>
        <w:r w:rsidR="00B663AB">
          <w:rPr>
            <w:noProof/>
            <w:webHidden/>
          </w:rPr>
          <w:fldChar w:fldCharType="begin"/>
        </w:r>
        <w:r w:rsidR="00B663AB">
          <w:rPr>
            <w:noProof/>
            <w:webHidden/>
          </w:rPr>
          <w:instrText xml:space="preserve"> PAGEREF _Toc98847372 \h </w:instrText>
        </w:r>
        <w:r w:rsidR="00B663AB">
          <w:rPr>
            <w:noProof/>
            <w:webHidden/>
          </w:rPr>
        </w:r>
        <w:r w:rsidR="00B663AB">
          <w:rPr>
            <w:noProof/>
            <w:webHidden/>
          </w:rPr>
          <w:fldChar w:fldCharType="separate"/>
        </w:r>
        <w:r w:rsidR="00B663AB">
          <w:rPr>
            <w:noProof/>
            <w:webHidden/>
          </w:rPr>
          <w:t>40</w:t>
        </w:r>
        <w:r w:rsidR="00B663AB">
          <w:rPr>
            <w:noProof/>
            <w:webHidden/>
          </w:rPr>
          <w:fldChar w:fldCharType="end"/>
        </w:r>
      </w:hyperlink>
    </w:p>
    <w:p w14:paraId="4683735C" w14:textId="2FEBA840" w:rsidR="00B663AB" w:rsidRDefault="00C77D86">
      <w:pPr>
        <w:pStyle w:val="TOC2"/>
        <w:rPr>
          <w:rFonts w:asciiTheme="minorHAnsi" w:eastAsiaTheme="minorEastAsia" w:hAnsiTheme="minorHAnsi" w:cstheme="minorBidi"/>
          <w:noProof/>
          <w:sz w:val="22"/>
          <w:szCs w:val="22"/>
          <w:lang w:eastAsia="en-US"/>
        </w:rPr>
      </w:pPr>
      <w:hyperlink w:anchor="_Toc98847373" w:history="1">
        <w:r w:rsidR="00B663AB" w:rsidRPr="008C3D0C">
          <w:rPr>
            <w:rStyle w:val="Hyperlink"/>
            <w:noProof/>
          </w:rPr>
          <w:t>7.2</w:t>
        </w:r>
        <w:r w:rsidR="00B663AB">
          <w:rPr>
            <w:rFonts w:asciiTheme="minorHAnsi" w:eastAsiaTheme="minorEastAsia" w:hAnsiTheme="minorHAnsi" w:cstheme="minorBidi"/>
            <w:noProof/>
            <w:sz w:val="22"/>
            <w:szCs w:val="22"/>
            <w:lang w:eastAsia="en-US"/>
          </w:rPr>
          <w:tab/>
        </w:r>
        <w:r w:rsidR="00B663AB" w:rsidRPr="008C3D0C">
          <w:rPr>
            <w:rStyle w:val="Hyperlink"/>
            <w:noProof/>
          </w:rPr>
          <w:t>Point of Compliance</w:t>
        </w:r>
        <w:r w:rsidR="00B663AB">
          <w:rPr>
            <w:noProof/>
            <w:webHidden/>
          </w:rPr>
          <w:tab/>
        </w:r>
        <w:r w:rsidR="00B663AB">
          <w:rPr>
            <w:noProof/>
            <w:webHidden/>
          </w:rPr>
          <w:fldChar w:fldCharType="begin"/>
        </w:r>
        <w:r w:rsidR="00B663AB">
          <w:rPr>
            <w:noProof/>
            <w:webHidden/>
          </w:rPr>
          <w:instrText xml:space="preserve"> PAGEREF _Toc98847373 \h </w:instrText>
        </w:r>
        <w:r w:rsidR="00B663AB">
          <w:rPr>
            <w:noProof/>
            <w:webHidden/>
          </w:rPr>
        </w:r>
        <w:r w:rsidR="00B663AB">
          <w:rPr>
            <w:noProof/>
            <w:webHidden/>
          </w:rPr>
          <w:fldChar w:fldCharType="separate"/>
        </w:r>
        <w:r w:rsidR="00B663AB">
          <w:rPr>
            <w:noProof/>
            <w:webHidden/>
          </w:rPr>
          <w:t>40</w:t>
        </w:r>
        <w:r w:rsidR="00B663AB">
          <w:rPr>
            <w:noProof/>
            <w:webHidden/>
          </w:rPr>
          <w:fldChar w:fldCharType="end"/>
        </w:r>
      </w:hyperlink>
    </w:p>
    <w:p w14:paraId="3BED5A01" w14:textId="0DE47BE2" w:rsidR="00B663AB" w:rsidRDefault="00C77D86">
      <w:pPr>
        <w:pStyle w:val="TOC2"/>
        <w:rPr>
          <w:rFonts w:asciiTheme="minorHAnsi" w:eastAsiaTheme="minorEastAsia" w:hAnsiTheme="minorHAnsi" w:cstheme="minorBidi"/>
          <w:noProof/>
          <w:sz w:val="22"/>
          <w:szCs w:val="22"/>
          <w:lang w:eastAsia="en-US"/>
        </w:rPr>
      </w:pPr>
      <w:hyperlink w:anchor="_Toc98847374" w:history="1">
        <w:r w:rsidR="00B663AB" w:rsidRPr="008C3D0C">
          <w:rPr>
            <w:rStyle w:val="Hyperlink"/>
            <w:noProof/>
          </w:rPr>
          <w:t>7.3</w:t>
        </w:r>
        <w:r w:rsidR="00B663AB">
          <w:rPr>
            <w:rFonts w:asciiTheme="minorHAnsi" w:eastAsiaTheme="minorEastAsia" w:hAnsiTheme="minorHAnsi" w:cstheme="minorBidi"/>
            <w:noProof/>
            <w:sz w:val="22"/>
            <w:szCs w:val="22"/>
            <w:lang w:eastAsia="en-US"/>
          </w:rPr>
          <w:tab/>
        </w:r>
        <w:r w:rsidR="00B663AB" w:rsidRPr="008C3D0C">
          <w:rPr>
            <w:rStyle w:val="Hyperlink"/>
            <w:noProof/>
          </w:rPr>
          <w:t>Potentially Applicable or Relevant and Appropriate Requirements</w:t>
        </w:r>
        <w:r w:rsidR="00B663AB">
          <w:rPr>
            <w:noProof/>
            <w:webHidden/>
          </w:rPr>
          <w:tab/>
        </w:r>
        <w:r w:rsidR="00B663AB">
          <w:rPr>
            <w:noProof/>
            <w:webHidden/>
          </w:rPr>
          <w:fldChar w:fldCharType="begin"/>
        </w:r>
        <w:r w:rsidR="00B663AB">
          <w:rPr>
            <w:noProof/>
            <w:webHidden/>
          </w:rPr>
          <w:instrText xml:space="preserve"> PAGEREF _Toc98847374 \h </w:instrText>
        </w:r>
        <w:r w:rsidR="00B663AB">
          <w:rPr>
            <w:noProof/>
            <w:webHidden/>
          </w:rPr>
        </w:r>
        <w:r w:rsidR="00B663AB">
          <w:rPr>
            <w:noProof/>
            <w:webHidden/>
          </w:rPr>
          <w:fldChar w:fldCharType="separate"/>
        </w:r>
        <w:r w:rsidR="00B663AB">
          <w:rPr>
            <w:noProof/>
            <w:webHidden/>
          </w:rPr>
          <w:t>40</w:t>
        </w:r>
        <w:r w:rsidR="00B663AB">
          <w:rPr>
            <w:noProof/>
            <w:webHidden/>
          </w:rPr>
          <w:fldChar w:fldCharType="end"/>
        </w:r>
      </w:hyperlink>
    </w:p>
    <w:p w14:paraId="1BA29A14" w14:textId="31E66AE5" w:rsidR="00B663AB" w:rsidRDefault="00C77D86">
      <w:pPr>
        <w:pStyle w:val="TOC1"/>
        <w:rPr>
          <w:rFonts w:asciiTheme="minorHAnsi" w:eastAsiaTheme="minorEastAsia" w:hAnsiTheme="minorHAnsi" w:cstheme="minorBidi"/>
          <w:b w:val="0"/>
          <w:caps w:val="0"/>
          <w:sz w:val="22"/>
          <w:szCs w:val="22"/>
          <w:lang w:eastAsia="en-US"/>
        </w:rPr>
      </w:pPr>
      <w:hyperlink w:anchor="_Toc98847375" w:history="1">
        <w:r w:rsidR="00B663AB" w:rsidRPr="008C3D0C">
          <w:rPr>
            <w:rStyle w:val="Hyperlink"/>
          </w:rPr>
          <w:t>8.</w:t>
        </w:r>
        <w:r w:rsidR="00B663AB">
          <w:rPr>
            <w:rFonts w:asciiTheme="minorHAnsi" w:eastAsiaTheme="minorEastAsia" w:hAnsiTheme="minorHAnsi" w:cstheme="minorBidi"/>
            <w:b w:val="0"/>
            <w:caps w:val="0"/>
            <w:sz w:val="22"/>
            <w:szCs w:val="22"/>
            <w:lang w:eastAsia="en-US"/>
          </w:rPr>
          <w:tab/>
        </w:r>
        <w:r w:rsidR="00B663AB" w:rsidRPr="008C3D0C">
          <w:rPr>
            <w:rStyle w:val="Hyperlink"/>
          </w:rPr>
          <w:t>Evaluation of Compliance with Proposed Cleanup Standards</w:t>
        </w:r>
        <w:r w:rsidR="00B663AB">
          <w:rPr>
            <w:webHidden/>
          </w:rPr>
          <w:tab/>
        </w:r>
        <w:r w:rsidR="00B663AB">
          <w:rPr>
            <w:webHidden/>
          </w:rPr>
          <w:fldChar w:fldCharType="begin"/>
        </w:r>
        <w:r w:rsidR="00B663AB">
          <w:rPr>
            <w:webHidden/>
          </w:rPr>
          <w:instrText xml:space="preserve"> PAGEREF _Toc98847375 \h </w:instrText>
        </w:r>
        <w:r w:rsidR="00B663AB">
          <w:rPr>
            <w:webHidden/>
          </w:rPr>
        </w:r>
        <w:r w:rsidR="00B663AB">
          <w:rPr>
            <w:webHidden/>
          </w:rPr>
          <w:fldChar w:fldCharType="separate"/>
        </w:r>
        <w:r w:rsidR="00B663AB">
          <w:rPr>
            <w:webHidden/>
          </w:rPr>
          <w:t>41</w:t>
        </w:r>
        <w:r w:rsidR="00B663AB">
          <w:rPr>
            <w:webHidden/>
          </w:rPr>
          <w:fldChar w:fldCharType="end"/>
        </w:r>
      </w:hyperlink>
    </w:p>
    <w:p w14:paraId="47FDB035" w14:textId="1A875D33" w:rsidR="00B663AB" w:rsidRDefault="00C77D86">
      <w:pPr>
        <w:pStyle w:val="TOC1"/>
        <w:rPr>
          <w:rFonts w:asciiTheme="minorHAnsi" w:eastAsiaTheme="minorEastAsia" w:hAnsiTheme="minorHAnsi" w:cstheme="minorBidi"/>
          <w:b w:val="0"/>
          <w:caps w:val="0"/>
          <w:sz w:val="22"/>
          <w:szCs w:val="22"/>
          <w:lang w:eastAsia="en-US"/>
        </w:rPr>
      </w:pPr>
      <w:hyperlink w:anchor="_Toc98847376" w:history="1">
        <w:r w:rsidR="00B663AB" w:rsidRPr="008C3D0C">
          <w:rPr>
            <w:rStyle w:val="Hyperlink"/>
          </w:rPr>
          <w:t>9.</w:t>
        </w:r>
        <w:r w:rsidR="00B663AB">
          <w:rPr>
            <w:rFonts w:asciiTheme="minorHAnsi" w:eastAsiaTheme="minorEastAsia" w:hAnsiTheme="minorHAnsi" w:cstheme="minorBidi"/>
            <w:b w:val="0"/>
            <w:caps w:val="0"/>
            <w:sz w:val="22"/>
            <w:szCs w:val="22"/>
            <w:lang w:eastAsia="en-US"/>
          </w:rPr>
          <w:tab/>
        </w:r>
        <w:r w:rsidR="00B663AB" w:rsidRPr="008C3D0C">
          <w:rPr>
            <w:rStyle w:val="Hyperlink"/>
          </w:rPr>
          <w:t>Feasibility Study</w:t>
        </w:r>
        <w:r w:rsidR="00B663AB">
          <w:rPr>
            <w:webHidden/>
          </w:rPr>
          <w:tab/>
        </w:r>
        <w:r w:rsidR="00B663AB">
          <w:rPr>
            <w:webHidden/>
          </w:rPr>
          <w:fldChar w:fldCharType="begin"/>
        </w:r>
        <w:r w:rsidR="00B663AB">
          <w:rPr>
            <w:webHidden/>
          </w:rPr>
          <w:instrText xml:space="preserve"> PAGEREF _Toc98847376 \h </w:instrText>
        </w:r>
        <w:r w:rsidR="00B663AB">
          <w:rPr>
            <w:webHidden/>
          </w:rPr>
        </w:r>
        <w:r w:rsidR="00B663AB">
          <w:rPr>
            <w:webHidden/>
          </w:rPr>
          <w:fldChar w:fldCharType="separate"/>
        </w:r>
        <w:r w:rsidR="00B663AB">
          <w:rPr>
            <w:webHidden/>
          </w:rPr>
          <w:t>42</w:t>
        </w:r>
        <w:r w:rsidR="00B663AB">
          <w:rPr>
            <w:webHidden/>
          </w:rPr>
          <w:fldChar w:fldCharType="end"/>
        </w:r>
      </w:hyperlink>
    </w:p>
    <w:p w14:paraId="6A5DAAE8" w14:textId="60904B84" w:rsidR="00B663AB" w:rsidRDefault="00C77D86">
      <w:pPr>
        <w:pStyle w:val="TOC2"/>
        <w:rPr>
          <w:rFonts w:asciiTheme="minorHAnsi" w:eastAsiaTheme="minorEastAsia" w:hAnsiTheme="minorHAnsi" w:cstheme="minorBidi"/>
          <w:noProof/>
          <w:sz w:val="22"/>
          <w:szCs w:val="22"/>
          <w:lang w:eastAsia="en-US"/>
        </w:rPr>
      </w:pPr>
      <w:hyperlink w:anchor="_Toc98847377" w:history="1">
        <w:r w:rsidR="00B663AB" w:rsidRPr="008C3D0C">
          <w:rPr>
            <w:rStyle w:val="Hyperlink"/>
            <w:noProof/>
          </w:rPr>
          <w:t>9.1</w:t>
        </w:r>
        <w:r w:rsidR="00B663AB">
          <w:rPr>
            <w:rFonts w:asciiTheme="minorHAnsi" w:eastAsiaTheme="minorEastAsia" w:hAnsiTheme="minorHAnsi" w:cstheme="minorBidi"/>
            <w:noProof/>
            <w:sz w:val="22"/>
            <w:szCs w:val="22"/>
            <w:lang w:eastAsia="en-US"/>
          </w:rPr>
          <w:tab/>
        </w:r>
        <w:r w:rsidR="00B663AB" w:rsidRPr="008C3D0C">
          <w:rPr>
            <w:rStyle w:val="Hyperlink"/>
            <w:noProof/>
          </w:rPr>
          <w:t>Remedial Action Objectives</w:t>
        </w:r>
        <w:r w:rsidR="00B663AB">
          <w:rPr>
            <w:noProof/>
            <w:webHidden/>
          </w:rPr>
          <w:tab/>
        </w:r>
        <w:r w:rsidR="00B663AB">
          <w:rPr>
            <w:noProof/>
            <w:webHidden/>
          </w:rPr>
          <w:fldChar w:fldCharType="begin"/>
        </w:r>
        <w:r w:rsidR="00B663AB">
          <w:rPr>
            <w:noProof/>
            <w:webHidden/>
          </w:rPr>
          <w:instrText xml:space="preserve"> PAGEREF _Toc98847377 \h </w:instrText>
        </w:r>
        <w:r w:rsidR="00B663AB">
          <w:rPr>
            <w:noProof/>
            <w:webHidden/>
          </w:rPr>
        </w:r>
        <w:r w:rsidR="00B663AB">
          <w:rPr>
            <w:noProof/>
            <w:webHidden/>
          </w:rPr>
          <w:fldChar w:fldCharType="separate"/>
        </w:r>
        <w:r w:rsidR="00B663AB">
          <w:rPr>
            <w:noProof/>
            <w:webHidden/>
          </w:rPr>
          <w:t>42</w:t>
        </w:r>
        <w:r w:rsidR="00B663AB">
          <w:rPr>
            <w:noProof/>
            <w:webHidden/>
          </w:rPr>
          <w:fldChar w:fldCharType="end"/>
        </w:r>
      </w:hyperlink>
    </w:p>
    <w:p w14:paraId="26727554" w14:textId="7701C3F7" w:rsidR="00B663AB" w:rsidRDefault="00C77D86">
      <w:pPr>
        <w:pStyle w:val="TOC2"/>
        <w:rPr>
          <w:rFonts w:asciiTheme="minorHAnsi" w:eastAsiaTheme="minorEastAsia" w:hAnsiTheme="minorHAnsi" w:cstheme="minorBidi"/>
          <w:noProof/>
          <w:sz w:val="22"/>
          <w:szCs w:val="22"/>
          <w:lang w:eastAsia="en-US"/>
        </w:rPr>
      </w:pPr>
      <w:hyperlink w:anchor="_Toc98847378" w:history="1">
        <w:r w:rsidR="00B663AB" w:rsidRPr="008C3D0C">
          <w:rPr>
            <w:rStyle w:val="Hyperlink"/>
            <w:noProof/>
          </w:rPr>
          <w:t>9.2</w:t>
        </w:r>
        <w:r w:rsidR="00B663AB">
          <w:rPr>
            <w:rFonts w:asciiTheme="minorHAnsi" w:eastAsiaTheme="minorEastAsia" w:hAnsiTheme="minorHAnsi" w:cstheme="minorBidi"/>
            <w:noProof/>
            <w:sz w:val="22"/>
            <w:szCs w:val="22"/>
            <w:lang w:eastAsia="en-US"/>
          </w:rPr>
          <w:tab/>
        </w:r>
        <w:r w:rsidR="00B663AB" w:rsidRPr="008C3D0C">
          <w:rPr>
            <w:rStyle w:val="Hyperlink"/>
            <w:noProof/>
          </w:rPr>
          <w:t>Identification of Remedial Technologies</w:t>
        </w:r>
        <w:r w:rsidR="00B663AB">
          <w:rPr>
            <w:noProof/>
            <w:webHidden/>
          </w:rPr>
          <w:tab/>
        </w:r>
        <w:r w:rsidR="00B663AB">
          <w:rPr>
            <w:noProof/>
            <w:webHidden/>
          </w:rPr>
          <w:fldChar w:fldCharType="begin"/>
        </w:r>
        <w:r w:rsidR="00B663AB">
          <w:rPr>
            <w:noProof/>
            <w:webHidden/>
          </w:rPr>
          <w:instrText xml:space="preserve"> PAGEREF _Toc98847378 \h </w:instrText>
        </w:r>
        <w:r w:rsidR="00B663AB">
          <w:rPr>
            <w:noProof/>
            <w:webHidden/>
          </w:rPr>
        </w:r>
        <w:r w:rsidR="00B663AB">
          <w:rPr>
            <w:noProof/>
            <w:webHidden/>
          </w:rPr>
          <w:fldChar w:fldCharType="separate"/>
        </w:r>
        <w:r w:rsidR="00B663AB">
          <w:rPr>
            <w:noProof/>
            <w:webHidden/>
          </w:rPr>
          <w:t>42</w:t>
        </w:r>
        <w:r w:rsidR="00B663AB">
          <w:rPr>
            <w:noProof/>
            <w:webHidden/>
          </w:rPr>
          <w:fldChar w:fldCharType="end"/>
        </w:r>
      </w:hyperlink>
    </w:p>
    <w:p w14:paraId="100BD256" w14:textId="62A8E429" w:rsidR="00B663AB" w:rsidRDefault="00C77D86">
      <w:pPr>
        <w:pStyle w:val="TOC2"/>
        <w:rPr>
          <w:rFonts w:asciiTheme="minorHAnsi" w:eastAsiaTheme="minorEastAsia" w:hAnsiTheme="minorHAnsi" w:cstheme="minorBidi"/>
          <w:noProof/>
          <w:sz w:val="22"/>
          <w:szCs w:val="22"/>
          <w:lang w:eastAsia="en-US"/>
        </w:rPr>
      </w:pPr>
      <w:hyperlink w:anchor="_Toc98847379" w:history="1">
        <w:r w:rsidR="00B663AB" w:rsidRPr="008C3D0C">
          <w:rPr>
            <w:rStyle w:val="Hyperlink"/>
            <w:noProof/>
          </w:rPr>
          <w:t>9.3</w:t>
        </w:r>
        <w:r w:rsidR="00B663AB">
          <w:rPr>
            <w:rFonts w:asciiTheme="minorHAnsi" w:eastAsiaTheme="minorEastAsia" w:hAnsiTheme="minorHAnsi" w:cstheme="minorBidi"/>
            <w:noProof/>
            <w:sz w:val="22"/>
            <w:szCs w:val="22"/>
            <w:lang w:eastAsia="en-US"/>
          </w:rPr>
          <w:tab/>
        </w:r>
        <w:r w:rsidR="00B663AB" w:rsidRPr="008C3D0C">
          <w:rPr>
            <w:rStyle w:val="Hyperlink"/>
            <w:noProof/>
          </w:rPr>
          <w:t>Identification of Cleanup Action Alternatives</w:t>
        </w:r>
        <w:r w:rsidR="00B663AB">
          <w:rPr>
            <w:noProof/>
            <w:webHidden/>
          </w:rPr>
          <w:tab/>
        </w:r>
        <w:r w:rsidR="00B663AB">
          <w:rPr>
            <w:noProof/>
            <w:webHidden/>
          </w:rPr>
          <w:fldChar w:fldCharType="begin"/>
        </w:r>
        <w:r w:rsidR="00B663AB">
          <w:rPr>
            <w:noProof/>
            <w:webHidden/>
          </w:rPr>
          <w:instrText xml:space="preserve"> PAGEREF _Toc98847379 \h </w:instrText>
        </w:r>
        <w:r w:rsidR="00B663AB">
          <w:rPr>
            <w:noProof/>
            <w:webHidden/>
          </w:rPr>
        </w:r>
        <w:r w:rsidR="00B663AB">
          <w:rPr>
            <w:noProof/>
            <w:webHidden/>
          </w:rPr>
          <w:fldChar w:fldCharType="separate"/>
        </w:r>
        <w:r w:rsidR="00B663AB">
          <w:rPr>
            <w:noProof/>
            <w:webHidden/>
          </w:rPr>
          <w:t>42</w:t>
        </w:r>
        <w:r w:rsidR="00B663AB">
          <w:rPr>
            <w:noProof/>
            <w:webHidden/>
          </w:rPr>
          <w:fldChar w:fldCharType="end"/>
        </w:r>
      </w:hyperlink>
    </w:p>
    <w:p w14:paraId="3090F746" w14:textId="44368C84" w:rsidR="00B663AB" w:rsidRDefault="00C77D86">
      <w:pPr>
        <w:pStyle w:val="TOC3"/>
        <w:rPr>
          <w:rFonts w:asciiTheme="minorHAnsi" w:eastAsiaTheme="minorEastAsia" w:hAnsiTheme="minorHAnsi" w:cstheme="minorBidi"/>
          <w:noProof/>
          <w:sz w:val="22"/>
          <w:szCs w:val="22"/>
          <w:lang w:eastAsia="en-US"/>
        </w:rPr>
      </w:pPr>
      <w:hyperlink w:anchor="_Toc98847380" w:history="1">
        <w:r w:rsidR="00B663AB" w:rsidRPr="008C3D0C">
          <w:rPr>
            <w:rStyle w:val="Hyperlink"/>
            <w:noProof/>
          </w:rPr>
          <w:t>9.3.1</w:t>
        </w:r>
        <w:r w:rsidR="00B663AB">
          <w:rPr>
            <w:rFonts w:asciiTheme="minorHAnsi" w:eastAsiaTheme="minorEastAsia" w:hAnsiTheme="minorHAnsi" w:cstheme="minorBidi"/>
            <w:noProof/>
            <w:sz w:val="22"/>
            <w:szCs w:val="22"/>
            <w:lang w:eastAsia="en-US"/>
          </w:rPr>
          <w:tab/>
        </w:r>
        <w:r w:rsidR="00B663AB" w:rsidRPr="008C3D0C">
          <w:rPr>
            <w:rStyle w:val="Hyperlink"/>
            <w:noProof/>
          </w:rPr>
          <w:t>Alternative 1 – Complete Removal of Cleanup Level Exceedances</w:t>
        </w:r>
        <w:r w:rsidR="00B663AB">
          <w:rPr>
            <w:noProof/>
            <w:webHidden/>
          </w:rPr>
          <w:tab/>
        </w:r>
        <w:r w:rsidR="00B663AB">
          <w:rPr>
            <w:noProof/>
            <w:webHidden/>
          </w:rPr>
          <w:fldChar w:fldCharType="begin"/>
        </w:r>
        <w:r w:rsidR="00B663AB">
          <w:rPr>
            <w:noProof/>
            <w:webHidden/>
          </w:rPr>
          <w:instrText xml:space="preserve"> PAGEREF _Toc98847380 \h </w:instrText>
        </w:r>
        <w:r w:rsidR="00B663AB">
          <w:rPr>
            <w:noProof/>
            <w:webHidden/>
          </w:rPr>
        </w:r>
        <w:r w:rsidR="00B663AB">
          <w:rPr>
            <w:noProof/>
            <w:webHidden/>
          </w:rPr>
          <w:fldChar w:fldCharType="separate"/>
        </w:r>
        <w:r w:rsidR="00B663AB">
          <w:rPr>
            <w:noProof/>
            <w:webHidden/>
          </w:rPr>
          <w:t>42</w:t>
        </w:r>
        <w:r w:rsidR="00B663AB">
          <w:rPr>
            <w:noProof/>
            <w:webHidden/>
          </w:rPr>
          <w:fldChar w:fldCharType="end"/>
        </w:r>
      </w:hyperlink>
    </w:p>
    <w:p w14:paraId="446AFD97" w14:textId="0ABAA1AE" w:rsidR="00B663AB" w:rsidRDefault="00C77D86">
      <w:pPr>
        <w:pStyle w:val="TOC3"/>
        <w:rPr>
          <w:rFonts w:asciiTheme="minorHAnsi" w:eastAsiaTheme="minorEastAsia" w:hAnsiTheme="minorHAnsi" w:cstheme="minorBidi"/>
          <w:noProof/>
          <w:sz w:val="22"/>
          <w:szCs w:val="22"/>
          <w:lang w:eastAsia="en-US"/>
        </w:rPr>
      </w:pPr>
      <w:hyperlink w:anchor="_Toc98847381" w:history="1">
        <w:r w:rsidR="00B663AB" w:rsidRPr="008C3D0C">
          <w:rPr>
            <w:rStyle w:val="Hyperlink"/>
            <w:noProof/>
          </w:rPr>
          <w:t>9.3.2</w:t>
        </w:r>
        <w:r w:rsidR="00B663AB">
          <w:rPr>
            <w:rFonts w:asciiTheme="minorHAnsi" w:eastAsiaTheme="minorEastAsia" w:hAnsiTheme="minorHAnsi" w:cstheme="minorBidi"/>
            <w:noProof/>
            <w:sz w:val="22"/>
            <w:szCs w:val="22"/>
            <w:lang w:eastAsia="en-US"/>
          </w:rPr>
          <w:tab/>
        </w:r>
        <w:r w:rsidR="00B663AB" w:rsidRPr="008C3D0C">
          <w:rPr>
            <w:rStyle w:val="Hyperlink"/>
            <w:noProof/>
          </w:rPr>
          <w:t>Alternative 2 – Partial Removal of Cleanup Level Exceedances with Caps/Covers and Institutional Controls</w:t>
        </w:r>
        <w:r w:rsidR="00B663AB">
          <w:rPr>
            <w:noProof/>
            <w:webHidden/>
          </w:rPr>
          <w:tab/>
        </w:r>
        <w:r w:rsidR="00B663AB">
          <w:rPr>
            <w:noProof/>
            <w:webHidden/>
          </w:rPr>
          <w:fldChar w:fldCharType="begin"/>
        </w:r>
        <w:r w:rsidR="00B663AB">
          <w:rPr>
            <w:noProof/>
            <w:webHidden/>
          </w:rPr>
          <w:instrText xml:space="preserve"> PAGEREF _Toc98847381 \h </w:instrText>
        </w:r>
        <w:r w:rsidR="00B663AB">
          <w:rPr>
            <w:noProof/>
            <w:webHidden/>
          </w:rPr>
        </w:r>
        <w:r w:rsidR="00B663AB">
          <w:rPr>
            <w:noProof/>
            <w:webHidden/>
          </w:rPr>
          <w:fldChar w:fldCharType="separate"/>
        </w:r>
        <w:r w:rsidR="00B663AB">
          <w:rPr>
            <w:noProof/>
            <w:webHidden/>
          </w:rPr>
          <w:t>43</w:t>
        </w:r>
        <w:r w:rsidR="00B663AB">
          <w:rPr>
            <w:noProof/>
            <w:webHidden/>
          </w:rPr>
          <w:fldChar w:fldCharType="end"/>
        </w:r>
      </w:hyperlink>
    </w:p>
    <w:p w14:paraId="578F566E" w14:textId="41673843" w:rsidR="00B663AB" w:rsidRDefault="00C77D86">
      <w:pPr>
        <w:pStyle w:val="TOC3"/>
        <w:rPr>
          <w:rFonts w:asciiTheme="minorHAnsi" w:eastAsiaTheme="minorEastAsia" w:hAnsiTheme="minorHAnsi" w:cstheme="minorBidi"/>
          <w:noProof/>
          <w:sz w:val="22"/>
          <w:szCs w:val="22"/>
          <w:lang w:eastAsia="en-US"/>
        </w:rPr>
      </w:pPr>
      <w:hyperlink w:anchor="_Toc98847382" w:history="1">
        <w:r w:rsidR="00B663AB" w:rsidRPr="008C3D0C">
          <w:rPr>
            <w:rStyle w:val="Hyperlink"/>
            <w:noProof/>
          </w:rPr>
          <w:t>9.3.3</w:t>
        </w:r>
        <w:r w:rsidR="00B663AB">
          <w:rPr>
            <w:rFonts w:asciiTheme="minorHAnsi" w:eastAsiaTheme="minorEastAsia" w:hAnsiTheme="minorHAnsi" w:cstheme="minorBidi"/>
            <w:noProof/>
            <w:sz w:val="22"/>
            <w:szCs w:val="22"/>
            <w:lang w:eastAsia="en-US"/>
          </w:rPr>
          <w:tab/>
        </w:r>
        <w:r w:rsidR="00B663AB" w:rsidRPr="008C3D0C">
          <w:rPr>
            <w:rStyle w:val="Hyperlink"/>
            <w:noProof/>
          </w:rPr>
          <w:t>Alternative 3 – Caps/Covers with Institutional Controls</w:t>
        </w:r>
        <w:r w:rsidR="00B663AB">
          <w:rPr>
            <w:noProof/>
            <w:webHidden/>
          </w:rPr>
          <w:tab/>
        </w:r>
        <w:r w:rsidR="00B663AB">
          <w:rPr>
            <w:noProof/>
            <w:webHidden/>
          </w:rPr>
          <w:fldChar w:fldCharType="begin"/>
        </w:r>
        <w:r w:rsidR="00B663AB">
          <w:rPr>
            <w:noProof/>
            <w:webHidden/>
          </w:rPr>
          <w:instrText xml:space="preserve"> PAGEREF _Toc98847382 \h </w:instrText>
        </w:r>
        <w:r w:rsidR="00B663AB">
          <w:rPr>
            <w:noProof/>
            <w:webHidden/>
          </w:rPr>
        </w:r>
        <w:r w:rsidR="00B663AB">
          <w:rPr>
            <w:noProof/>
            <w:webHidden/>
          </w:rPr>
          <w:fldChar w:fldCharType="separate"/>
        </w:r>
        <w:r w:rsidR="00B663AB">
          <w:rPr>
            <w:noProof/>
            <w:webHidden/>
          </w:rPr>
          <w:t>43</w:t>
        </w:r>
        <w:r w:rsidR="00B663AB">
          <w:rPr>
            <w:noProof/>
            <w:webHidden/>
          </w:rPr>
          <w:fldChar w:fldCharType="end"/>
        </w:r>
      </w:hyperlink>
    </w:p>
    <w:p w14:paraId="30F3AC3A" w14:textId="56A20A30" w:rsidR="00B663AB" w:rsidRDefault="00C77D86">
      <w:pPr>
        <w:pStyle w:val="TOC3"/>
        <w:rPr>
          <w:rFonts w:asciiTheme="minorHAnsi" w:eastAsiaTheme="minorEastAsia" w:hAnsiTheme="minorHAnsi" w:cstheme="minorBidi"/>
          <w:noProof/>
          <w:sz w:val="22"/>
          <w:szCs w:val="22"/>
          <w:lang w:eastAsia="en-US"/>
        </w:rPr>
      </w:pPr>
      <w:hyperlink w:anchor="_Toc98847383" w:history="1">
        <w:r w:rsidR="00B663AB" w:rsidRPr="008C3D0C">
          <w:rPr>
            <w:rStyle w:val="Hyperlink"/>
            <w:noProof/>
          </w:rPr>
          <w:t>9.3.4</w:t>
        </w:r>
        <w:r w:rsidR="00B663AB">
          <w:rPr>
            <w:rFonts w:asciiTheme="minorHAnsi" w:eastAsiaTheme="minorEastAsia" w:hAnsiTheme="minorHAnsi" w:cstheme="minorBidi"/>
            <w:noProof/>
            <w:sz w:val="22"/>
            <w:szCs w:val="22"/>
            <w:lang w:eastAsia="en-US"/>
          </w:rPr>
          <w:tab/>
        </w:r>
        <w:r w:rsidR="00B663AB" w:rsidRPr="008C3D0C">
          <w:rPr>
            <w:rStyle w:val="Hyperlink"/>
            <w:noProof/>
          </w:rPr>
          <w:t>Alternative 4 – No Action</w:t>
        </w:r>
        <w:r w:rsidR="00B663AB">
          <w:rPr>
            <w:noProof/>
            <w:webHidden/>
          </w:rPr>
          <w:tab/>
        </w:r>
        <w:r w:rsidR="00B663AB">
          <w:rPr>
            <w:noProof/>
            <w:webHidden/>
          </w:rPr>
          <w:fldChar w:fldCharType="begin"/>
        </w:r>
        <w:r w:rsidR="00B663AB">
          <w:rPr>
            <w:noProof/>
            <w:webHidden/>
          </w:rPr>
          <w:instrText xml:space="preserve"> PAGEREF _Toc98847383 \h </w:instrText>
        </w:r>
        <w:r w:rsidR="00B663AB">
          <w:rPr>
            <w:noProof/>
            <w:webHidden/>
          </w:rPr>
        </w:r>
        <w:r w:rsidR="00B663AB">
          <w:rPr>
            <w:noProof/>
            <w:webHidden/>
          </w:rPr>
          <w:fldChar w:fldCharType="separate"/>
        </w:r>
        <w:r w:rsidR="00B663AB">
          <w:rPr>
            <w:noProof/>
            <w:webHidden/>
          </w:rPr>
          <w:t>43</w:t>
        </w:r>
        <w:r w:rsidR="00B663AB">
          <w:rPr>
            <w:noProof/>
            <w:webHidden/>
          </w:rPr>
          <w:fldChar w:fldCharType="end"/>
        </w:r>
      </w:hyperlink>
    </w:p>
    <w:p w14:paraId="0F2306FD" w14:textId="4A7ED04F" w:rsidR="00B663AB" w:rsidRDefault="00C77D86">
      <w:pPr>
        <w:pStyle w:val="TOC2"/>
        <w:rPr>
          <w:rFonts w:asciiTheme="minorHAnsi" w:eastAsiaTheme="minorEastAsia" w:hAnsiTheme="minorHAnsi" w:cstheme="minorBidi"/>
          <w:noProof/>
          <w:sz w:val="22"/>
          <w:szCs w:val="22"/>
          <w:lang w:eastAsia="en-US"/>
        </w:rPr>
      </w:pPr>
      <w:hyperlink w:anchor="_Toc98847384" w:history="1">
        <w:r w:rsidR="00B663AB" w:rsidRPr="008C3D0C">
          <w:rPr>
            <w:rStyle w:val="Hyperlink"/>
            <w:noProof/>
          </w:rPr>
          <w:t>9.4</w:t>
        </w:r>
        <w:r w:rsidR="00B663AB">
          <w:rPr>
            <w:rFonts w:asciiTheme="minorHAnsi" w:eastAsiaTheme="minorEastAsia" w:hAnsiTheme="minorHAnsi" w:cstheme="minorBidi"/>
            <w:noProof/>
            <w:sz w:val="22"/>
            <w:szCs w:val="22"/>
            <w:lang w:eastAsia="en-US"/>
          </w:rPr>
          <w:tab/>
        </w:r>
        <w:r w:rsidR="00B663AB" w:rsidRPr="008C3D0C">
          <w:rPr>
            <w:rStyle w:val="Hyperlink"/>
            <w:noProof/>
          </w:rPr>
          <w:t>Detailed Evaluation of Alternatives</w:t>
        </w:r>
        <w:r w:rsidR="00B663AB">
          <w:rPr>
            <w:noProof/>
            <w:webHidden/>
          </w:rPr>
          <w:tab/>
        </w:r>
        <w:r w:rsidR="00B663AB">
          <w:rPr>
            <w:noProof/>
            <w:webHidden/>
          </w:rPr>
          <w:fldChar w:fldCharType="begin"/>
        </w:r>
        <w:r w:rsidR="00B663AB">
          <w:rPr>
            <w:noProof/>
            <w:webHidden/>
          </w:rPr>
          <w:instrText xml:space="preserve"> PAGEREF _Toc98847384 \h </w:instrText>
        </w:r>
        <w:r w:rsidR="00B663AB">
          <w:rPr>
            <w:noProof/>
            <w:webHidden/>
          </w:rPr>
        </w:r>
        <w:r w:rsidR="00B663AB">
          <w:rPr>
            <w:noProof/>
            <w:webHidden/>
          </w:rPr>
          <w:fldChar w:fldCharType="separate"/>
        </w:r>
        <w:r w:rsidR="00B663AB">
          <w:rPr>
            <w:noProof/>
            <w:webHidden/>
          </w:rPr>
          <w:t>43</w:t>
        </w:r>
        <w:r w:rsidR="00B663AB">
          <w:rPr>
            <w:noProof/>
            <w:webHidden/>
          </w:rPr>
          <w:fldChar w:fldCharType="end"/>
        </w:r>
      </w:hyperlink>
    </w:p>
    <w:p w14:paraId="4DCFCA30" w14:textId="1DD41835" w:rsidR="00B663AB" w:rsidRDefault="00C77D86">
      <w:pPr>
        <w:pStyle w:val="TOC3"/>
        <w:rPr>
          <w:rFonts w:asciiTheme="minorHAnsi" w:eastAsiaTheme="minorEastAsia" w:hAnsiTheme="minorHAnsi" w:cstheme="minorBidi"/>
          <w:noProof/>
          <w:sz w:val="22"/>
          <w:szCs w:val="22"/>
          <w:lang w:eastAsia="en-US"/>
        </w:rPr>
      </w:pPr>
      <w:hyperlink w:anchor="_Toc98847385" w:history="1">
        <w:r w:rsidR="00B663AB" w:rsidRPr="008C3D0C">
          <w:rPr>
            <w:rStyle w:val="Hyperlink"/>
            <w:noProof/>
          </w:rPr>
          <w:t>9.4.1</w:t>
        </w:r>
        <w:r w:rsidR="00B663AB">
          <w:rPr>
            <w:rFonts w:asciiTheme="minorHAnsi" w:eastAsiaTheme="minorEastAsia" w:hAnsiTheme="minorHAnsi" w:cstheme="minorBidi"/>
            <w:noProof/>
            <w:sz w:val="22"/>
            <w:szCs w:val="22"/>
            <w:lang w:eastAsia="en-US"/>
          </w:rPr>
          <w:tab/>
        </w:r>
        <w:r w:rsidR="00B663AB" w:rsidRPr="008C3D0C">
          <w:rPr>
            <w:rStyle w:val="Hyperlink"/>
            <w:noProof/>
          </w:rPr>
          <w:t>Evaluation of Threshold and Other Requirements under MTCA</w:t>
        </w:r>
        <w:r w:rsidR="00B663AB">
          <w:rPr>
            <w:noProof/>
            <w:webHidden/>
          </w:rPr>
          <w:tab/>
        </w:r>
        <w:r w:rsidR="00B663AB">
          <w:rPr>
            <w:noProof/>
            <w:webHidden/>
          </w:rPr>
          <w:fldChar w:fldCharType="begin"/>
        </w:r>
        <w:r w:rsidR="00B663AB">
          <w:rPr>
            <w:noProof/>
            <w:webHidden/>
          </w:rPr>
          <w:instrText xml:space="preserve"> PAGEREF _Toc98847385 \h </w:instrText>
        </w:r>
        <w:r w:rsidR="00B663AB">
          <w:rPr>
            <w:noProof/>
            <w:webHidden/>
          </w:rPr>
        </w:r>
        <w:r w:rsidR="00B663AB">
          <w:rPr>
            <w:noProof/>
            <w:webHidden/>
          </w:rPr>
          <w:fldChar w:fldCharType="separate"/>
        </w:r>
        <w:r w:rsidR="00B663AB">
          <w:rPr>
            <w:noProof/>
            <w:webHidden/>
          </w:rPr>
          <w:t>43</w:t>
        </w:r>
        <w:r w:rsidR="00B663AB">
          <w:rPr>
            <w:noProof/>
            <w:webHidden/>
          </w:rPr>
          <w:fldChar w:fldCharType="end"/>
        </w:r>
      </w:hyperlink>
    </w:p>
    <w:p w14:paraId="378C68B5" w14:textId="237625F4" w:rsidR="00B663AB" w:rsidRDefault="00C77D86">
      <w:pPr>
        <w:pStyle w:val="TOC3"/>
        <w:rPr>
          <w:rFonts w:asciiTheme="minorHAnsi" w:eastAsiaTheme="minorEastAsia" w:hAnsiTheme="minorHAnsi" w:cstheme="minorBidi"/>
          <w:noProof/>
          <w:sz w:val="22"/>
          <w:szCs w:val="22"/>
          <w:lang w:eastAsia="en-US"/>
        </w:rPr>
      </w:pPr>
      <w:hyperlink w:anchor="_Toc98847386" w:history="1">
        <w:r w:rsidR="00B663AB" w:rsidRPr="008C3D0C">
          <w:rPr>
            <w:rStyle w:val="Hyperlink"/>
            <w:noProof/>
          </w:rPr>
          <w:t>9.4.2</w:t>
        </w:r>
        <w:r w:rsidR="00B663AB">
          <w:rPr>
            <w:rFonts w:asciiTheme="minorHAnsi" w:eastAsiaTheme="minorEastAsia" w:hAnsiTheme="minorHAnsi" w:cstheme="minorBidi"/>
            <w:noProof/>
            <w:sz w:val="22"/>
            <w:szCs w:val="22"/>
            <w:lang w:eastAsia="en-US"/>
          </w:rPr>
          <w:tab/>
        </w:r>
        <w:r w:rsidR="00B663AB" w:rsidRPr="008C3D0C">
          <w:rPr>
            <w:rStyle w:val="Hyperlink"/>
            <w:noProof/>
          </w:rPr>
          <w:t>Disproportionate Cost Analysis</w:t>
        </w:r>
        <w:r w:rsidR="00B663AB">
          <w:rPr>
            <w:noProof/>
            <w:webHidden/>
          </w:rPr>
          <w:tab/>
        </w:r>
        <w:r w:rsidR="00B663AB">
          <w:rPr>
            <w:noProof/>
            <w:webHidden/>
          </w:rPr>
          <w:fldChar w:fldCharType="begin"/>
        </w:r>
        <w:r w:rsidR="00B663AB">
          <w:rPr>
            <w:noProof/>
            <w:webHidden/>
          </w:rPr>
          <w:instrText xml:space="preserve"> PAGEREF _Toc98847386 \h </w:instrText>
        </w:r>
        <w:r w:rsidR="00B663AB">
          <w:rPr>
            <w:noProof/>
            <w:webHidden/>
          </w:rPr>
        </w:r>
        <w:r w:rsidR="00B663AB">
          <w:rPr>
            <w:noProof/>
            <w:webHidden/>
          </w:rPr>
          <w:fldChar w:fldCharType="separate"/>
        </w:r>
        <w:r w:rsidR="00B663AB">
          <w:rPr>
            <w:noProof/>
            <w:webHidden/>
          </w:rPr>
          <w:t>43</w:t>
        </w:r>
        <w:r w:rsidR="00B663AB">
          <w:rPr>
            <w:noProof/>
            <w:webHidden/>
          </w:rPr>
          <w:fldChar w:fldCharType="end"/>
        </w:r>
      </w:hyperlink>
    </w:p>
    <w:p w14:paraId="2099B65B" w14:textId="527B54A2" w:rsidR="00B663AB" w:rsidRDefault="00C77D86">
      <w:pPr>
        <w:pStyle w:val="TOC2"/>
        <w:rPr>
          <w:rFonts w:asciiTheme="minorHAnsi" w:eastAsiaTheme="minorEastAsia" w:hAnsiTheme="minorHAnsi" w:cstheme="minorBidi"/>
          <w:noProof/>
          <w:sz w:val="22"/>
          <w:szCs w:val="22"/>
          <w:lang w:eastAsia="en-US"/>
        </w:rPr>
      </w:pPr>
      <w:hyperlink w:anchor="_Toc98847387" w:history="1">
        <w:r w:rsidR="00B663AB" w:rsidRPr="008C3D0C">
          <w:rPr>
            <w:rStyle w:val="Hyperlink"/>
            <w:noProof/>
          </w:rPr>
          <w:t>9.5</w:t>
        </w:r>
        <w:r w:rsidR="00B663AB">
          <w:rPr>
            <w:rFonts w:asciiTheme="minorHAnsi" w:eastAsiaTheme="minorEastAsia" w:hAnsiTheme="minorHAnsi" w:cstheme="minorBidi"/>
            <w:noProof/>
            <w:sz w:val="22"/>
            <w:szCs w:val="22"/>
            <w:lang w:eastAsia="en-US"/>
          </w:rPr>
          <w:tab/>
        </w:r>
        <w:r w:rsidR="00B663AB" w:rsidRPr="008C3D0C">
          <w:rPr>
            <w:rStyle w:val="Hyperlink"/>
            <w:noProof/>
          </w:rPr>
          <w:t>Selection of Preferred Cleanup Action Alternative Remedy</w:t>
        </w:r>
        <w:r w:rsidR="00B663AB">
          <w:rPr>
            <w:noProof/>
            <w:webHidden/>
          </w:rPr>
          <w:tab/>
        </w:r>
        <w:r w:rsidR="00B663AB">
          <w:rPr>
            <w:noProof/>
            <w:webHidden/>
          </w:rPr>
          <w:fldChar w:fldCharType="begin"/>
        </w:r>
        <w:r w:rsidR="00B663AB">
          <w:rPr>
            <w:noProof/>
            <w:webHidden/>
          </w:rPr>
          <w:instrText xml:space="preserve"> PAGEREF _Toc98847387 \h </w:instrText>
        </w:r>
        <w:r w:rsidR="00B663AB">
          <w:rPr>
            <w:noProof/>
            <w:webHidden/>
          </w:rPr>
        </w:r>
        <w:r w:rsidR="00B663AB">
          <w:rPr>
            <w:noProof/>
            <w:webHidden/>
          </w:rPr>
          <w:fldChar w:fldCharType="separate"/>
        </w:r>
        <w:r w:rsidR="00B663AB">
          <w:rPr>
            <w:noProof/>
            <w:webHidden/>
          </w:rPr>
          <w:t>45</w:t>
        </w:r>
        <w:r w:rsidR="00B663AB">
          <w:rPr>
            <w:noProof/>
            <w:webHidden/>
          </w:rPr>
          <w:fldChar w:fldCharType="end"/>
        </w:r>
      </w:hyperlink>
    </w:p>
    <w:p w14:paraId="43F5894A" w14:textId="04027063" w:rsidR="00B663AB" w:rsidRDefault="00C77D86">
      <w:pPr>
        <w:pStyle w:val="TOC1"/>
        <w:rPr>
          <w:rFonts w:asciiTheme="minorHAnsi" w:eastAsiaTheme="minorEastAsia" w:hAnsiTheme="minorHAnsi" w:cstheme="minorBidi"/>
          <w:b w:val="0"/>
          <w:caps w:val="0"/>
          <w:sz w:val="22"/>
          <w:szCs w:val="22"/>
          <w:lang w:eastAsia="en-US"/>
        </w:rPr>
      </w:pPr>
      <w:hyperlink w:anchor="_Toc98847388" w:history="1">
        <w:r w:rsidR="00B663AB" w:rsidRPr="008C3D0C">
          <w:rPr>
            <w:rStyle w:val="Hyperlink"/>
          </w:rPr>
          <w:t>10.</w:t>
        </w:r>
        <w:r w:rsidR="00B663AB">
          <w:rPr>
            <w:rFonts w:asciiTheme="minorHAnsi" w:eastAsiaTheme="minorEastAsia" w:hAnsiTheme="minorHAnsi" w:cstheme="minorBidi"/>
            <w:b w:val="0"/>
            <w:caps w:val="0"/>
            <w:sz w:val="22"/>
            <w:szCs w:val="22"/>
            <w:lang w:eastAsia="en-US"/>
          </w:rPr>
          <w:tab/>
        </w:r>
        <w:r w:rsidR="00B663AB" w:rsidRPr="008C3D0C">
          <w:rPr>
            <w:rStyle w:val="Hyperlink"/>
          </w:rPr>
          <w:t>Cleanup Action Plan</w:t>
        </w:r>
        <w:r w:rsidR="00B663AB">
          <w:rPr>
            <w:webHidden/>
          </w:rPr>
          <w:tab/>
        </w:r>
        <w:r w:rsidR="00B663AB">
          <w:rPr>
            <w:webHidden/>
          </w:rPr>
          <w:fldChar w:fldCharType="begin"/>
        </w:r>
        <w:r w:rsidR="00B663AB">
          <w:rPr>
            <w:webHidden/>
          </w:rPr>
          <w:instrText xml:space="preserve"> PAGEREF _Toc98847388 \h </w:instrText>
        </w:r>
        <w:r w:rsidR="00B663AB">
          <w:rPr>
            <w:webHidden/>
          </w:rPr>
        </w:r>
        <w:r w:rsidR="00B663AB">
          <w:rPr>
            <w:webHidden/>
          </w:rPr>
          <w:fldChar w:fldCharType="separate"/>
        </w:r>
        <w:r w:rsidR="00B663AB">
          <w:rPr>
            <w:webHidden/>
          </w:rPr>
          <w:t>46</w:t>
        </w:r>
        <w:r w:rsidR="00B663AB">
          <w:rPr>
            <w:webHidden/>
          </w:rPr>
          <w:fldChar w:fldCharType="end"/>
        </w:r>
      </w:hyperlink>
    </w:p>
    <w:p w14:paraId="3DA0B99E" w14:textId="13A21D06" w:rsidR="00B663AB" w:rsidRDefault="00C77D86">
      <w:pPr>
        <w:pStyle w:val="TOC2"/>
        <w:rPr>
          <w:rFonts w:asciiTheme="minorHAnsi" w:eastAsiaTheme="minorEastAsia" w:hAnsiTheme="minorHAnsi" w:cstheme="minorBidi"/>
          <w:noProof/>
          <w:sz w:val="22"/>
          <w:szCs w:val="22"/>
          <w:lang w:eastAsia="en-US"/>
        </w:rPr>
      </w:pPr>
      <w:hyperlink w:anchor="_Toc98847389" w:history="1">
        <w:r w:rsidR="00B663AB" w:rsidRPr="008C3D0C">
          <w:rPr>
            <w:rStyle w:val="Hyperlink"/>
            <w:noProof/>
          </w:rPr>
          <w:t>10.1</w:t>
        </w:r>
        <w:r w:rsidR="00B663AB">
          <w:rPr>
            <w:rFonts w:asciiTheme="minorHAnsi" w:eastAsiaTheme="minorEastAsia" w:hAnsiTheme="minorHAnsi" w:cstheme="minorBidi"/>
            <w:noProof/>
            <w:sz w:val="22"/>
            <w:szCs w:val="22"/>
            <w:lang w:eastAsia="en-US"/>
          </w:rPr>
          <w:tab/>
        </w:r>
        <w:r w:rsidR="00B663AB" w:rsidRPr="008C3D0C">
          <w:rPr>
            <w:rStyle w:val="Hyperlink"/>
            <w:noProof/>
          </w:rPr>
          <w:t>Implementation Schedule and Restoration Timeframe</w:t>
        </w:r>
        <w:r w:rsidR="00B663AB">
          <w:rPr>
            <w:noProof/>
            <w:webHidden/>
          </w:rPr>
          <w:tab/>
        </w:r>
        <w:r w:rsidR="00B663AB">
          <w:rPr>
            <w:noProof/>
            <w:webHidden/>
          </w:rPr>
          <w:fldChar w:fldCharType="begin"/>
        </w:r>
        <w:r w:rsidR="00B663AB">
          <w:rPr>
            <w:noProof/>
            <w:webHidden/>
          </w:rPr>
          <w:instrText xml:space="preserve"> PAGEREF _Toc98847389 \h </w:instrText>
        </w:r>
        <w:r w:rsidR="00B663AB">
          <w:rPr>
            <w:noProof/>
            <w:webHidden/>
          </w:rPr>
        </w:r>
        <w:r w:rsidR="00B663AB">
          <w:rPr>
            <w:noProof/>
            <w:webHidden/>
          </w:rPr>
          <w:fldChar w:fldCharType="separate"/>
        </w:r>
        <w:r w:rsidR="00B663AB">
          <w:rPr>
            <w:noProof/>
            <w:webHidden/>
          </w:rPr>
          <w:t>46</w:t>
        </w:r>
        <w:r w:rsidR="00B663AB">
          <w:rPr>
            <w:noProof/>
            <w:webHidden/>
          </w:rPr>
          <w:fldChar w:fldCharType="end"/>
        </w:r>
      </w:hyperlink>
    </w:p>
    <w:p w14:paraId="59FDC527" w14:textId="3BFF7BE1" w:rsidR="00B663AB" w:rsidRDefault="00C77D86">
      <w:pPr>
        <w:pStyle w:val="TOC3"/>
        <w:rPr>
          <w:rFonts w:asciiTheme="minorHAnsi" w:eastAsiaTheme="minorEastAsia" w:hAnsiTheme="minorHAnsi" w:cstheme="minorBidi"/>
          <w:noProof/>
          <w:sz w:val="22"/>
          <w:szCs w:val="22"/>
          <w:lang w:eastAsia="en-US"/>
        </w:rPr>
      </w:pPr>
      <w:hyperlink w:anchor="_Toc98847390" w:history="1">
        <w:r w:rsidR="00B663AB" w:rsidRPr="008C3D0C">
          <w:rPr>
            <w:rStyle w:val="Hyperlink"/>
            <w:noProof/>
          </w:rPr>
          <w:t>10.1.1</w:t>
        </w:r>
        <w:r w:rsidR="00B663AB">
          <w:rPr>
            <w:rFonts w:asciiTheme="minorHAnsi" w:eastAsiaTheme="minorEastAsia" w:hAnsiTheme="minorHAnsi" w:cstheme="minorBidi"/>
            <w:noProof/>
            <w:sz w:val="22"/>
            <w:szCs w:val="22"/>
            <w:lang w:eastAsia="en-US"/>
          </w:rPr>
          <w:tab/>
        </w:r>
        <w:r w:rsidR="00B663AB" w:rsidRPr="008C3D0C">
          <w:rPr>
            <w:rStyle w:val="Hyperlink"/>
            <w:noProof/>
          </w:rPr>
          <w:t>Investigation Derived Waste Disposal</w:t>
        </w:r>
        <w:r w:rsidR="00B663AB">
          <w:rPr>
            <w:noProof/>
            <w:webHidden/>
          </w:rPr>
          <w:tab/>
        </w:r>
        <w:r w:rsidR="00B663AB">
          <w:rPr>
            <w:noProof/>
            <w:webHidden/>
          </w:rPr>
          <w:fldChar w:fldCharType="begin"/>
        </w:r>
        <w:r w:rsidR="00B663AB">
          <w:rPr>
            <w:noProof/>
            <w:webHidden/>
          </w:rPr>
          <w:instrText xml:space="preserve"> PAGEREF _Toc98847390 \h </w:instrText>
        </w:r>
        <w:r w:rsidR="00B663AB">
          <w:rPr>
            <w:noProof/>
            <w:webHidden/>
          </w:rPr>
        </w:r>
        <w:r w:rsidR="00B663AB">
          <w:rPr>
            <w:noProof/>
            <w:webHidden/>
          </w:rPr>
          <w:fldChar w:fldCharType="separate"/>
        </w:r>
        <w:r w:rsidR="00B663AB">
          <w:rPr>
            <w:noProof/>
            <w:webHidden/>
          </w:rPr>
          <w:t>46</w:t>
        </w:r>
        <w:r w:rsidR="00B663AB">
          <w:rPr>
            <w:noProof/>
            <w:webHidden/>
          </w:rPr>
          <w:fldChar w:fldCharType="end"/>
        </w:r>
      </w:hyperlink>
    </w:p>
    <w:p w14:paraId="77815270" w14:textId="6269B7AC" w:rsidR="00B663AB" w:rsidRDefault="00C77D86">
      <w:pPr>
        <w:pStyle w:val="TOC2"/>
        <w:rPr>
          <w:rFonts w:asciiTheme="minorHAnsi" w:eastAsiaTheme="minorEastAsia" w:hAnsiTheme="minorHAnsi" w:cstheme="minorBidi"/>
          <w:noProof/>
          <w:sz w:val="22"/>
          <w:szCs w:val="22"/>
          <w:lang w:eastAsia="en-US"/>
        </w:rPr>
      </w:pPr>
      <w:hyperlink w:anchor="_Toc98847391" w:history="1">
        <w:r w:rsidR="00B663AB" w:rsidRPr="008C3D0C">
          <w:rPr>
            <w:rStyle w:val="Hyperlink"/>
            <w:noProof/>
          </w:rPr>
          <w:t>10.2</w:t>
        </w:r>
        <w:r w:rsidR="00B663AB">
          <w:rPr>
            <w:rFonts w:asciiTheme="minorHAnsi" w:eastAsiaTheme="minorEastAsia" w:hAnsiTheme="minorHAnsi" w:cstheme="minorBidi"/>
            <w:noProof/>
            <w:sz w:val="22"/>
            <w:szCs w:val="22"/>
            <w:lang w:eastAsia="en-US"/>
          </w:rPr>
          <w:tab/>
        </w:r>
        <w:r w:rsidR="00B663AB" w:rsidRPr="008C3D0C">
          <w:rPr>
            <w:rStyle w:val="Hyperlink"/>
            <w:noProof/>
          </w:rPr>
          <w:t>Institutional Controls</w:t>
        </w:r>
        <w:r w:rsidR="00B663AB">
          <w:rPr>
            <w:noProof/>
            <w:webHidden/>
          </w:rPr>
          <w:tab/>
        </w:r>
        <w:r w:rsidR="00B663AB">
          <w:rPr>
            <w:noProof/>
            <w:webHidden/>
          </w:rPr>
          <w:fldChar w:fldCharType="begin"/>
        </w:r>
        <w:r w:rsidR="00B663AB">
          <w:rPr>
            <w:noProof/>
            <w:webHidden/>
          </w:rPr>
          <w:instrText xml:space="preserve"> PAGEREF _Toc98847391 \h </w:instrText>
        </w:r>
        <w:r w:rsidR="00B663AB">
          <w:rPr>
            <w:noProof/>
            <w:webHidden/>
          </w:rPr>
        </w:r>
        <w:r w:rsidR="00B663AB">
          <w:rPr>
            <w:noProof/>
            <w:webHidden/>
          </w:rPr>
          <w:fldChar w:fldCharType="separate"/>
        </w:r>
        <w:r w:rsidR="00B663AB">
          <w:rPr>
            <w:noProof/>
            <w:webHidden/>
          </w:rPr>
          <w:t>46</w:t>
        </w:r>
        <w:r w:rsidR="00B663AB">
          <w:rPr>
            <w:noProof/>
            <w:webHidden/>
          </w:rPr>
          <w:fldChar w:fldCharType="end"/>
        </w:r>
      </w:hyperlink>
    </w:p>
    <w:p w14:paraId="37449AC2" w14:textId="0A1850F8" w:rsidR="00B663AB" w:rsidRDefault="00C77D86">
      <w:pPr>
        <w:pStyle w:val="TOC2"/>
        <w:rPr>
          <w:rFonts w:asciiTheme="minorHAnsi" w:eastAsiaTheme="minorEastAsia" w:hAnsiTheme="minorHAnsi" w:cstheme="minorBidi"/>
          <w:noProof/>
          <w:sz w:val="22"/>
          <w:szCs w:val="22"/>
          <w:lang w:eastAsia="en-US"/>
        </w:rPr>
      </w:pPr>
      <w:hyperlink w:anchor="_Toc98847392" w:history="1">
        <w:r w:rsidR="00B663AB" w:rsidRPr="008C3D0C">
          <w:rPr>
            <w:rStyle w:val="Hyperlink"/>
            <w:noProof/>
          </w:rPr>
          <w:t>10.3</w:t>
        </w:r>
        <w:r w:rsidR="00B663AB">
          <w:rPr>
            <w:rFonts w:asciiTheme="minorHAnsi" w:eastAsiaTheme="minorEastAsia" w:hAnsiTheme="minorHAnsi" w:cstheme="minorBidi"/>
            <w:noProof/>
            <w:sz w:val="22"/>
            <w:szCs w:val="22"/>
            <w:lang w:eastAsia="en-US"/>
          </w:rPr>
          <w:tab/>
        </w:r>
        <w:r w:rsidR="00B663AB" w:rsidRPr="008C3D0C">
          <w:rPr>
            <w:rStyle w:val="Hyperlink"/>
            <w:noProof/>
          </w:rPr>
          <w:t>Compliance Monitoring Plan</w:t>
        </w:r>
        <w:r w:rsidR="00B663AB">
          <w:rPr>
            <w:noProof/>
            <w:webHidden/>
          </w:rPr>
          <w:tab/>
        </w:r>
        <w:r w:rsidR="00B663AB">
          <w:rPr>
            <w:noProof/>
            <w:webHidden/>
          </w:rPr>
          <w:fldChar w:fldCharType="begin"/>
        </w:r>
        <w:r w:rsidR="00B663AB">
          <w:rPr>
            <w:noProof/>
            <w:webHidden/>
          </w:rPr>
          <w:instrText xml:space="preserve"> PAGEREF _Toc98847392 \h </w:instrText>
        </w:r>
        <w:r w:rsidR="00B663AB">
          <w:rPr>
            <w:noProof/>
            <w:webHidden/>
          </w:rPr>
        </w:r>
        <w:r w:rsidR="00B663AB">
          <w:rPr>
            <w:noProof/>
            <w:webHidden/>
          </w:rPr>
          <w:fldChar w:fldCharType="separate"/>
        </w:r>
        <w:r w:rsidR="00B663AB">
          <w:rPr>
            <w:noProof/>
            <w:webHidden/>
          </w:rPr>
          <w:t>47</w:t>
        </w:r>
        <w:r w:rsidR="00B663AB">
          <w:rPr>
            <w:noProof/>
            <w:webHidden/>
          </w:rPr>
          <w:fldChar w:fldCharType="end"/>
        </w:r>
      </w:hyperlink>
    </w:p>
    <w:p w14:paraId="5DF1D8EB" w14:textId="5B1B220A" w:rsidR="00B663AB" w:rsidRDefault="00C77D86">
      <w:pPr>
        <w:pStyle w:val="TOC2"/>
        <w:rPr>
          <w:rFonts w:asciiTheme="minorHAnsi" w:eastAsiaTheme="minorEastAsia" w:hAnsiTheme="minorHAnsi" w:cstheme="minorBidi"/>
          <w:noProof/>
          <w:sz w:val="22"/>
          <w:szCs w:val="22"/>
          <w:lang w:eastAsia="en-US"/>
        </w:rPr>
      </w:pPr>
      <w:hyperlink w:anchor="_Toc98847393" w:history="1">
        <w:r w:rsidR="00B663AB" w:rsidRPr="008C3D0C">
          <w:rPr>
            <w:rStyle w:val="Hyperlink"/>
            <w:noProof/>
          </w:rPr>
          <w:t>10.4</w:t>
        </w:r>
        <w:r w:rsidR="00B663AB">
          <w:rPr>
            <w:rFonts w:asciiTheme="minorHAnsi" w:eastAsiaTheme="minorEastAsia" w:hAnsiTheme="minorHAnsi" w:cstheme="minorBidi"/>
            <w:noProof/>
            <w:sz w:val="22"/>
            <w:szCs w:val="22"/>
            <w:lang w:eastAsia="en-US"/>
          </w:rPr>
          <w:tab/>
        </w:r>
        <w:r w:rsidR="00B663AB" w:rsidRPr="008C3D0C">
          <w:rPr>
            <w:rStyle w:val="Hyperlink"/>
            <w:noProof/>
          </w:rPr>
          <w:t>Public Participation</w:t>
        </w:r>
        <w:r w:rsidR="00B663AB">
          <w:rPr>
            <w:noProof/>
            <w:webHidden/>
          </w:rPr>
          <w:tab/>
        </w:r>
        <w:r w:rsidR="00B663AB">
          <w:rPr>
            <w:noProof/>
            <w:webHidden/>
          </w:rPr>
          <w:fldChar w:fldCharType="begin"/>
        </w:r>
        <w:r w:rsidR="00B663AB">
          <w:rPr>
            <w:noProof/>
            <w:webHidden/>
          </w:rPr>
          <w:instrText xml:space="preserve"> PAGEREF _Toc98847393 \h </w:instrText>
        </w:r>
        <w:r w:rsidR="00B663AB">
          <w:rPr>
            <w:noProof/>
            <w:webHidden/>
          </w:rPr>
        </w:r>
        <w:r w:rsidR="00B663AB">
          <w:rPr>
            <w:noProof/>
            <w:webHidden/>
          </w:rPr>
          <w:fldChar w:fldCharType="separate"/>
        </w:r>
        <w:r w:rsidR="00B663AB">
          <w:rPr>
            <w:noProof/>
            <w:webHidden/>
          </w:rPr>
          <w:t>47</w:t>
        </w:r>
        <w:r w:rsidR="00B663AB">
          <w:rPr>
            <w:noProof/>
            <w:webHidden/>
          </w:rPr>
          <w:fldChar w:fldCharType="end"/>
        </w:r>
      </w:hyperlink>
    </w:p>
    <w:p w14:paraId="221BA469" w14:textId="458A93BE" w:rsidR="00B663AB" w:rsidRDefault="00C77D86">
      <w:pPr>
        <w:pStyle w:val="TOC1"/>
        <w:rPr>
          <w:rFonts w:asciiTheme="minorHAnsi" w:eastAsiaTheme="minorEastAsia" w:hAnsiTheme="minorHAnsi" w:cstheme="minorBidi"/>
          <w:b w:val="0"/>
          <w:caps w:val="0"/>
          <w:sz w:val="22"/>
          <w:szCs w:val="22"/>
          <w:lang w:eastAsia="en-US"/>
        </w:rPr>
      </w:pPr>
      <w:hyperlink w:anchor="_Toc98847394" w:history="1">
        <w:r w:rsidR="00B663AB" w:rsidRPr="008C3D0C">
          <w:rPr>
            <w:rStyle w:val="Hyperlink"/>
          </w:rPr>
          <w:t>11.</w:t>
        </w:r>
        <w:r w:rsidR="00B663AB">
          <w:rPr>
            <w:rFonts w:asciiTheme="minorHAnsi" w:eastAsiaTheme="minorEastAsia" w:hAnsiTheme="minorHAnsi" w:cstheme="minorBidi"/>
            <w:b w:val="0"/>
            <w:caps w:val="0"/>
            <w:sz w:val="22"/>
            <w:szCs w:val="22"/>
            <w:lang w:eastAsia="en-US"/>
          </w:rPr>
          <w:tab/>
        </w:r>
        <w:r w:rsidR="00B663AB" w:rsidRPr="008C3D0C">
          <w:rPr>
            <w:rStyle w:val="Hyperlink"/>
          </w:rPr>
          <w:t>Conclusions</w:t>
        </w:r>
        <w:r w:rsidR="00B663AB">
          <w:rPr>
            <w:webHidden/>
          </w:rPr>
          <w:tab/>
        </w:r>
        <w:r w:rsidR="00B663AB">
          <w:rPr>
            <w:webHidden/>
          </w:rPr>
          <w:fldChar w:fldCharType="begin"/>
        </w:r>
        <w:r w:rsidR="00B663AB">
          <w:rPr>
            <w:webHidden/>
          </w:rPr>
          <w:instrText xml:space="preserve"> PAGEREF _Toc98847394 \h </w:instrText>
        </w:r>
        <w:r w:rsidR="00B663AB">
          <w:rPr>
            <w:webHidden/>
          </w:rPr>
        </w:r>
        <w:r w:rsidR="00B663AB">
          <w:rPr>
            <w:webHidden/>
          </w:rPr>
          <w:fldChar w:fldCharType="separate"/>
        </w:r>
        <w:r w:rsidR="00B663AB">
          <w:rPr>
            <w:webHidden/>
          </w:rPr>
          <w:t>48</w:t>
        </w:r>
        <w:r w:rsidR="00B663AB">
          <w:rPr>
            <w:webHidden/>
          </w:rPr>
          <w:fldChar w:fldCharType="end"/>
        </w:r>
      </w:hyperlink>
    </w:p>
    <w:p w14:paraId="197F1F59" w14:textId="4F9768BF" w:rsidR="00B663AB" w:rsidRDefault="00C77D86">
      <w:pPr>
        <w:pStyle w:val="TOC1"/>
        <w:rPr>
          <w:rFonts w:asciiTheme="minorHAnsi" w:eastAsiaTheme="minorEastAsia" w:hAnsiTheme="minorHAnsi" w:cstheme="minorBidi"/>
          <w:b w:val="0"/>
          <w:caps w:val="0"/>
          <w:sz w:val="22"/>
          <w:szCs w:val="22"/>
          <w:lang w:eastAsia="en-US"/>
        </w:rPr>
      </w:pPr>
      <w:hyperlink w:anchor="_Toc98847395" w:history="1">
        <w:r w:rsidR="00B663AB" w:rsidRPr="008C3D0C">
          <w:rPr>
            <w:rStyle w:val="Hyperlink"/>
          </w:rPr>
          <w:t>12.</w:t>
        </w:r>
        <w:r w:rsidR="00B663AB">
          <w:rPr>
            <w:rFonts w:asciiTheme="minorHAnsi" w:eastAsiaTheme="minorEastAsia" w:hAnsiTheme="minorHAnsi" w:cstheme="minorBidi"/>
            <w:b w:val="0"/>
            <w:caps w:val="0"/>
            <w:sz w:val="22"/>
            <w:szCs w:val="22"/>
            <w:lang w:eastAsia="en-US"/>
          </w:rPr>
          <w:tab/>
        </w:r>
        <w:r w:rsidR="00B663AB" w:rsidRPr="008C3D0C">
          <w:rPr>
            <w:rStyle w:val="Hyperlink"/>
          </w:rPr>
          <w:t>References</w:t>
        </w:r>
        <w:r w:rsidR="00B663AB">
          <w:rPr>
            <w:webHidden/>
          </w:rPr>
          <w:tab/>
        </w:r>
        <w:r w:rsidR="00B663AB">
          <w:rPr>
            <w:webHidden/>
          </w:rPr>
          <w:fldChar w:fldCharType="begin"/>
        </w:r>
        <w:r w:rsidR="00B663AB">
          <w:rPr>
            <w:webHidden/>
          </w:rPr>
          <w:instrText xml:space="preserve"> PAGEREF _Toc98847395 \h </w:instrText>
        </w:r>
        <w:r w:rsidR="00B663AB">
          <w:rPr>
            <w:webHidden/>
          </w:rPr>
        </w:r>
        <w:r w:rsidR="00B663AB">
          <w:rPr>
            <w:webHidden/>
          </w:rPr>
          <w:fldChar w:fldCharType="separate"/>
        </w:r>
        <w:r w:rsidR="00B663AB">
          <w:rPr>
            <w:webHidden/>
          </w:rPr>
          <w:t>49</w:t>
        </w:r>
        <w:r w:rsidR="00B663AB">
          <w:rPr>
            <w:webHidden/>
          </w:rPr>
          <w:fldChar w:fldCharType="end"/>
        </w:r>
      </w:hyperlink>
    </w:p>
    <w:p w14:paraId="53EDA3E6" w14:textId="77777777" w:rsidR="00EE339B" w:rsidRDefault="00097569" w:rsidP="00E00DE0">
      <w:pPr>
        <w:pStyle w:val="RptContentsListTitles"/>
        <w:rPr>
          <w:rFonts w:cs="Times New Roman"/>
          <w:noProof/>
          <w:color w:val="auto"/>
          <w:sz w:val="18"/>
          <w:szCs w:val="18"/>
          <w:lang w:eastAsia="da-DK"/>
        </w:rPr>
      </w:pPr>
      <w:r>
        <w:rPr>
          <w:rFonts w:cs="Times New Roman"/>
          <w:noProof/>
          <w:color w:val="auto"/>
          <w:sz w:val="18"/>
          <w:szCs w:val="18"/>
          <w:lang w:eastAsia="da-DK"/>
        </w:rPr>
        <w:fldChar w:fldCharType="end"/>
      </w:r>
    </w:p>
    <w:p w14:paraId="7954AD49" w14:textId="77777777" w:rsidR="00EE339B" w:rsidRDefault="00EE339B">
      <w:pPr>
        <w:rPr>
          <w:b/>
          <w:caps/>
          <w:noProof/>
        </w:rPr>
      </w:pPr>
      <w:r>
        <w:rPr>
          <w:noProof/>
        </w:rPr>
        <w:br w:type="page"/>
      </w:r>
    </w:p>
    <w:p w14:paraId="4296FE99" w14:textId="5EB5A3AB" w:rsidR="000C614D" w:rsidRPr="00C925BE" w:rsidRDefault="000C614D" w:rsidP="00E00DE0">
      <w:pPr>
        <w:pStyle w:val="RptContentsListTitles"/>
      </w:pPr>
      <w:r w:rsidRPr="00C925BE">
        <w:lastRenderedPageBreak/>
        <w:t>Tables</w:t>
      </w:r>
    </w:p>
    <w:p w14:paraId="37B50958" w14:textId="509CBBCE" w:rsidR="00660135" w:rsidRPr="00FD2F6D" w:rsidRDefault="00660135" w:rsidP="00660135">
      <w:pPr>
        <w:pStyle w:val="RptContentsList"/>
      </w:pPr>
      <w:r w:rsidRPr="00FD2F6D">
        <w:t>Table 1</w:t>
      </w:r>
      <w:r>
        <w:t>:</w:t>
      </w:r>
      <w:r w:rsidRPr="00FD2F6D">
        <w:tab/>
        <w:t>Soil boring, surface soil, and monitoring well location coordinates and elevations</w:t>
      </w:r>
    </w:p>
    <w:p w14:paraId="373444EB" w14:textId="26B76B53" w:rsidR="00660135" w:rsidRPr="00FD2F6D" w:rsidRDefault="00660135" w:rsidP="00660135">
      <w:pPr>
        <w:pStyle w:val="RptContentsList"/>
      </w:pPr>
      <w:r w:rsidRPr="00FD2F6D">
        <w:t>Table 2</w:t>
      </w:r>
      <w:r>
        <w:t>:</w:t>
      </w:r>
      <w:r w:rsidRPr="00FD2F6D">
        <w:tab/>
        <w:t>Sampling locations, depths, and analyses</w:t>
      </w:r>
    </w:p>
    <w:p w14:paraId="6B44BDF1" w14:textId="0D808A9E" w:rsidR="00660135" w:rsidRPr="00FD2F6D" w:rsidRDefault="00660135" w:rsidP="00660135">
      <w:pPr>
        <w:pStyle w:val="RptContentsList"/>
      </w:pPr>
      <w:r w:rsidRPr="00FD2F6D">
        <w:t>Table 3</w:t>
      </w:r>
      <w:r>
        <w:t>:</w:t>
      </w:r>
      <w:r w:rsidRPr="00FD2F6D">
        <w:tab/>
        <w:t>Permanent monitoring well construction details and groundwater elevation data</w:t>
      </w:r>
    </w:p>
    <w:p w14:paraId="4737A6D5" w14:textId="4B4AF85D" w:rsidR="00660135" w:rsidRPr="00FD2F6D" w:rsidRDefault="00660135" w:rsidP="00660135">
      <w:pPr>
        <w:pStyle w:val="RptContentsList"/>
      </w:pPr>
      <w:r w:rsidRPr="00FD2F6D">
        <w:t>Table 4</w:t>
      </w:r>
      <w:r>
        <w:t>:</w:t>
      </w:r>
      <w:r w:rsidRPr="00FD2F6D">
        <w:tab/>
        <w:t>Summary of groundwater depths and field parameters</w:t>
      </w:r>
    </w:p>
    <w:p w14:paraId="3D0822F4" w14:textId="08827A95" w:rsidR="00660135" w:rsidRPr="00FD2F6D" w:rsidRDefault="00660135" w:rsidP="00660135">
      <w:pPr>
        <w:pStyle w:val="RptContentsList"/>
      </w:pPr>
      <w:r w:rsidRPr="00FD2F6D">
        <w:t>Table 5</w:t>
      </w:r>
      <w:r>
        <w:t>:</w:t>
      </w:r>
      <w:r w:rsidRPr="00FD2F6D">
        <w:tab/>
        <w:t>Soil screening levels</w:t>
      </w:r>
    </w:p>
    <w:p w14:paraId="7C31C1DB" w14:textId="3CE094B7" w:rsidR="00660135" w:rsidRPr="00FD2F6D" w:rsidRDefault="00660135" w:rsidP="00660135">
      <w:pPr>
        <w:pStyle w:val="RptContentsList"/>
      </w:pPr>
      <w:r w:rsidRPr="00FD2F6D">
        <w:t>Table 6</w:t>
      </w:r>
      <w:r>
        <w:t>:</w:t>
      </w:r>
      <w:r w:rsidRPr="00FD2F6D">
        <w:tab/>
        <w:t>Groundwater screening levels</w:t>
      </w:r>
    </w:p>
    <w:p w14:paraId="1BE6D8E2" w14:textId="67AA7104" w:rsidR="00660135" w:rsidRPr="00FD2F6D" w:rsidRDefault="00660135" w:rsidP="00660135">
      <w:pPr>
        <w:pStyle w:val="RptContentsList"/>
      </w:pPr>
      <w:r w:rsidRPr="00FD2F6D">
        <w:t>Table 7</w:t>
      </w:r>
      <w:r>
        <w:t>:</w:t>
      </w:r>
      <w:r w:rsidRPr="00FD2F6D">
        <w:tab/>
        <w:t xml:space="preserve">Summary of soil </w:t>
      </w:r>
      <w:r w:rsidR="00EF421B">
        <w:t>analyses and detections</w:t>
      </w:r>
    </w:p>
    <w:p w14:paraId="021B265B" w14:textId="10BE94FA" w:rsidR="00660135" w:rsidRPr="00FD2F6D" w:rsidRDefault="00660135" w:rsidP="00660135">
      <w:pPr>
        <w:pStyle w:val="RptContentsList"/>
      </w:pPr>
      <w:r w:rsidRPr="00FD2F6D">
        <w:t>Table 8</w:t>
      </w:r>
      <w:r>
        <w:t>:</w:t>
      </w:r>
      <w:r w:rsidRPr="00FD2F6D">
        <w:tab/>
        <w:t xml:space="preserve">Summary of groundwater </w:t>
      </w:r>
      <w:r w:rsidR="00EF421B">
        <w:t>analyses and detections</w:t>
      </w:r>
    </w:p>
    <w:p w14:paraId="669B12C6" w14:textId="02313922" w:rsidR="00660135" w:rsidRPr="00FD2F6D" w:rsidRDefault="00660135" w:rsidP="00660135">
      <w:pPr>
        <w:pStyle w:val="RptContentsList"/>
      </w:pPr>
      <w:r w:rsidRPr="00FD2F6D">
        <w:t>Table 9</w:t>
      </w:r>
      <w:r>
        <w:t>:</w:t>
      </w:r>
      <w:r w:rsidRPr="00FD2F6D">
        <w:tab/>
        <w:t>Petroleum hydrocarbons in soil</w:t>
      </w:r>
    </w:p>
    <w:p w14:paraId="662C2C18" w14:textId="2C76338C" w:rsidR="00660135" w:rsidRPr="00FD2F6D" w:rsidRDefault="00660135" w:rsidP="00660135">
      <w:pPr>
        <w:pStyle w:val="RptContentsList"/>
      </w:pPr>
      <w:r w:rsidRPr="00FD2F6D">
        <w:t>Table 10</w:t>
      </w:r>
      <w:r>
        <w:t>:</w:t>
      </w:r>
      <w:r w:rsidRPr="00FD2F6D">
        <w:tab/>
        <w:t>Metals in soil</w:t>
      </w:r>
    </w:p>
    <w:p w14:paraId="47A4705B" w14:textId="5AD8C38A" w:rsidR="00660135" w:rsidRPr="00FD2F6D" w:rsidRDefault="00660135" w:rsidP="00660135">
      <w:pPr>
        <w:pStyle w:val="RptContentsList"/>
      </w:pPr>
      <w:r w:rsidRPr="00FD2F6D">
        <w:t>Table 11</w:t>
      </w:r>
      <w:r>
        <w:t>:</w:t>
      </w:r>
      <w:r w:rsidRPr="00FD2F6D">
        <w:tab/>
        <w:t>Volatile organic compounds (VOCs) in soil</w:t>
      </w:r>
    </w:p>
    <w:p w14:paraId="0A773285" w14:textId="7E6EEF36" w:rsidR="00660135" w:rsidRPr="00FD2F6D" w:rsidRDefault="00660135" w:rsidP="00660135">
      <w:pPr>
        <w:pStyle w:val="RptContentsList"/>
      </w:pPr>
      <w:r w:rsidRPr="00FD2F6D">
        <w:t>Table 12</w:t>
      </w:r>
      <w:r>
        <w:t>:</w:t>
      </w:r>
      <w:r w:rsidRPr="00FD2F6D">
        <w:tab/>
        <w:t>Semivolatile organic compounds (SVOCs) in soil</w:t>
      </w:r>
    </w:p>
    <w:p w14:paraId="19D9DB88" w14:textId="746F592A" w:rsidR="00660135" w:rsidRPr="00FD2F6D" w:rsidRDefault="00660135" w:rsidP="00660135">
      <w:pPr>
        <w:pStyle w:val="RptContentsList"/>
      </w:pPr>
      <w:r w:rsidRPr="00FD2F6D">
        <w:t>Table 13</w:t>
      </w:r>
      <w:r>
        <w:t>:</w:t>
      </w:r>
      <w:r w:rsidRPr="00FD2F6D">
        <w:tab/>
        <w:t>Polycyclic aromatic hydrocarbons (PAHs) in soil</w:t>
      </w:r>
    </w:p>
    <w:p w14:paraId="55C7A142" w14:textId="4012FBD1" w:rsidR="00660135" w:rsidRPr="00FD2F6D" w:rsidRDefault="00660135" w:rsidP="00660135">
      <w:pPr>
        <w:pStyle w:val="RptContentsList"/>
      </w:pPr>
      <w:r w:rsidRPr="00FD2F6D">
        <w:t>Table 14</w:t>
      </w:r>
      <w:r>
        <w:t>:</w:t>
      </w:r>
      <w:r w:rsidRPr="00FD2F6D">
        <w:tab/>
        <w:t>Dioxins and furans in soil</w:t>
      </w:r>
    </w:p>
    <w:p w14:paraId="66824B4C" w14:textId="06874E6E" w:rsidR="00660135" w:rsidRPr="00FD2F6D" w:rsidRDefault="00660135" w:rsidP="00660135">
      <w:pPr>
        <w:pStyle w:val="RptContentsList"/>
      </w:pPr>
      <w:r w:rsidRPr="00FD2F6D">
        <w:t>Table 15</w:t>
      </w:r>
      <w:r>
        <w:t>:</w:t>
      </w:r>
      <w:r w:rsidRPr="00FD2F6D">
        <w:tab/>
        <w:t>Total dioxins and furans in soil</w:t>
      </w:r>
    </w:p>
    <w:p w14:paraId="2F8F9926" w14:textId="066239DF" w:rsidR="00660135" w:rsidRPr="00FD2F6D" w:rsidRDefault="00660135" w:rsidP="00660135">
      <w:pPr>
        <w:pStyle w:val="RptContentsList"/>
      </w:pPr>
      <w:r w:rsidRPr="00FD2F6D">
        <w:t>Table 16</w:t>
      </w:r>
      <w:r>
        <w:t>:</w:t>
      </w:r>
      <w:r w:rsidRPr="00FD2F6D">
        <w:tab/>
        <w:t>Petroleum hydrocarbons in groundwater</w:t>
      </w:r>
    </w:p>
    <w:p w14:paraId="32F307EB" w14:textId="0F656E87" w:rsidR="00660135" w:rsidRPr="00FD2F6D" w:rsidRDefault="00660135" w:rsidP="00660135">
      <w:pPr>
        <w:pStyle w:val="RptContentsList"/>
      </w:pPr>
      <w:r w:rsidRPr="00FD2F6D">
        <w:t>Table 17</w:t>
      </w:r>
      <w:r>
        <w:t>:</w:t>
      </w:r>
      <w:r w:rsidRPr="00FD2F6D">
        <w:tab/>
        <w:t>Metals in groundwater</w:t>
      </w:r>
    </w:p>
    <w:p w14:paraId="3083964B" w14:textId="0F4AA41C" w:rsidR="00660135" w:rsidRPr="00FD2F6D" w:rsidRDefault="00660135" w:rsidP="00660135">
      <w:pPr>
        <w:pStyle w:val="RptContentsList"/>
      </w:pPr>
      <w:r w:rsidRPr="00FD2F6D">
        <w:t>Table 18</w:t>
      </w:r>
      <w:r>
        <w:t>:</w:t>
      </w:r>
      <w:r w:rsidRPr="00FD2F6D">
        <w:tab/>
        <w:t>Volatile organic compounds (VOCs) in groundwater</w:t>
      </w:r>
    </w:p>
    <w:p w14:paraId="43297F82" w14:textId="45C3EE58" w:rsidR="00660135" w:rsidRPr="00FD2F6D" w:rsidRDefault="00660135" w:rsidP="00660135">
      <w:pPr>
        <w:pStyle w:val="RptContentsList"/>
      </w:pPr>
      <w:r w:rsidRPr="00FD2F6D">
        <w:t>Table 19</w:t>
      </w:r>
      <w:r>
        <w:t>:</w:t>
      </w:r>
      <w:r w:rsidRPr="00FD2F6D">
        <w:tab/>
        <w:t>Soil concentration comparisons with ecological indicator soil concentrations</w:t>
      </w:r>
    </w:p>
    <w:p w14:paraId="2A0D63E9" w14:textId="61E79FEF" w:rsidR="00660135" w:rsidRPr="00FD2F6D" w:rsidRDefault="00660135" w:rsidP="00660135">
      <w:pPr>
        <w:pStyle w:val="RptContentsList"/>
        <w:rPr>
          <w:spacing w:val="-2"/>
        </w:rPr>
      </w:pPr>
      <w:r w:rsidRPr="00FD2F6D">
        <w:t>Table 20</w:t>
      </w:r>
      <w:r>
        <w:t>:</w:t>
      </w:r>
      <w:r w:rsidRPr="00FD2F6D">
        <w:tab/>
        <w:t xml:space="preserve">Preliminary </w:t>
      </w:r>
      <w:r w:rsidRPr="00FD2F6D">
        <w:rPr>
          <w:spacing w:val="-2"/>
        </w:rPr>
        <w:t xml:space="preserve">applicable or relevant and appropriate requirements </w:t>
      </w:r>
    </w:p>
    <w:p w14:paraId="5EBEB8A2" w14:textId="159BADC0" w:rsidR="00660135" w:rsidRPr="00FD2F6D" w:rsidRDefault="00660135" w:rsidP="00660135">
      <w:pPr>
        <w:pStyle w:val="RptContentsList"/>
        <w:rPr>
          <w:spacing w:val="-2"/>
        </w:rPr>
      </w:pPr>
      <w:r w:rsidRPr="00FD2F6D">
        <w:rPr>
          <w:spacing w:val="-2"/>
        </w:rPr>
        <w:t>Table 21</w:t>
      </w:r>
      <w:r>
        <w:rPr>
          <w:spacing w:val="-2"/>
        </w:rPr>
        <w:t>:</w:t>
      </w:r>
      <w:r w:rsidRPr="00FD2F6D">
        <w:rPr>
          <w:spacing w:val="-2"/>
        </w:rPr>
        <w:tab/>
        <w:t>Proposed soil cleanup levels</w:t>
      </w:r>
    </w:p>
    <w:p w14:paraId="55BE1AA2" w14:textId="46DD5C38" w:rsidR="00660135" w:rsidRDefault="00660135" w:rsidP="00660135">
      <w:pPr>
        <w:pStyle w:val="RptContentsList"/>
        <w:rPr>
          <w:spacing w:val="-2"/>
        </w:rPr>
      </w:pPr>
      <w:r w:rsidRPr="00FD2F6D">
        <w:rPr>
          <w:spacing w:val="-2"/>
        </w:rPr>
        <w:t>Table 22</w:t>
      </w:r>
      <w:r>
        <w:rPr>
          <w:spacing w:val="-2"/>
        </w:rPr>
        <w:t>:</w:t>
      </w:r>
      <w:r w:rsidRPr="00FD2F6D">
        <w:rPr>
          <w:spacing w:val="-2"/>
        </w:rPr>
        <w:tab/>
        <w:t>Compliance with proposed soil cleanup levels</w:t>
      </w:r>
    </w:p>
    <w:p w14:paraId="79109563" w14:textId="6B15ED62" w:rsidR="00660135" w:rsidRDefault="00660135" w:rsidP="00660135">
      <w:pPr>
        <w:pStyle w:val="RptContentsList"/>
        <w:rPr>
          <w:spacing w:val="-2"/>
        </w:rPr>
      </w:pPr>
      <w:r>
        <w:rPr>
          <w:spacing w:val="-2"/>
        </w:rPr>
        <w:t>Table 23:</w:t>
      </w:r>
      <w:r>
        <w:rPr>
          <w:spacing w:val="-2"/>
        </w:rPr>
        <w:tab/>
      </w:r>
      <w:r w:rsidRPr="006A30E9">
        <w:rPr>
          <w:spacing w:val="-2"/>
        </w:rPr>
        <w:t xml:space="preserve">Samples </w:t>
      </w:r>
      <w:r>
        <w:rPr>
          <w:spacing w:val="-2"/>
        </w:rPr>
        <w:t xml:space="preserve">with concentrations </w:t>
      </w:r>
      <w:r w:rsidRPr="006A30E9">
        <w:rPr>
          <w:spacing w:val="-2"/>
        </w:rPr>
        <w:t>exceeding proposed soil cleanup levels</w:t>
      </w:r>
    </w:p>
    <w:p w14:paraId="4340B732" w14:textId="48262284" w:rsidR="009610D1" w:rsidRDefault="009610D1" w:rsidP="00660135">
      <w:pPr>
        <w:pStyle w:val="RptContentsList"/>
        <w:rPr>
          <w:spacing w:val="-2"/>
        </w:rPr>
      </w:pPr>
      <w:r>
        <w:rPr>
          <w:spacing w:val="-2"/>
        </w:rPr>
        <w:t>Table 24:</w:t>
      </w:r>
      <w:r>
        <w:rPr>
          <w:spacing w:val="-2"/>
        </w:rPr>
        <w:tab/>
      </w:r>
      <w:r w:rsidR="00CA379F">
        <w:rPr>
          <w:spacing w:val="-2"/>
        </w:rPr>
        <w:t>Comparison of r</w:t>
      </w:r>
      <w:r w:rsidR="00F0797A">
        <w:rPr>
          <w:spacing w:val="-2"/>
        </w:rPr>
        <w:t>emedial alternatives</w:t>
      </w:r>
      <w:r w:rsidR="00CA379F">
        <w:rPr>
          <w:spacing w:val="-2"/>
        </w:rPr>
        <w:t xml:space="preserve"> to RAOs</w:t>
      </w:r>
      <w:r w:rsidR="006060D4">
        <w:rPr>
          <w:spacing w:val="-2"/>
        </w:rPr>
        <w:t xml:space="preserve"> and</w:t>
      </w:r>
      <w:r w:rsidR="00CA379F">
        <w:rPr>
          <w:spacing w:val="-2"/>
        </w:rPr>
        <w:t xml:space="preserve"> CULs</w:t>
      </w:r>
    </w:p>
    <w:p w14:paraId="5EDDB27A" w14:textId="1FE3FC4C" w:rsidR="00391F58" w:rsidRDefault="00F0797A" w:rsidP="00660135">
      <w:pPr>
        <w:pStyle w:val="RptContentsList"/>
        <w:rPr>
          <w:spacing w:val="-2"/>
        </w:rPr>
      </w:pPr>
      <w:r>
        <w:rPr>
          <w:spacing w:val="-2"/>
        </w:rPr>
        <w:t>Table 25:</w:t>
      </w:r>
      <w:r>
        <w:rPr>
          <w:spacing w:val="-2"/>
        </w:rPr>
        <w:tab/>
      </w:r>
      <w:r w:rsidR="00391F58">
        <w:rPr>
          <w:spacing w:val="-2"/>
        </w:rPr>
        <w:t>Detailed evaluation criteria</w:t>
      </w:r>
    </w:p>
    <w:p w14:paraId="47DE0EA2" w14:textId="36EAC10C" w:rsidR="00B4729C" w:rsidRDefault="00391F58" w:rsidP="00660135">
      <w:pPr>
        <w:pStyle w:val="RptContentsList"/>
        <w:rPr>
          <w:spacing w:val="-2"/>
        </w:rPr>
      </w:pPr>
      <w:r>
        <w:rPr>
          <w:spacing w:val="-2"/>
        </w:rPr>
        <w:t>Table 26:</w:t>
      </w:r>
      <w:r>
        <w:rPr>
          <w:spacing w:val="-2"/>
        </w:rPr>
        <w:tab/>
      </w:r>
      <w:r w:rsidR="00B4729C" w:rsidRPr="00B4729C">
        <w:rPr>
          <w:spacing w:val="-2"/>
        </w:rPr>
        <w:t xml:space="preserve">Analysis of Alternative 1 </w:t>
      </w:r>
      <w:r w:rsidR="00AD0865">
        <w:rPr>
          <w:spacing w:val="-2"/>
        </w:rPr>
        <w:t xml:space="preserve">– </w:t>
      </w:r>
      <w:r w:rsidR="00B4729C">
        <w:rPr>
          <w:spacing w:val="-2"/>
        </w:rPr>
        <w:t>c</w:t>
      </w:r>
      <w:r w:rsidR="00B4729C" w:rsidRPr="00B4729C">
        <w:rPr>
          <w:spacing w:val="-2"/>
        </w:rPr>
        <w:t xml:space="preserve">omplete </w:t>
      </w:r>
      <w:r w:rsidR="00B4729C">
        <w:rPr>
          <w:spacing w:val="-2"/>
        </w:rPr>
        <w:t>r</w:t>
      </w:r>
      <w:r w:rsidR="00B4729C" w:rsidRPr="00B4729C">
        <w:rPr>
          <w:spacing w:val="-2"/>
        </w:rPr>
        <w:t xml:space="preserve">emoval of </w:t>
      </w:r>
      <w:r w:rsidR="009A0F92">
        <w:rPr>
          <w:spacing w:val="-2"/>
        </w:rPr>
        <w:t>cleanup level</w:t>
      </w:r>
      <w:r w:rsidR="00B4729C" w:rsidRPr="00B4729C">
        <w:rPr>
          <w:spacing w:val="-2"/>
        </w:rPr>
        <w:t xml:space="preserve"> </w:t>
      </w:r>
      <w:r w:rsidR="00B4729C">
        <w:rPr>
          <w:spacing w:val="-2"/>
        </w:rPr>
        <w:t>e</w:t>
      </w:r>
      <w:r w:rsidR="00B4729C" w:rsidRPr="00B4729C">
        <w:rPr>
          <w:spacing w:val="-2"/>
        </w:rPr>
        <w:t>xceedances</w:t>
      </w:r>
    </w:p>
    <w:p w14:paraId="10A4D3B4" w14:textId="77777777" w:rsidR="009A0F92" w:rsidRDefault="009F6DB3" w:rsidP="009A0F92">
      <w:pPr>
        <w:pStyle w:val="RptContentsList"/>
        <w:rPr>
          <w:spacing w:val="-2"/>
        </w:rPr>
      </w:pPr>
      <w:r>
        <w:rPr>
          <w:spacing w:val="-2"/>
        </w:rPr>
        <w:t>Table 27:</w:t>
      </w:r>
      <w:r>
        <w:rPr>
          <w:spacing w:val="-2"/>
        </w:rPr>
        <w:tab/>
      </w:r>
      <w:r w:rsidR="009B46B3" w:rsidRPr="009B46B3">
        <w:rPr>
          <w:spacing w:val="-2"/>
        </w:rPr>
        <w:t xml:space="preserve">Analysis of Alternative 2 </w:t>
      </w:r>
      <w:r w:rsidR="00AD0865">
        <w:rPr>
          <w:spacing w:val="-2"/>
        </w:rPr>
        <w:t xml:space="preserve">– </w:t>
      </w:r>
      <w:r w:rsidR="009A0F92">
        <w:rPr>
          <w:spacing w:val="-2"/>
        </w:rPr>
        <w:t>p</w:t>
      </w:r>
      <w:r w:rsidR="009A0F92" w:rsidRPr="009B46B3">
        <w:rPr>
          <w:spacing w:val="-2"/>
        </w:rPr>
        <w:t xml:space="preserve">artial </w:t>
      </w:r>
      <w:r w:rsidR="009A0F92">
        <w:rPr>
          <w:spacing w:val="-2"/>
        </w:rPr>
        <w:t>r</w:t>
      </w:r>
      <w:r w:rsidR="009A0F92" w:rsidRPr="009B46B3">
        <w:rPr>
          <w:spacing w:val="-2"/>
        </w:rPr>
        <w:t xml:space="preserve">emoval of </w:t>
      </w:r>
      <w:r w:rsidR="009A0F92">
        <w:rPr>
          <w:spacing w:val="-2"/>
        </w:rPr>
        <w:t>cleanup level</w:t>
      </w:r>
      <w:r w:rsidR="009A0F92" w:rsidRPr="009B46B3">
        <w:rPr>
          <w:spacing w:val="-2"/>
        </w:rPr>
        <w:t xml:space="preserve"> </w:t>
      </w:r>
      <w:r w:rsidR="009A0F92">
        <w:rPr>
          <w:spacing w:val="-2"/>
        </w:rPr>
        <w:t>e</w:t>
      </w:r>
      <w:r w:rsidR="009A0F92" w:rsidRPr="009B46B3">
        <w:rPr>
          <w:spacing w:val="-2"/>
        </w:rPr>
        <w:t xml:space="preserve">xceedances </w:t>
      </w:r>
      <w:r w:rsidR="009A0F92">
        <w:rPr>
          <w:spacing w:val="-2"/>
        </w:rPr>
        <w:t>with</w:t>
      </w:r>
      <w:r w:rsidR="009A0F92" w:rsidRPr="009B46B3">
        <w:rPr>
          <w:spacing w:val="-2"/>
        </w:rPr>
        <w:t xml:space="preserve"> </w:t>
      </w:r>
      <w:r w:rsidR="009A0F92">
        <w:rPr>
          <w:spacing w:val="-2"/>
        </w:rPr>
        <w:t>c</w:t>
      </w:r>
      <w:r w:rsidR="009A0F92" w:rsidRPr="009B46B3">
        <w:rPr>
          <w:spacing w:val="-2"/>
        </w:rPr>
        <w:t>aps/</w:t>
      </w:r>
      <w:r w:rsidR="009A0F92">
        <w:rPr>
          <w:spacing w:val="-2"/>
        </w:rPr>
        <w:t>c</w:t>
      </w:r>
      <w:r w:rsidR="009A0F92" w:rsidRPr="009B46B3">
        <w:rPr>
          <w:spacing w:val="-2"/>
        </w:rPr>
        <w:t xml:space="preserve">overs and </w:t>
      </w:r>
      <w:r w:rsidR="009A0F92">
        <w:rPr>
          <w:spacing w:val="-2"/>
        </w:rPr>
        <w:t>i</w:t>
      </w:r>
      <w:r w:rsidR="009A0F92" w:rsidRPr="009B46B3">
        <w:rPr>
          <w:spacing w:val="-2"/>
        </w:rPr>
        <w:t xml:space="preserve">nstitutional </w:t>
      </w:r>
      <w:r w:rsidR="009A0F92">
        <w:rPr>
          <w:spacing w:val="-2"/>
        </w:rPr>
        <w:t>c</w:t>
      </w:r>
      <w:r w:rsidR="009A0F92" w:rsidRPr="009B46B3">
        <w:rPr>
          <w:spacing w:val="-2"/>
        </w:rPr>
        <w:t>ontrols</w:t>
      </w:r>
    </w:p>
    <w:p w14:paraId="311F8F7D" w14:textId="1E5A4F39" w:rsidR="00F0797A" w:rsidRDefault="009B46B3" w:rsidP="00276E39">
      <w:pPr>
        <w:pStyle w:val="RptContentsList"/>
        <w:rPr>
          <w:spacing w:val="-2"/>
        </w:rPr>
      </w:pPr>
      <w:r>
        <w:rPr>
          <w:spacing w:val="-2"/>
        </w:rPr>
        <w:t>Table 28:</w:t>
      </w:r>
      <w:r>
        <w:rPr>
          <w:spacing w:val="-2"/>
        </w:rPr>
        <w:tab/>
      </w:r>
      <w:r w:rsidR="009E76C0" w:rsidRPr="009E76C0">
        <w:rPr>
          <w:spacing w:val="-2"/>
        </w:rPr>
        <w:t xml:space="preserve">Analysis of Alternative 3 </w:t>
      </w:r>
      <w:r w:rsidR="009E76C0">
        <w:rPr>
          <w:spacing w:val="-2"/>
        </w:rPr>
        <w:t>–</w:t>
      </w:r>
      <w:r w:rsidR="009E76C0" w:rsidRPr="009E76C0">
        <w:rPr>
          <w:spacing w:val="-2"/>
        </w:rPr>
        <w:t xml:space="preserve"> </w:t>
      </w:r>
      <w:r w:rsidR="009E76C0">
        <w:rPr>
          <w:spacing w:val="-2"/>
        </w:rPr>
        <w:t>c</w:t>
      </w:r>
      <w:r w:rsidR="009E76C0" w:rsidRPr="009E76C0">
        <w:rPr>
          <w:spacing w:val="-2"/>
        </w:rPr>
        <w:t>aps</w:t>
      </w:r>
      <w:r w:rsidR="009E76C0">
        <w:rPr>
          <w:spacing w:val="-2"/>
        </w:rPr>
        <w:t>/c</w:t>
      </w:r>
      <w:r w:rsidR="009E76C0" w:rsidRPr="009E76C0">
        <w:rPr>
          <w:spacing w:val="-2"/>
        </w:rPr>
        <w:t xml:space="preserve">overs with </w:t>
      </w:r>
      <w:r w:rsidR="009E76C0">
        <w:rPr>
          <w:spacing w:val="-2"/>
        </w:rPr>
        <w:t>i</w:t>
      </w:r>
      <w:r w:rsidR="009E76C0" w:rsidRPr="009E76C0">
        <w:rPr>
          <w:spacing w:val="-2"/>
        </w:rPr>
        <w:t xml:space="preserve">nstitutional </w:t>
      </w:r>
      <w:r w:rsidR="009E76C0">
        <w:rPr>
          <w:spacing w:val="-2"/>
        </w:rPr>
        <w:t>c</w:t>
      </w:r>
      <w:r w:rsidR="009E76C0" w:rsidRPr="009E76C0">
        <w:rPr>
          <w:spacing w:val="-2"/>
        </w:rPr>
        <w:t>ontrols</w:t>
      </w:r>
    </w:p>
    <w:p w14:paraId="11ABE16A" w14:textId="1F25A76A" w:rsidR="00A42712" w:rsidRDefault="00A42712" w:rsidP="00276E39">
      <w:pPr>
        <w:pStyle w:val="RptContentsList"/>
        <w:rPr>
          <w:spacing w:val="-2"/>
        </w:rPr>
      </w:pPr>
      <w:r>
        <w:rPr>
          <w:spacing w:val="-2"/>
        </w:rPr>
        <w:t>Table 29:</w:t>
      </w:r>
      <w:r>
        <w:rPr>
          <w:spacing w:val="-2"/>
        </w:rPr>
        <w:tab/>
        <w:t xml:space="preserve">Analysis of Alternative 4 </w:t>
      </w:r>
      <w:r w:rsidR="000441C6">
        <w:rPr>
          <w:spacing w:val="-2"/>
        </w:rPr>
        <w:t>–</w:t>
      </w:r>
      <w:r>
        <w:rPr>
          <w:spacing w:val="-2"/>
        </w:rPr>
        <w:t xml:space="preserve"> </w:t>
      </w:r>
      <w:r w:rsidR="000441C6">
        <w:rPr>
          <w:spacing w:val="-2"/>
        </w:rPr>
        <w:t>no action</w:t>
      </w:r>
    </w:p>
    <w:p w14:paraId="6543E994" w14:textId="15342E43" w:rsidR="000441C6" w:rsidRDefault="000441C6" w:rsidP="00276E39">
      <w:pPr>
        <w:pStyle w:val="RptContentsList"/>
        <w:rPr>
          <w:spacing w:val="-2"/>
        </w:rPr>
      </w:pPr>
      <w:r>
        <w:rPr>
          <w:spacing w:val="-2"/>
        </w:rPr>
        <w:t>Table 30:</w:t>
      </w:r>
      <w:r>
        <w:rPr>
          <w:spacing w:val="-2"/>
        </w:rPr>
        <w:tab/>
      </w:r>
      <w:r w:rsidR="00C27756" w:rsidRPr="00C27756">
        <w:rPr>
          <w:spacing w:val="-2"/>
        </w:rPr>
        <w:t xml:space="preserve">Estimated </w:t>
      </w:r>
      <w:r w:rsidR="00F45BD1" w:rsidRPr="00C27756">
        <w:rPr>
          <w:spacing w:val="-2"/>
        </w:rPr>
        <w:t>soil volumes for excavation of samples exceeding proposed soil cleanup levels</w:t>
      </w:r>
    </w:p>
    <w:p w14:paraId="6A5703AA" w14:textId="26C8EBD4" w:rsidR="002A1CA0" w:rsidRDefault="009D14AC" w:rsidP="00276E39">
      <w:pPr>
        <w:pStyle w:val="RptContentsList"/>
        <w:rPr>
          <w:spacing w:val="-2"/>
        </w:rPr>
      </w:pPr>
      <w:r>
        <w:rPr>
          <w:spacing w:val="-2"/>
        </w:rPr>
        <w:t>Table 31:</w:t>
      </w:r>
      <w:r>
        <w:rPr>
          <w:spacing w:val="-2"/>
        </w:rPr>
        <w:tab/>
      </w:r>
      <w:r w:rsidR="002A1CA0">
        <w:rPr>
          <w:spacing w:val="-2"/>
        </w:rPr>
        <w:t xml:space="preserve">Summary of </w:t>
      </w:r>
      <w:r w:rsidR="00400814">
        <w:rPr>
          <w:spacing w:val="-2"/>
        </w:rPr>
        <w:t xml:space="preserve">estimated </w:t>
      </w:r>
      <w:r w:rsidR="000A1DBE">
        <w:rPr>
          <w:spacing w:val="-2"/>
        </w:rPr>
        <w:t>costs</w:t>
      </w:r>
    </w:p>
    <w:p w14:paraId="0DDF7578" w14:textId="321695D3" w:rsidR="009D14AC" w:rsidRDefault="002A1CA0" w:rsidP="00276E39">
      <w:pPr>
        <w:pStyle w:val="RptContentsList"/>
        <w:rPr>
          <w:spacing w:val="-2"/>
        </w:rPr>
      </w:pPr>
      <w:r>
        <w:rPr>
          <w:spacing w:val="-2"/>
        </w:rPr>
        <w:t>Table 32</w:t>
      </w:r>
      <w:r>
        <w:rPr>
          <w:spacing w:val="-2"/>
        </w:rPr>
        <w:tab/>
      </w:r>
      <w:r w:rsidR="00922E65">
        <w:rPr>
          <w:spacing w:val="-2"/>
        </w:rPr>
        <w:t xml:space="preserve">Detailed cost estimate </w:t>
      </w:r>
      <w:r w:rsidR="006C0FB8">
        <w:rPr>
          <w:spacing w:val="-2"/>
        </w:rPr>
        <w:t xml:space="preserve">for </w:t>
      </w:r>
      <w:r w:rsidR="00922E65">
        <w:rPr>
          <w:spacing w:val="-2"/>
        </w:rPr>
        <w:t>A</w:t>
      </w:r>
      <w:r w:rsidR="00AD0865">
        <w:rPr>
          <w:spacing w:val="-2"/>
        </w:rPr>
        <w:t>lternative 1 – c</w:t>
      </w:r>
      <w:r w:rsidR="00AD0865" w:rsidRPr="00B4729C">
        <w:rPr>
          <w:spacing w:val="-2"/>
        </w:rPr>
        <w:t xml:space="preserve">omplete </w:t>
      </w:r>
      <w:r w:rsidR="00AD0865">
        <w:rPr>
          <w:spacing w:val="-2"/>
        </w:rPr>
        <w:t>r</w:t>
      </w:r>
      <w:r w:rsidR="00AD0865" w:rsidRPr="00B4729C">
        <w:rPr>
          <w:spacing w:val="-2"/>
        </w:rPr>
        <w:t xml:space="preserve">emoval of </w:t>
      </w:r>
      <w:r w:rsidR="00003807">
        <w:rPr>
          <w:spacing w:val="-2"/>
        </w:rPr>
        <w:t>cleanup level</w:t>
      </w:r>
      <w:r w:rsidR="00AD0865" w:rsidRPr="00B4729C">
        <w:rPr>
          <w:spacing w:val="-2"/>
        </w:rPr>
        <w:t xml:space="preserve"> </w:t>
      </w:r>
      <w:r w:rsidR="00AD0865">
        <w:rPr>
          <w:spacing w:val="-2"/>
        </w:rPr>
        <w:t>e</w:t>
      </w:r>
      <w:r w:rsidR="00AD0865" w:rsidRPr="00B4729C">
        <w:rPr>
          <w:spacing w:val="-2"/>
        </w:rPr>
        <w:t>xceedances</w:t>
      </w:r>
      <w:r w:rsidR="00AD0865">
        <w:rPr>
          <w:spacing w:val="-2"/>
        </w:rPr>
        <w:t xml:space="preserve"> </w:t>
      </w:r>
    </w:p>
    <w:p w14:paraId="4327B3BD" w14:textId="277E8F87" w:rsidR="00AD0865" w:rsidRDefault="009D14AC" w:rsidP="00AD0865">
      <w:pPr>
        <w:pStyle w:val="RptContentsList"/>
        <w:rPr>
          <w:spacing w:val="-2"/>
        </w:rPr>
      </w:pPr>
      <w:r>
        <w:rPr>
          <w:spacing w:val="-2"/>
        </w:rPr>
        <w:t>Table 3</w:t>
      </w:r>
      <w:r w:rsidR="002A1CA0">
        <w:rPr>
          <w:spacing w:val="-2"/>
        </w:rPr>
        <w:t>3</w:t>
      </w:r>
      <w:r>
        <w:rPr>
          <w:spacing w:val="-2"/>
        </w:rPr>
        <w:t xml:space="preserve">: </w:t>
      </w:r>
      <w:r>
        <w:rPr>
          <w:spacing w:val="-2"/>
        </w:rPr>
        <w:tab/>
      </w:r>
      <w:r w:rsidR="00AD0865">
        <w:rPr>
          <w:spacing w:val="-2"/>
        </w:rPr>
        <w:t xml:space="preserve">Detailed cost estimate </w:t>
      </w:r>
      <w:r w:rsidR="006C0FB8">
        <w:rPr>
          <w:spacing w:val="-2"/>
        </w:rPr>
        <w:t xml:space="preserve">for </w:t>
      </w:r>
      <w:r w:rsidR="00AD0865">
        <w:rPr>
          <w:spacing w:val="-2"/>
        </w:rPr>
        <w:t>Alternative 2 – p</w:t>
      </w:r>
      <w:r w:rsidR="00AD0865" w:rsidRPr="009B46B3">
        <w:rPr>
          <w:spacing w:val="-2"/>
        </w:rPr>
        <w:t xml:space="preserve">artial </w:t>
      </w:r>
      <w:r w:rsidR="00AD0865">
        <w:rPr>
          <w:spacing w:val="-2"/>
        </w:rPr>
        <w:t>r</w:t>
      </w:r>
      <w:r w:rsidR="00AD0865" w:rsidRPr="009B46B3">
        <w:rPr>
          <w:spacing w:val="-2"/>
        </w:rPr>
        <w:t xml:space="preserve">emoval of </w:t>
      </w:r>
      <w:r w:rsidR="00FD69CD">
        <w:rPr>
          <w:spacing w:val="-2"/>
        </w:rPr>
        <w:t>cleanup level</w:t>
      </w:r>
      <w:r w:rsidR="00AD0865" w:rsidRPr="009B46B3">
        <w:rPr>
          <w:spacing w:val="-2"/>
        </w:rPr>
        <w:t xml:space="preserve"> </w:t>
      </w:r>
      <w:r w:rsidR="00AD0865">
        <w:rPr>
          <w:spacing w:val="-2"/>
        </w:rPr>
        <w:t>e</w:t>
      </w:r>
      <w:r w:rsidR="00AD0865" w:rsidRPr="009B46B3">
        <w:rPr>
          <w:spacing w:val="-2"/>
        </w:rPr>
        <w:t xml:space="preserve">xceedances </w:t>
      </w:r>
      <w:r w:rsidR="00FD69CD">
        <w:rPr>
          <w:spacing w:val="-2"/>
        </w:rPr>
        <w:t>with</w:t>
      </w:r>
      <w:r w:rsidR="00AD0865" w:rsidRPr="009B46B3">
        <w:rPr>
          <w:spacing w:val="-2"/>
        </w:rPr>
        <w:t xml:space="preserve"> </w:t>
      </w:r>
      <w:r w:rsidR="00AD0865">
        <w:rPr>
          <w:spacing w:val="-2"/>
        </w:rPr>
        <w:t>c</w:t>
      </w:r>
      <w:r w:rsidR="00AD0865" w:rsidRPr="009B46B3">
        <w:rPr>
          <w:spacing w:val="-2"/>
        </w:rPr>
        <w:t>aps/</w:t>
      </w:r>
      <w:r w:rsidR="00AD0865">
        <w:rPr>
          <w:spacing w:val="-2"/>
        </w:rPr>
        <w:t>c</w:t>
      </w:r>
      <w:r w:rsidR="00AD0865" w:rsidRPr="009B46B3">
        <w:rPr>
          <w:spacing w:val="-2"/>
        </w:rPr>
        <w:t xml:space="preserve">overs and </w:t>
      </w:r>
      <w:r w:rsidR="00AD0865">
        <w:rPr>
          <w:spacing w:val="-2"/>
        </w:rPr>
        <w:t>i</w:t>
      </w:r>
      <w:r w:rsidR="00AD0865" w:rsidRPr="009B46B3">
        <w:rPr>
          <w:spacing w:val="-2"/>
        </w:rPr>
        <w:t xml:space="preserve">nstitutional </w:t>
      </w:r>
      <w:r w:rsidR="00AD0865">
        <w:rPr>
          <w:spacing w:val="-2"/>
        </w:rPr>
        <w:t>c</w:t>
      </w:r>
      <w:r w:rsidR="00AD0865" w:rsidRPr="009B46B3">
        <w:rPr>
          <w:spacing w:val="-2"/>
        </w:rPr>
        <w:t>ontrols</w:t>
      </w:r>
    </w:p>
    <w:p w14:paraId="7464E989" w14:textId="3D54F9A5" w:rsidR="0098350A" w:rsidRPr="00FD2F6D" w:rsidRDefault="0098350A" w:rsidP="00276E39">
      <w:pPr>
        <w:pStyle w:val="RptContentsList"/>
        <w:rPr>
          <w:spacing w:val="-2"/>
        </w:rPr>
      </w:pPr>
      <w:r>
        <w:rPr>
          <w:spacing w:val="-2"/>
        </w:rPr>
        <w:t>Table 3</w:t>
      </w:r>
      <w:r w:rsidR="002A1CA0">
        <w:rPr>
          <w:spacing w:val="-2"/>
        </w:rPr>
        <w:t>4</w:t>
      </w:r>
      <w:r>
        <w:rPr>
          <w:spacing w:val="-2"/>
        </w:rPr>
        <w:t>:</w:t>
      </w:r>
      <w:r>
        <w:rPr>
          <w:spacing w:val="-2"/>
        </w:rPr>
        <w:tab/>
      </w:r>
      <w:r w:rsidR="00AD0865">
        <w:rPr>
          <w:spacing w:val="-2"/>
        </w:rPr>
        <w:t xml:space="preserve">Detailed cost estimate </w:t>
      </w:r>
      <w:r w:rsidR="006C0FB8">
        <w:rPr>
          <w:spacing w:val="-2"/>
        </w:rPr>
        <w:t xml:space="preserve">for </w:t>
      </w:r>
      <w:r w:rsidR="00AD0865">
        <w:rPr>
          <w:spacing w:val="-2"/>
        </w:rPr>
        <w:t>Alternative 3 – caps/covers with institutional controls</w:t>
      </w:r>
    </w:p>
    <w:p w14:paraId="7F951C50" w14:textId="2CF9436C" w:rsidR="00EE339B" w:rsidRDefault="00EE339B">
      <w:pPr>
        <w:rPr>
          <w:rFonts w:cs="Arial"/>
          <w:b/>
          <w:caps/>
          <w:color w:val="009DE0" w:themeColor="text2"/>
          <w:sz w:val="22"/>
          <w:szCs w:val="20"/>
          <w:lang w:eastAsia="en-US"/>
        </w:rPr>
      </w:pPr>
    </w:p>
    <w:p w14:paraId="29AB3215" w14:textId="5DF448AE" w:rsidR="000C614D" w:rsidRPr="00C925BE" w:rsidRDefault="000C614D" w:rsidP="00F77D52">
      <w:pPr>
        <w:pStyle w:val="RptContentsListTitles"/>
      </w:pPr>
      <w:r>
        <w:t>Figures</w:t>
      </w:r>
    </w:p>
    <w:p w14:paraId="5A20D5B4" w14:textId="03CACBAC" w:rsidR="00660135" w:rsidRDefault="00660135" w:rsidP="00660135">
      <w:pPr>
        <w:pStyle w:val="RptContentsList"/>
      </w:pPr>
      <w:r>
        <w:t>Figure 1:</w:t>
      </w:r>
      <w:r>
        <w:tab/>
        <w:t>Site location</w:t>
      </w:r>
    </w:p>
    <w:p w14:paraId="38B33E1F" w14:textId="3438FEDF" w:rsidR="00660135" w:rsidRDefault="00660135" w:rsidP="00660135">
      <w:pPr>
        <w:pStyle w:val="RptContentsList"/>
      </w:pPr>
      <w:r>
        <w:t>Figure 2:</w:t>
      </w:r>
      <w:r>
        <w:tab/>
        <w:t>Site and vicinity</w:t>
      </w:r>
    </w:p>
    <w:p w14:paraId="4F62FC09" w14:textId="161F1888" w:rsidR="00660135" w:rsidRDefault="00660135" w:rsidP="00660135">
      <w:pPr>
        <w:pStyle w:val="RptContentsList"/>
      </w:pPr>
      <w:r>
        <w:t>Figure 3:</w:t>
      </w:r>
      <w:r>
        <w:tab/>
        <w:t>Site and area geology</w:t>
      </w:r>
    </w:p>
    <w:p w14:paraId="236BB7C5" w14:textId="28D1516D" w:rsidR="00660135" w:rsidRDefault="00660135" w:rsidP="00660135">
      <w:pPr>
        <w:pStyle w:val="RptContentsList"/>
      </w:pPr>
      <w:r>
        <w:t>Figure 4:</w:t>
      </w:r>
      <w:r>
        <w:tab/>
        <w:t>Historical Site features</w:t>
      </w:r>
    </w:p>
    <w:p w14:paraId="7675B384" w14:textId="4F093CF3" w:rsidR="00660135" w:rsidRDefault="00660135" w:rsidP="00660135">
      <w:pPr>
        <w:pStyle w:val="RptContentsList"/>
      </w:pPr>
      <w:r>
        <w:t>Figure 5:</w:t>
      </w:r>
      <w:r>
        <w:tab/>
        <w:t>Historical investigation locations and Site features</w:t>
      </w:r>
    </w:p>
    <w:p w14:paraId="1C74BC93" w14:textId="6096BFE6" w:rsidR="00660135" w:rsidRDefault="00660135" w:rsidP="00660135">
      <w:pPr>
        <w:pStyle w:val="RptContentsList"/>
      </w:pPr>
      <w:r>
        <w:lastRenderedPageBreak/>
        <w:t>Figure 6:</w:t>
      </w:r>
      <w:r>
        <w:tab/>
        <w:t>Historical investigation locations and screening level exceedances remaining in-place after 2014 removal activities</w:t>
      </w:r>
    </w:p>
    <w:p w14:paraId="4573235A" w14:textId="445CF845" w:rsidR="00660135" w:rsidRDefault="00660135" w:rsidP="00660135">
      <w:pPr>
        <w:pStyle w:val="RptContentsList"/>
      </w:pPr>
      <w:r>
        <w:t>Figure 7:</w:t>
      </w:r>
      <w:r>
        <w:tab/>
        <w:t>Historical Site features with potential development</w:t>
      </w:r>
    </w:p>
    <w:p w14:paraId="6D200644" w14:textId="6947DC95" w:rsidR="00660135" w:rsidRDefault="00660135" w:rsidP="00660135">
      <w:pPr>
        <w:pStyle w:val="RptContentsList"/>
      </w:pPr>
      <w:r>
        <w:t>Figure 8:</w:t>
      </w:r>
      <w:r>
        <w:tab/>
        <w:t>Remedial investigation soil and groundwater sampling locations</w:t>
      </w:r>
    </w:p>
    <w:p w14:paraId="009D3EFD" w14:textId="72867AED" w:rsidR="00660135" w:rsidRDefault="00660135" w:rsidP="00660135">
      <w:pPr>
        <w:pStyle w:val="RptContentsList"/>
      </w:pPr>
      <w:r>
        <w:t>Figure 9:</w:t>
      </w:r>
      <w:r>
        <w:tab/>
        <w:t>Cross section locations</w:t>
      </w:r>
    </w:p>
    <w:p w14:paraId="2B86331F" w14:textId="36FBF326" w:rsidR="00660135" w:rsidRDefault="00660135" w:rsidP="00660135">
      <w:pPr>
        <w:pStyle w:val="RptContentsList"/>
      </w:pPr>
      <w:bookmarkStart w:id="5" w:name="_Hlk43213606"/>
      <w:r>
        <w:t>Figure 10:</w:t>
      </w:r>
      <w:r>
        <w:tab/>
        <w:t>Cross section A-A’</w:t>
      </w:r>
    </w:p>
    <w:p w14:paraId="5664037A" w14:textId="5D9400C2" w:rsidR="00660135" w:rsidRDefault="00660135" w:rsidP="00660135">
      <w:pPr>
        <w:pStyle w:val="RptContentsList"/>
      </w:pPr>
      <w:r>
        <w:t>Figure 11:</w:t>
      </w:r>
      <w:r>
        <w:tab/>
        <w:t>Cross section B-B’</w:t>
      </w:r>
    </w:p>
    <w:p w14:paraId="55E65525" w14:textId="35F53CB9" w:rsidR="00660135" w:rsidRDefault="00660135" w:rsidP="00660135">
      <w:pPr>
        <w:pStyle w:val="RptContentsList"/>
      </w:pPr>
      <w:r>
        <w:t>Figure 12:</w:t>
      </w:r>
      <w:r>
        <w:tab/>
        <w:t>Cross section C-C’</w:t>
      </w:r>
    </w:p>
    <w:p w14:paraId="005D4B4E" w14:textId="3A4ADAB6" w:rsidR="00660135" w:rsidRDefault="00660135" w:rsidP="00660135">
      <w:pPr>
        <w:pStyle w:val="RptContentsList"/>
      </w:pPr>
      <w:r>
        <w:t>Figure 13:</w:t>
      </w:r>
      <w:r>
        <w:tab/>
        <w:t>Cross section D-D’</w:t>
      </w:r>
    </w:p>
    <w:p w14:paraId="161EA12B" w14:textId="384D2083" w:rsidR="00660135" w:rsidRDefault="00660135" w:rsidP="00660135">
      <w:pPr>
        <w:pStyle w:val="RptContentsList"/>
      </w:pPr>
      <w:r>
        <w:t>Figure 14:</w:t>
      </w:r>
      <w:r>
        <w:tab/>
        <w:t>Cross section E-E’</w:t>
      </w:r>
      <w:bookmarkEnd w:id="5"/>
    </w:p>
    <w:p w14:paraId="30199A15" w14:textId="742A7B99" w:rsidR="00660135" w:rsidRPr="00FD2F6D" w:rsidRDefault="00660135" w:rsidP="00660135">
      <w:pPr>
        <w:pStyle w:val="RptContentsList"/>
      </w:pPr>
      <w:r w:rsidRPr="00FD2F6D">
        <w:t>Figure 15</w:t>
      </w:r>
      <w:r>
        <w:t>:</w:t>
      </w:r>
      <w:r w:rsidRPr="00FD2F6D">
        <w:tab/>
        <w:t>Exceedances of petroleum hydrocarbons soil screening levels</w:t>
      </w:r>
      <w:r w:rsidRPr="00FD2F6D" w:rsidDel="00935BF7">
        <w:t xml:space="preserve"> </w:t>
      </w:r>
    </w:p>
    <w:p w14:paraId="6138E6F5" w14:textId="1CBCA235" w:rsidR="00660135" w:rsidRPr="00FD2F6D" w:rsidRDefault="00660135" w:rsidP="00660135">
      <w:pPr>
        <w:pStyle w:val="RptContentsList"/>
      </w:pPr>
      <w:r w:rsidRPr="00FD2F6D">
        <w:t>Figure 16</w:t>
      </w:r>
      <w:r>
        <w:t>:</w:t>
      </w:r>
      <w:r w:rsidRPr="00FD2F6D">
        <w:tab/>
        <w:t>Exceedance of semivolatile organic compounds soil screening levels</w:t>
      </w:r>
    </w:p>
    <w:p w14:paraId="5F01346C" w14:textId="1D83C18F" w:rsidR="00660135" w:rsidRPr="00FD2F6D" w:rsidRDefault="00660135" w:rsidP="00660135">
      <w:pPr>
        <w:pStyle w:val="RptContentsList"/>
      </w:pPr>
      <w:r w:rsidRPr="00FD2F6D">
        <w:t>Figure 17</w:t>
      </w:r>
      <w:r>
        <w:t>:</w:t>
      </w:r>
      <w:r w:rsidRPr="00FD2F6D">
        <w:tab/>
        <w:t>Exceedance of polycyclic aromatic hydrocarbons soil screening levels</w:t>
      </w:r>
    </w:p>
    <w:p w14:paraId="4C44F0E5" w14:textId="404949DC" w:rsidR="00660135" w:rsidRPr="00FD2F6D" w:rsidRDefault="00660135" w:rsidP="00660135">
      <w:pPr>
        <w:pStyle w:val="RptContentsList"/>
      </w:pPr>
      <w:r w:rsidRPr="00FD2F6D">
        <w:t>Figure 18</w:t>
      </w:r>
      <w:r>
        <w:t>:</w:t>
      </w:r>
      <w:r w:rsidRPr="00FD2F6D">
        <w:tab/>
        <w:t>Exceedances of total dioxins/furans soil screening level</w:t>
      </w:r>
    </w:p>
    <w:p w14:paraId="0BDA5CFB" w14:textId="0BB00A47" w:rsidR="00660135" w:rsidRPr="00FD2F6D" w:rsidRDefault="00660135" w:rsidP="00660135">
      <w:pPr>
        <w:pStyle w:val="RptContentsList"/>
      </w:pPr>
      <w:r w:rsidRPr="00FD2F6D">
        <w:t>Figure 19</w:t>
      </w:r>
      <w:r>
        <w:t>:</w:t>
      </w:r>
      <w:r w:rsidRPr="00FD2F6D">
        <w:tab/>
      </w:r>
      <w:bookmarkStart w:id="6" w:name="_Hlk45116596"/>
      <w:r w:rsidRPr="00FD2F6D">
        <w:t>Groundwater elevation contours</w:t>
      </w:r>
      <w:bookmarkEnd w:id="6"/>
    </w:p>
    <w:p w14:paraId="532DD037" w14:textId="1CDA11A3" w:rsidR="00660135" w:rsidRPr="00FD2F6D" w:rsidRDefault="00660135" w:rsidP="00660135">
      <w:pPr>
        <w:pStyle w:val="RptContentsList"/>
      </w:pPr>
      <w:r w:rsidRPr="00FD2F6D">
        <w:t>Figure 20</w:t>
      </w:r>
      <w:r>
        <w:t>:</w:t>
      </w:r>
      <w:r w:rsidRPr="00FD2F6D">
        <w:tab/>
        <w:t>Exceedances of petroleum hydrocarbons ecological indicator soil concentrations</w:t>
      </w:r>
    </w:p>
    <w:p w14:paraId="1F99AF51" w14:textId="2E47CFD9" w:rsidR="00660135" w:rsidRPr="00FD2F6D" w:rsidRDefault="00660135" w:rsidP="00660135">
      <w:pPr>
        <w:pStyle w:val="RptContentsList"/>
      </w:pPr>
      <w:r w:rsidRPr="00FD2F6D">
        <w:t>Figure 21</w:t>
      </w:r>
      <w:r>
        <w:t>:</w:t>
      </w:r>
      <w:r w:rsidRPr="00FD2F6D">
        <w:tab/>
        <w:t>Exceedances of lead ecological indicator soil concentration</w:t>
      </w:r>
    </w:p>
    <w:p w14:paraId="65E76807" w14:textId="59337C3D" w:rsidR="00660135" w:rsidRPr="00FD2F6D" w:rsidRDefault="00660135" w:rsidP="00660135">
      <w:pPr>
        <w:pStyle w:val="RptContentsList"/>
      </w:pPr>
      <w:r w:rsidRPr="00FD2F6D">
        <w:t>Figure 22</w:t>
      </w:r>
      <w:r>
        <w:t>:</w:t>
      </w:r>
      <w:r w:rsidRPr="00FD2F6D">
        <w:tab/>
        <w:t>Exceedances of total dioxin/furans ecological indicator soil concentration</w:t>
      </w:r>
    </w:p>
    <w:p w14:paraId="798EB7D2" w14:textId="7D250B5A" w:rsidR="00660135" w:rsidRDefault="00660135" w:rsidP="00660135">
      <w:pPr>
        <w:pStyle w:val="RptContentsList"/>
      </w:pPr>
      <w:r w:rsidRPr="00FD2F6D">
        <w:t>Figure 23</w:t>
      </w:r>
      <w:r>
        <w:t>:</w:t>
      </w:r>
      <w:r w:rsidRPr="00FD2F6D">
        <w:tab/>
        <w:t>Exceedances of proposed soil cleanup levels</w:t>
      </w:r>
    </w:p>
    <w:p w14:paraId="7422A1F0" w14:textId="54C6C271" w:rsidR="009168FA" w:rsidRDefault="009168FA" w:rsidP="00660135">
      <w:pPr>
        <w:pStyle w:val="RptContentsList"/>
      </w:pPr>
      <w:r>
        <w:t>Figure 24:</w:t>
      </w:r>
      <w:r>
        <w:tab/>
      </w:r>
      <w:r w:rsidR="006B0627" w:rsidRPr="00FD2F6D">
        <w:t>Exceedances of proposed soil cleanup levels</w:t>
      </w:r>
      <w:r w:rsidR="00C62172">
        <w:t xml:space="preserve"> 0-1 ft.</w:t>
      </w:r>
    </w:p>
    <w:p w14:paraId="7E3A8BEA" w14:textId="1FC25347" w:rsidR="006B0627" w:rsidRDefault="006B0627" w:rsidP="00660135">
      <w:pPr>
        <w:pStyle w:val="RptContentsList"/>
      </w:pPr>
      <w:r>
        <w:t>Figure 25:</w:t>
      </w:r>
      <w:r>
        <w:tab/>
      </w:r>
      <w:r w:rsidRPr="00FD2F6D">
        <w:t>Exceedances of proposed soil cleanup levels</w:t>
      </w:r>
      <w:r w:rsidR="004F15A7">
        <w:t xml:space="preserve"> </w:t>
      </w:r>
      <w:r w:rsidR="00C62172">
        <w:t>1-5</w:t>
      </w:r>
      <w:r w:rsidR="006B196A">
        <w:t xml:space="preserve"> </w:t>
      </w:r>
      <w:r w:rsidR="00C62172">
        <w:t>ft.</w:t>
      </w:r>
    </w:p>
    <w:p w14:paraId="6E9A6E04" w14:textId="7EF3F37D" w:rsidR="006B0627" w:rsidRDefault="006B0627" w:rsidP="00660135">
      <w:pPr>
        <w:pStyle w:val="RptContentsList"/>
      </w:pPr>
      <w:r>
        <w:t>Figure 26:</w:t>
      </w:r>
      <w:r>
        <w:tab/>
      </w:r>
      <w:r w:rsidRPr="00FD2F6D">
        <w:t>Exceedances of proposed soil cleanup levels</w:t>
      </w:r>
      <w:r w:rsidR="004F15A7">
        <w:t xml:space="preserve"> 5-10 ft.</w:t>
      </w:r>
    </w:p>
    <w:p w14:paraId="022BF312" w14:textId="5E7CE605" w:rsidR="006B0627" w:rsidRDefault="006B0627" w:rsidP="00660135">
      <w:pPr>
        <w:pStyle w:val="RptContentsList"/>
      </w:pPr>
      <w:r>
        <w:t>Figure 27:</w:t>
      </w:r>
      <w:r>
        <w:tab/>
      </w:r>
      <w:r w:rsidRPr="00FD2F6D">
        <w:t>Exceedances of proposed soil cleanup levels</w:t>
      </w:r>
      <w:r w:rsidR="007966D7">
        <w:t xml:space="preserve"> 10-15</w:t>
      </w:r>
      <w:r w:rsidR="004F15A7">
        <w:t xml:space="preserve"> ft.</w:t>
      </w:r>
    </w:p>
    <w:p w14:paraId="1131705D" w14:textId="4E37CD1A" w:rsidR="009610D1" w:rsidRDefault="009610D1" w:rsidP="00660135">
      <w:pPr>
        <w:pStyle w:val="RptContentsList"/>
      </w:pPr>
      <w:r>
        <w:t>Figure 2</w:t>
      </w:r>
      <w:r w:rsidR="0097669D">
        <w:t>8</w:t>
      </w:r>
      <w:r>
        <w:t>:</w:t>
      </w:r>
      <w:r>
        <w:tab/>
        <w:t xml:space="preserve">Alternative 1 – Complete removal of cleanup level exceedances </w:t>
      </w:r>
    </w:p>
    <w:p w14:paraId="7F3C0123" w14:textId="4DC44AA4" w:rsidR="009610D1" w:rsidRDefault="009610D1" w:rsidP="00660135">
      <w:pPr>
        <w:pStyle w:val="RptContentsList"/>
      </w:pPr>
      <w:r>
        <w:t xml:space="preserve">Figure </w:t>
      </w:r>
      <w:r w:rsidR="0097669D">
        <w:t>29</w:t>
      </w:r>
      <w:r>
        <w:t>:</w:t>
      </w:r>
      <w:r>
        <w:tab/>
        <w:t>Alternative 2 – Partial removal of cleanup level exceedances</w:t>
      </w:r>
      <w:r w:rsidR="00CF419C">
        <w:t xml:space="preserve"> with </w:t>
      </w:r>
      <w:r w:rsidR="001B4559">
        <w:t xml:space="preserve">caps/covers and </w:t>
      </w:r>
      <w:r w:rsidR="00CF419C">
        <w:t>institutional controls</w:t>
      </w:r>
    </w:p>
    <w:p w14:paraId="634C03EA" w14:textId="6DBF7E70" w:rsidR="002341A7" w:rsidRPr="00FD2F6D" w:rsidRDefault="009610D1" w:rsidP="00B44E87">
      <w:pPr>
        <w:pStyle w:val="RptContentsList"/>
      </w:pPr>
      <w:r>
        <w:t xml:space="preserve">Figure </w:t>
      </w:r>
      <w:r w:rsidR="0097669D">
        <w:t>30</w:t>
      </w:r>
      <w:r>
        <w:t xml:space="preserve">: </w:t>
      </w:r>
      <w:r>
        <w:tab/>
        <w:t>Alternative 3 – Caps</w:t>
      </w:r>
      <w:r w:rsidR="001B4559">
        <w:t>/</w:t>
      </w:r>
      <w:r>
        <w:t>covers</w:t>
      </w:r>
      <w:r w:rsidR="00CF419C">
        <w:t xml:space="preserve"> with</w:t>
      </w:r>
      <w:r w:rsidR="006745EE">
        <w:t xml:space="preserve"> </w:t>
      </w:r>
      <w:r w:rsidR="00CF419C">
        <w:t>institutional controls</w:t>
      </w:r>
    </w:p>
    <w:p w14:paraId="413CAC0F" w14:textId="77777777" w:rsidR="000C614D" w:rsidRPr="00C925BE" w:rsidRDefault="000C614D" w:rsidP="002341A7">
      <w:pPr>
        <w:pStyle w:val="RptContentsListTitles"/>
        <w:keepNext/>
      </w:pPr>
      <w:r>
        <w:t>Appendices</w:t>
      </w:r>
    </w:p>
    <w:p w14:paraId="4FA19E47" w14:textId="6B21A721" w:rsidR="000C614D" w:rsidRPr="00194329" w:rsidRDefault="00712232" w:rsidP="002341A7">
      <w:pPr>
        <w:pStyle w:val="RptContentsList"/>
        <w:keepNext/>
      </w:pPr>
      <w:r>
        <w:t>Appendix</w:t>
      </w:r>
      <w:r w:rsidRPr="00194329">
        <w:t xml:space="preserve"> A</w:t>
      </w:r>
      <w:r w:rsidR="000C614D" w:rsidRPr="00194329">
        <w:t>:</w:t>
      </w:r>
      <w:r w:rsidR="000C614D" w:rsidRPr="00194329">
        <w:tab/>
      </w:r>
      <w:bookmarkStart w:id="7" w:name="_Hlk86325597"/>
      <w:r w:rsidR="00660135" w:rsidRPr="00FE113D">
        <w:t>Correspondence with Ecology Regarding Remedial Investigation Work Plan Developmen</w:t>
      </w:r>
      <w:bookmarkEnd w:id="7"/>
      <w:r w:rsidR="00660135" w:rsidRPr="00FE113D">
        <w:t>t</w:t>
      </w:r>
    </w:p>
    <w:p w14:paraId="0641FA0A" w14:textId="24E24493" w:rsidR="00F3091B" w:rsidRDefault="00712232" w:rsidP="00194329">
      <w:pPr>
        <w:pStyle w:val="RptContentsList"/>
      </w:pPr>
      <w:r w:rsidRPr="00194329">
        <w:t>Appendix</w:t>
      </w:r>
      <w:r>
        <w:t xml:space="preserve"> B</w:t>
      </w:r>
      <w:r w:rsidR="000C614D" w:rsidRPr="00403129">
        <w:t>:</w:t>
      </w:r>
      <w:r w:rsidR="000C614D" w:rsidRPr="00403129">
        <w:tab/>
      </w:r>
      <w:r w:rsidR="003D3204" w:rsidRPr="003D3204">
        <w:t>Geophysical Survey Report</w:t>
      </w:r>
    </w:p>
    <w:p w14:paraId="176D8476" w14:textId="7B5390BB" w:rsidR="003D3204" w:rsidRDefault="003D3204" w:rsidP="00194329">
      <w:pPr>
        <w:pStyle w:val="RptContentsList"/>
      </w:pPr>
      <w:r>
        <w:t>Appendix C:</w:t>
      </w:r>
      <w:r>
        <w:tab/>
      </w:r>
      <w:r w:rsidRPr="003D3204">
        <w:t>Boring and Well Logs</w:t>
      </w:r>
    </w:p>
    <w:p w14:paraId="4FE44AD2" w14:textId="53839C9E" w:rsidR="003D3204" w:rsidRDefault="003D3204" w:rsidP="00194329">
      <w:pPr>
        <w:pStyle w:val="RptContentsList"/>
      </w:pPr>
      <w:r>
        <w:t>Appendix D:</w:t>
      </w:r>
      <w:r>
        <w:tab/>
      </w:r>
      <w:r w:rsidRPr="003D3204">
        <w:t>Photographs and Field Notes</w:t>
      </w:r>
    </w:p>
    <w:p w14:paraId="7B1C45AB" w14:textId="3CCB525B" w:rsidR="003D3204" w:rsidRDefault="003D3204" w:rsidP="00194329">
      <w:pPr>
        <w:pStyle w:val="RptContentsList"/>
      </w:pPr>
      <w:r>
        <w:t>Appendix E:</w:t>
      </w:r>
      <w:r>
        <w:tab/>
      </w:r>
      <w:r w:rsidRPr="003D3204">
        <w:t>Data Validation Report</w:t>
      </w:r>
    </w:p>
    <w:p w14:paraId="5F233596" w14:textId="3F19C764" w:rsidR="003D3204" w:rsidRDefault="003D3204" w:rsidP="00194329">
      <w:pPr>
        <w:pStyle w:val="RptContentsList"/>
      </w:pPr>
      <w:r>
        <w:t>Appendix F:</w:t>
      </w:r>
      <w:r>
        <w:tab/>
        <w:t>D</w:t>
      </w:r>
      <w:r w:rsidRPr="003D3204">
        <w:t>eviations from the Remedial Investigation Work Plan</w:t>
      </w:r>
    </w:p>
    <w:p w14:paraId="5B031FF8" w14:textId="3E474A46" w:rsidR="009634A5" w:rsidRDefault="009634A5" w:rsidP="00194329">
      <w:pPr>
        <w:pStyle w:val="RptContentsList"/>
      </w:pPr>
      <w:r>
        <w:t>Appendix G:</w:t>
      </w:r>
      <w:r>
        <w:tab/>
      </w:r>
      <w:r w:rsidRPr="009634A5">
        <w:t>Natural Background Calculation of Chromium, Mercury, and Selenium in Soi</w:t>
      </w:r>
      <w:r>
        <w:t>l</w:t>
      </w:r>
    </w:p>
    <w:p w14:paraId="4FF937D8" w14:textId="3032AFAB" w:rsidR="009634A5" w:rsidRDefault="009634A5" w:rsidP="00194329">
      <w:pPr>
        <w:pStyle w:val="RptContentsList"/>
      </w:pPr>
      <w:r>
        <w:t>Appendix H:</w:t>
      </w:r>
      <w:r>
        <w:tab/>
        <w:t xml:space="preserve">Remedial Investigation </w:t>
      </w:r>
      <w:r w:rsidRPr="00802C9E">
        <w:t>Work Plan</w:t>
      </w:r>
      <w:r>
        <w:t xml:space="preserve"> (provided as a separate PDF file)</w:t>
      </w:r>
    </w:p>
    <w:p w14:paraId="238A0565" w14:textId="30F4969D" w:rsidR="009634A5" w:rsidRDefault="009634A5" w:rsidP="00194329">
      <w:pPr>
        <w:pStyle w:val="RptContentsList"/>
      </w:pPr>
      <w:r>
        <w:t>Appendix I:</w:t>
      </w:r>
      <w:r>
        <w:tab/>
      </w:r>
      <w:r w:rsidRPr="009634A5">
        <w:t>Laboratory Analytical Data and Chains of Custody (to be provided electronically)</w:t>
      </w:r>
    </w:p>
    <w:p w14:paraId="7F0E3F16" w14:textId="16DDD1A0" w:rsidR="00A7790D" w:rsidRDefault="00A7790D" w:rsidP="00194329">
      <w:pPr>
        <w:pStyle w:val="RptContentsList"/>
      </w:pPr>
      <w:r>
        <w:t>Appendix J:</w:t>
      </w:r>
      <w:r>
        <w:tab/>
      </w:r>
      <w:r w:rsidR="00EE5E18">
        <w:t>Soil Management Plan</w:t>
      </w:r>
    </w:p>
    <w:p w14:paraId="53069785" w14:textId="46E01523" w:rsidR="009C4FF6" w:rsidRDefault="009C4FF6" w:rsidP="00194329">
      <w:pPr>
        <w:pStyle w:val="RptContentsList"/>
      </w:pPr>
      <w:r>
        <w:t>Appendix K:</w:t>
      </w:r>
      <w:r>
        <w:tab/>
      </w:r>
      <w:r w:rsidR="00EE5E18">
        <w:t>Health and Safety Plan</w:t>
      </w:r>
    </w:p>
    <w:p w14:paraId="2C2208DB" w14:textId="77777777" w:rsidR="00557E39" w:rsidRDefault="00557E39" w:rsidP="00712232">
      <w:pPr>
        <w:pStyle w:val="RptBodyText-LeftJustified"/>
      </w:pPr>
    </w:p>
    <w:p w14:paraId="30BA8E61" w14:textId="77777777" w:rsidR="00712232" w:rsidRDefault="00712232" w:rsidP="00712232">
      <w:pPr>
        <w:pStyle w:val="RptBodyText-LeftJustified"/>
        <w:sectPr w:rsidR="00712232" w:rsidSect="00942FE5">
          <w:headerReference w:type="even" r:id="rId22"/>
          <w:headerReference w:type="default" r:id="rId23"/>
          <w:footerReference w:type="default" r:id="rId24"/>
          <w:headerReference w:type="first" r:id="rId25"/>
          <w:pgSz w:w="12240" w:h="15840" w:code="1"/>
          <w:pgMar w:top="1440" w:right="1440" w:bottom="1440" w:left="1440" w:header="720" w:footer="720" w:gutter="0"/>
          <w:pgNumType w:fmt="lowerRoman" w:start="1"/>
          <w:cols w:space="708"/>
          <w:docGrid w:linePitch="360"/>
        </w:sectPr>
      </w:pPr>
    </w:p>
    <w:p w14:paraId="7FF4EA63" w14:textId="77777777" w:rsidR="001D7746" w:rsidRDefault="00712232" w:rsidP="00712232">
      <w:pPr>
        <w:pStyle w:val="RptHeading-Level0"/>
      </w:pPr>
      <w:r w:rsidRPr="00712232">
        <w:t>Acronyms and Abbreviations</w:t>
      </w:r>
    </w:p>
    <w:p w14:paraId="3E38A49A" w14:textId="77777777" w:rsidR="00660135" w:rsidRPr="00FD2F6D" w:rsidRDefault="00660135" w:rsidP="00660135">
      <w:pPr>
        <w:pStyle w:val="RptAcronymList"/>
      </w:pPr>
      <w:r w:rsidRPr="00FD2F6D">
        <w:t>ARAR</w:t>
      </w:r>
      <w:r w:rsidRPr="00FD2F6D">
        <w:tab/>
        <w:t xml:space="preserve">applicable or relevant and appropriate requirement </w:t>
      </w:r>
    </w:p>
    <w:p w14:paraId="1E0F6E01" w14:textId="77777777" w:rsidR="00660135" w:rsidRPr="00FD2F6D" w:rsidRDefault="00660135" w:rsidP="00660135">
      <w:pPr>
        <w:pStyle w:val="RptAcronymList"/>
      </w:pPr>
      <w:r w:rsidRPr="00FD2F6D">
        <w:t xml:space="preserve">ASTM </w:t>
      </w:r>
      <w:r w:rsidRPr="00FD2F6D">
        <w:tab/>
        <w:t xml:space="preserve">American Society for Testing and Materials </w:t>
      </w:r>
    </w:p>
    <w:p w14:paraId="50FBEFD5" w14:textId="77777777" w:rsidR="00660135" w:rsidRPr="00FD2F6D" w:rsidRDefault="00660135" w:rsidP="00660135">
      <w:pPr>
        <w:pStyle w:val="RptAcronymList"/>
      </w:pPr>
      <w:r w:rsidRPr="00FD2F6D">
        <w:t>bgs</w:t>
      </w:r>
      <w:r w:rsidRPr="00FD2F6D">
        <w:tab/>
      </w:r>
      <w:bookmarkStart w:id="8" w:name="_Hlk42956575"/>
      <w:r w:rsidRPr="00FD2F6D">
        <w:t>below ground surface</w:t>
      </w:r>
      <w:bookmarkEnd w:id="8"/>
    </w:p>
    <w:p w14:paraId="6C2CA58E" w14:textId="77777777" w:rsidR="00660135" w:rsidRPr="00FD2F6D" w:rsidRDefault="00660135" w:rsidP="00660135">
      <w:pPr>
        <w:pStyle w:val="RptAcronymList"/>
      </w:pPr>
      <w:r w:rsidRPr="00FD2F6D">
        <w:t>cPAH</w:t>
      </w:r>
      <w:r w:rsidRPr="00FD2F6D">
        <w:tab/>
        <w:t>carcinogenic polycyclic aromatic hydrocarbon</w:t>
      </w:r>
    </w:p>
    <w:p w14:paraId="07D81700" w14:textId="77777777" w:rsidR="00660135" w:rsidRPr="00FD2F6D" w:rsidRDefault="00660135" w:rsidP="00660135">
      <w:pPr>
        <w:pStyle w:val="RptAcronymList"/>
      </w:pPr>
      <w:r w:rsidRPr="00FD2F6D">
        <w:t>COC</w:t>
      </w:r>
      <w:r w:rsidRPr="00FD2F6D">
        <w:tab/>
        <w:t>chain of custody</w:t>
      </w:r>
    </w:p>
    <w:p w14:paraId="07F70962" w14:textId="77777777" w:rsidR="00660135" w:rsidRPr="00FD2F6D" w:rsidRDefault="00660135" w:rsidP="00660135">
      <w:pPr>
        <w:pStyle w:val="RptAcronymList"/>
      </w:pPr>
      <w:r w:rsidRPr="00FD2F6D">
        <w:t>COI</w:t>
      </w:r>
      <w:r w:rsidRPr="00FD2F6D">
        <w:tab/>
        <w:t>constituent of interest</w:t>
      </w:r>
    </w:p>
    <w:p w14:paraId="2B2FB8CA" w14:textId="77777777" w:rsidR="00660135" w:rsidRPr="00FD2F6D" w:rsidRDefault="00660135" w:rsidP="00660135">
      <w:pPr>
        <w:pStyle w:val="RptAcronymList"/>
      </w:pPr>
      <w:r w:rsidRPr="00FD2F6D">
        <w:t>COEC</w:t>
      </w:r>
      <w:r w:rsidRPr="00FD2F6D">
        <w:tab/>
        <w:t>chemical of ecological concern</w:t>
      </w:r>
    </w:p>
    <w:p w14:paraId="60D0DC19" w14:textId="77777777" w:rsidR="00660135" w:rsidRPr="00FD2F6D" w:rsidRDefault="00660135" w:rsidP="00660135">
      <w:pPr>
        <w:pStyle w:val="RptAcronymList"/>
      </w:pPr>
      <w:r w:rsidRPr="00FD2F6D">
        <w:t>COPC</w:t>
      </w:r>
      <w:r w:rsidRPr="00FD2F6D">
        <w:tab/>
        <w:t>constituent of potential concern</w:t>
      </w:r>
    </w:p>
    <w:p w14:paraId="47988632" w14:textId="77777777" w:rsidR="00660135" w:rsidRPr="00FD2F6D" w:rsidRDefault="00660135" w:rsidP="00660135">
      <w:pPr>
        <w:pStyle w:val="RptAcronymList"/>
      </w:pPr>
      <w:r w:rsidRPr="00FD2F6D">
        <w:t>CSM</w:t>
      </w:r>
      <w:r w:rsidRPr="00FD2F6D">
        <w:tab/>
        <w:t>conceptual site model</w:t>
      </w:r>
    </w:p>
    <w:p w14:paraId="41610135" w14:textId="77777777" w:rsidR="00660135" w:rsidRPr="00FD2F6D" w:rsidRDefault="00660135" w:rsidP="00660135">
      <w:pPr>
        <w:pStyle w:val="RptAcronymList"/>
      </w:pPr>
      <w:r w:rsidRPr="00FD2F6D">
        <w:t>dioxins</w:t>
      </w:r>
      <w:r w:rsidRPr="00FD2F6D">
        <w:tab/>
        <w:t>chlorinated dibenzo-p-dioxins</w:t>
      </w:r>
    </w:p>
    <w:p w14:paraId="41782E50" w14:textId="77777777" w:rsidR="00660135" w:rsidRPr="00FD2F6D" w:rsidRDefault="00660135" w:rsidP="00660135">
      <w:pPr>
        <w:pStyle w:val="RptAcronymList"/>
      </w:pPr>
      <w:r w:rsidRPr="00FD2F6D">
        <w:t>DO</w:t>
      </w:r>
      <w:r w:rsidRPr="00FD2F6D">
        <w:tab/>
        <w:t>dissolved oxygen</w:t>
      </w:r>
    </w:p>
    <w:p w14:paraId="3A9587A8" w14:textId="77777777" w:rsidR="00660135" w:rsidRPr="00FD2F6D" w:rsidRDefault="00660135" w:rsidP="00660135">
      <w:pPr>
        <w:pStyle w:val="RptAcronymList"/>
      </w:pPr>
      <w:r w:rsidRPr="00FD2F6D">
        <w:t>DOI</w:t>
      </w:r>
      <w:r w:rsidRPr="00FD2F6D">
        <w:tab/>
        <w:t>U.S. Department of the Interior</w:t>
      </w:r>
    </w:p>
    <w:p w14:paraId="158214A5" w14:textId="77777777" w:rsidR="00660135" w:rsidRPr="00FD2F6D" w:rsidRDefault="00660135" w:rsidP="00660135">
      <w:pPr>
        <w:pStyle w:val="RptAcronymList"/>
      </w:pPr>
      <w:r w:rsidRPr="00FD2F6D">
        <w:t>DRO</w:t>
      </w:r>
      <w:r w:rsidRPr="00FD2F6D">
        <w:tab/>
        <w:t>diesel range organics</w:t>
      </w:r>
    </w:p>
    <w:p w14:paraId="3A5EC4E6" w14:textId="77777777" w:rsidR="00660135" w:rsidRPr="00FD2F6D" w:rsidRDefault="00660135" w:rsidP="00660135">
      <w:pPr>
        <w:pStyle w:val="RptAcronymList"/>
      </w:pPr>
      <w:r w:rsidRPr="00FD2F6D">
        <w:t>Ecology</w:t>
      </w:r>
      <w:r w:rsidRPr="00FD2F6D">
        <w:tab/>
        <w:t>Washington Department of Ecology</w:t>
      </w:r>
    </w:p>
    <w:p w14:paraId="60B485EB" w14:textId="77777777" w:rsidR="00660135" w:rsidRPr="00FD2F6D" w:rsidRDefault="00660135" w:rsidP="00660135">
      <w:pPr>
        <w:pStyle w:val="RptAcronymList"/>
      </w:pPr>
      <w:r w:rsidRPr="00FD2F6D">
        <w:t>Eh</w:t>
      </w:r>
      <w:r w:rsidRPr="00FD2F6D">
        <w:tab/>
        <w:t>oxidation/reduction potential</w:t>
      </w:r>
    </w:p>
    <w:p w14:paraId="08826476" w14:textId="77777777" w:rsidR="00660135" w:rsidRPr="00FD2F6D" w:rsidRDefault="00660135" w:rsidP="00660135">
      <w:pPr>
        <w:pStyle w:val="RptAcronymList"/>
      </w:pPr>
      <w:r w:rsidRPr="00B451BB">
        <w:t xml:space="preserve">EISC </w:t>
      </w:r>
      <w:r w:rsidRPr="00B451BB">
        <w:tab/>
        <w:t>ecological indicator soil concentration</w:t>
      </w:r>
    </w:p>
    <w:p w14:paraId="0D54BF6A" w14:textId="77777777" w:rsidR="00660135" w:rsidRPr="00FD2F6D" w:rsidRDefault="00660135" w:rsidP="00660135">
      <w:pPr>
        <w:pStyle w:val="RptAcronymList"/>
      </w:pPr>
      <w:r w:rsidRPr="00FD2F6D">
        <w:t>EMI</w:t>
      </w:r>
      <w:r w:rsidRPr="00FD2F6D">
        <w:tab/>
        <w:t>electromagnetic induction</w:t>
      </w:r>
    </w:p>
    <w:p w14:paraId="073FEFFF" w14:textId="77777777" w:rsidR="00660135" w:rsidRPr="00FD2F6D" w:rsidRDefault="00660135" w:rsidP="00660135">
      <w:pPr>
        <w:pStyle w:val="RptAcronymList"/>
      </w:pPr>
      <w:r w:rsidRPr="00FD2F6D">
        <w:t>EPA</w:t>
      </w:r>
      <w:r w:rsidRPr="00FD2F6D">
        <w:tab/>
        <w:t>U.S. Environmental Protection Agency</w:t>
      </w:r>
    </w:p>
    <w:p w14:paraId="7369AF8A" w14:textId="5780F7FD" w:rsidR="00C74A9E" w:rsidRDefault="00C74A9E" w:rsidP="00660135">
      <w:pPr>
        <w:pStyle w:val="RptAcronymList"/>
      </w:pPr>
      <w:r>
        <w:t>ft</w:t>
      </w:r>
      <w:r>
        <w:tab/>
        <w:t>feet</w:t>
      </w:r>
    </w:p>
    <w:p w14:paraId="3AE6BCBD" w14:textId="3D1F4368" w:rsidR="00660135" w:rsidRPr="00FD2F6D" w:rsidRDefault="00660135" w:rsidP="00660135">
      <w:pPr>
        <w:pStyle w:val="RptAcronymList"/>
      </w:pPr>
      <w:r w:rsidRPr="00FD2F6D">
        <w:t>furans</w:t>
      </w:r>
      <w:r w:rsidRPr="00FD2F6D">
        <w:tab/>
        <w:t>chlorinated dibenzofurans</w:t>
      </w:r>
    </w:p>
    <w:p w14:paraId="40E373DB" w14:textId="77777777" w:rsidR="00660135" w:rsidRPr="00FD2F6D" w:rsidRDefault="00660135" w:rsidP="00660135">
      <w:pPr>
        <w:pStyle w:val="RptAcronymList"/>
      </w:pPr>
      <w:r w:rsidRPr="00FD2F6D">
        <w:t>GPR</w:t>
      </w:r>
      <w:r w:rsidRPr="00FD2F6D">
        <w:tab/>
        <w:t>ground penetrating radar</w:t>
      </w:r>
    </w:p>
    <w:p w14:paraId="70E06030" w14:textId="77777777" w:rsidR="00660135" w:rsidRPr="00FD2F6D" w:rsidRDefault="00660135" w:rsidP="00660135">
      <w:pPr>
        <w:pStyle w:val="RptAcronymList"/>
      </w:pPr>
      <w:r w:rsidRPr="00FD2F6D">
        <w:t>GPS</w:t>
      </w:r>
      <w:r w:rsidRPr="00FD2F6D">
        <w:tab/>
        <w:t>global positioning system</w:t>
      </w:r>
    </w:p>
    <w:p w14:paraId="6AD70427" w14:textId="77777777" w:rsidR="00660135" w:rsidRPr="00FD2F6D" w:rsidRDefault="00660135" w:rsidP="00660135">
      <w:pPr>
        <w:pStyle w:val="RptAcronymList"/>
      </w:pPr>
      <w:r w:rsidRPr="00FD2F6D">
        <w:t>GRO</w:t>
      </w:r>
      <w:r w:rsidRPr="00FD2F6D">
        <w:tab/>
        <w:t>gasoline range organics</w:t>
      </w:r>
    </w:p>
    <w:p w14:paraId="55C7299A" w14:textId="77777777" w:rsidR="00660135" w:rsidRPr="00FD2F6D" w:rsidRDefault="00660135" w:rsidP="00660135">
      <w:pPr>
        <w:pStyle w:val="RptAcronymList"/>
      </w:pPr>
      <w:r w:rsidRPr="00FD2F6D">
        <w:t>HASP</w:t>
      </w:r>
      <w:r w:rsidRPr="00FD2F6D">
        <w:tab/>
        <w:t>health and safety plan</w:t>
      </w:r>
    </w:p>
    <w:p w14:paraId="5493E644" w14:textId="77777777" w:rsidR="00660135" w:rsidRPr="00FD2F6D" w:rsidRDefault="00660135" w:rsidP="00660135">
      <w:pPr>
        <w:pStyle w:val="RptAcronymList"/>
      </w:pPr>
      <w:r w:rsidRPr="00FD2F6D">
        <w:t>MCL</w:t>
      </w:r>
      <w:r w:rsidRPr="00FD2F6D">
        <w:tab/>
        <w:t>Maximum Contaminant Level</w:t>
      </w:r>
    </w:p>
    <w:p w14:paraId="48F59911" w14:textId="77777777" w:rsidR="00660135" w:rsidRPr="00FD2F6D" w:rsidRDefault="00660135" w:rsidP="00660135">
      <w:pPr>
        <w:pStyle w:val="RptAcronymList"/>
      </w:pPr>
      <w:r w:rsidRPr="00FD2F6D">
        <w:t>µg/L</w:t>
      </w:r>
      <w:r w:rsidRPr="00FD2F6D">
        <w:tab/>
        <w:t>micrograms per liter</w:t>
      </w:r>
    </w:p>
    <w:p w14:paraId="10FDFD44" w14:textId="77777777" w:rsidR="00660135" w:rsidRPr="00FD2F6D" w:rsidRDefault="00660135" w:rsidP="00660135">
      <w:pPr>
        <w:pStyle w:val="RptAcronymList"/>
      </w:pPr>
      <w:r w:rsidRPr="00FD2F6D">
        <w:t>mg/kg</w:t>
      </w:r>
      <w:r w:rsidRPr="00FD2F6D">
        <w:tab/>
        <w:t>milligrams per kilogram</w:t>
      </w:r>
    </w:p>
    <w:p w14:paraId="7AE9D63E" w14:textId="77777777" w:rsidR="00660135" w:rsidRPr="00FD2F6D" w:rsidRDefault="00660135" w:rsidP="00660135">
      <w:pPr>
        <w:pStyle w:val="RptAcronymList"/>
      </w:pPr>
      <w:r w:rsidRPr="00FD2F6D">
        <w:t>mL/min</w:t>
      </w:r>
      <w:r w:rsidRPr="00FD2F6D">
        <w:tab/>
        <w:t>milliliters per minute</w:t>
      </w:r>
    </w:p>
    <w:p w14:paraId="77CCFFBB" w14:textId="77777777" w:rsidR="00660135" w:rsidRPr="00FD2F6D" w:rsidRDefault="00660135" w:rsidP="00660135">
      <w:pPr>
        <w:pStyle w:val="RptAcronymList"/>
      </w:pPr>
      <w:r w:rsidRPr="00FD2F6D">
        <w:t>MTCA</w:t>
      </w:r>
      <w:r w:rsidRPr="00FD2F6D">
        <w:tab/>
        <w:t>Model Toxics Control Act</w:t>
      </w:r>
    </w:p>
    <w:p w14:paraId="0E7BA8D7" w14:textId="77777777" w:rsidR="00660135" w:rsidRPr="00FD2F6D" w:rsidRDefault="00660135" w:rsidP="00660135">
      <w:pPr>
        <w:pStyle w:val="RptAcronymList"/>
      </w:pPr>
      <w:r w:rsidRPr="00FD2F6D">
        <w:t>NFA</w:t>
      </w:r>
      <w:r w:rsidRPr="00FD2F6D">
        <w:tab/>
        <w:t>no further action</w:t>
      </w:r>
    </w:p>
    <w:p w14:paraId="3908F5FB" w14:textId="77777777" w:rsidR="00660135" w:rsidRPr="00FD2F6D" w:rsidRDefault="00660135" w:rsidP="00660135">
      <w:pPr>
        <w:pStyle w:val="RptAcronymList"/>
      </w:pPr>
      <w:r w:rsidRPr="00FD2F6D">
        <w:t>NTU</w:t>
      </w:r>
      <w:r w:rsidRPr="00FD2F6D">
        <w:tab/>
      </w:r>
      <w:bookmarkStart w:id="9" w:name="_Hlk11322625"/>
      <w:r w:rsidRPr="00FD2F6D">
        <w:t>Nephelometric turbidity units</w:t>
      </w:r>
      <w:bookmarkEnd w:id="9"/>
    </w:p>
    <w:p w14:paraId="27D168AA" w14:textId="77777777" w:rsidR="00660135" w:rsidRPr="00FD2F6D" w:rsidRDefault="00660135" w:rsidP="00660135">
      <w:pPr>
        <w:pStyle w:val="RptAcronymList"/>
      </w:pPr>
      <w:r w:rsidRPr="00FD2F6D">
        <w:t>PAH</w:t>
      </w:r>
      <w:r w:rsidRPr="00FD2F6D">
        <w:tab/>
      </w:r>
      <w:bookmarkStart w:id="10" w:name="_Hlk42956763"/>
      <w:r w:rsidRPr="00FD2F6D">
        <w:t>polycyclic aromatic hydrocarbon</w:t>
      </w:r>
      <w:bookmarkEnd w:id="10"/>
    </w:p>
    <w:p w14:paraId="27A90A5D" w14:textId="77777777" w:rsidR="00660135" w:rsidRPr="00FD2F6D" w:rsidRDefault="00660135" w:rsidP="00660135">
      <w:pPr>
        <w:pStyle w:val="RptAcronymList"/>
      </w:pPr>
      <w:r w:rsidRPr="00FD2F6D">
        <w:t>PID</w:t>
      </w:r>
      <w:r w:rsidRPr="00FD2F6D">
        <w:tab/>
      </w:r>
      <w:bookmarkStart w:id="11" w:name="_Hlk42956549"/>
      <w:r w:rsidRPr="00FD2F6D">
        <w:t>photoionization detector</w:t>
      </w:r>
      <w:bookmarkEnd w:id="11"/>
    </w:p>
    <w:p w14:paraId="1AFF6C00" w14:textId="77777777" w:rsidR="00660135" w:rsidRPr="00FD2F6D" w:rsidRDefault="00660135" w:rsidP="00660135">
      <w:pPr>
        <w:pStyle w:val="RptAcronymList"/>
      </w:pPr>
      <w:r w:rsidRPr="00FD2F6D">
        <w:t>PVC</w:t>
      </w:r>
      <w:r w:rsidRPr="00FD2F6D">
        <w:tab/>
        <w:t>polyvinyl chloride</w:t>
      </w:r>
    </w:p>
    <w:p w14:paraId="53DF0A26" w14:textId="77777777" w:rsidR="00660135" w:rsidRPr="00FD2F6D" w:rsidRDefault="00660135" w:rsidP="00660135">
      <w:pPr>
        <w:pStyle w:val="RptAcronymList"/>
      </w:pPr>
      <w:r w:rsidRPr="00FD2F6D">
        <w:t>QAPP</w:t>
      </w:r>
      <w:r w:rsidRPr="00FD2F6D">
        <w:tab/>
        <w:t>quality assurance project plan</w:t>
      </w:r>
    </w:p>
    <w:p w14:paraId="2E953EF4" w14:textId="77777777" w:rsidR="00660135" w:rsidRPr="00FD2F6D" w:rsidRDefault="00660135" w:rsidP="00660135">
      <w:pPr>
        <w:pStyle w:val="RptAcronymList"/>
      </w:pPr>
      <w:r w:rsidRPr="00FD2F6D">
        <w:t>RI</w:t>
      </w:r>
      <w:r w:rsidRPr="00FD2F6D">
        <w:tab/>
        <w:t>remedial investigation</w:t>
      </w:r>
    </w:p>
    <w:p w14:paraId="2E9CE6BE" w14:textId="77777777" w:rsidR="00660135" w:rsidRPr="00FD2F6D" w:rsidRDefault="00660135" w:rsidP="00660135">
      <w:pPr>
        <w:pStyle w:val="RptAcronymList"/>
      </w:pPr>
      <w:r w:rsidRPr="00FD2F6D">
        <w:t>SAP</w:t>
      </w:r>
      <w:r w:rsidRPr="00FD2F6D">
        <w:tab/>
        <w:t>sampling and analysis plan</w:t>
      </w:r>
    </w:p>
    <w:p w14:paraId="544CC12B" w14:textId="74D5F444" w:rsidR="00660135" w:rsidRDefault="00660135" w:rsidP="00660135">
      <w:pPr>
        <w:pStyle w:val="RptAcronymList"/>
      </w:pPr>
      <w:r w:rsidRPr="00FD2F6D">
        <w:t>Site</w:t>
      </w:r>
      <w:r w:rsidRPr="00FD2F6D">
        <w:tab/>
        <w:t>the former WSDOT Potlatch Maintenance Facility</w:t>
      </w:r>
    </w:p>
    <w:p w14:paraId="4F08D8CD" w14:textId="60D1FEAA" w:rsidR="00A74F5E" w:rsidRPr="00FD2F6D" w:rsidRDefault="00A74F5E" w:rsidP="00660135">
      <w:pPr>
        <w:pStyle w:val="RptAcronymList"/>
      </w:pPr>
      <w:r>
        <w:t>SMP</w:t>
      </w:r>
      <w:r>
        <w:tab/>
        <w:t>soil management plan</w:t>
      </w:r>
    </w:p>
    <w:p w14:paraId="1F9B66AA" w14:textId="77777777" w:rsidR="00660135" w:rsidRPr="00FD2F6D" w:rsidRDefault="00660135" w:rsidP="00660135">
      <w:pPr>
        <w:pStyle w:val="RptAcronymList"/>
      </w:pPr>
      <w:r w:rsidRPr="00FD2F6D">
        <w:t>SVOC</w:t>
      </w:r>
      <w:r w:rsidRPr="00FD2F6D">
        <w:tab/>
      </w:r>
      <w:bookmarkStart w:id="12" w:name="_Hlk42956751"/>
      <w:r w:rsidRPr="00FD2F6D">
        <w:t>semivolatile organic compou</w:t>
      </w:r>
      <w:bookmarkEnd w:id="12"/>
      <w:r w:rsidRPr="00FD2F6D">
        <w:t>nd</w:t>
      </w:r>
    </w:p>
    <w:p w14:paraId="27BE4BA5" w14:textId="77777777" w:rsidR="00660135" w:rsidRPr="00FD2F6D" w:rsidRDefault="00660135" w:rsidP="00660135">
      <w:pPr>
        <w:pStyle w:val="RptAcronymList"/>
      </w:pPr>
      <w:r w:rsidRPr="00FD2F6D">
        <w:t>TCDD</w:t>
      </w:r>
      <w:r w:rsidRPr="00FD2F6D">
        <w:tab/>
        <w:t>tetrachlorodibenzo-</w:t>
      </w:r>
      <w:r w:rsidRPr="00FD2F6D">
        <w:rPr>
          <w:i/>
        </w:rPr>
        <w:t>p</w:t>
      </w:r>
      <w:r w:rsidRPr="00FD2F6D">
        <w:t xml:space="preserve">-dioxin </w:t>
      </w:r>
    </w:p>
    <w:p w14:paraId="4A68C225" w14:textId="77777777" w:rsidR="00660135" w:rsidRPr="00FD2F6D" w:rsidRDefault="00660135" w:rsidP="00660135">
      <w:pPr>
        <w:pStyle w:val="RptAcronymList"/>
      </w:pPr>
      <w:r w:rsidRPr="00FD2F6D">
        <w:t>TCE</w:t>
      </w:r>
      <w:r w:rsidRPr="00FD2F6D">
        <w:tab/>
        <w:t>trichloroethene</w:t>
      </w:r>
    </w:p>
    <w:p w14:paraId="2FECF10A" w14:textId="77777777" w:rsidR="00660135" w:rsidRPr="00FD2F6D" w:rsidRDefault="00660135" w:rsidP="00660135">
      <w:pPr>
        <w:pStyle w:val="RptAcronymList"/>
      </w:pPr>
      <w:r w:rsidRPr="00FD2F6D">
        <w:t>TEE</w:t>
      </w:r>
      <w:r w:rsidRPr="00FD2F6D">
        <w:tab/>
        <w:t>Terrestrial Ecological Evaluation</w:t>
      </w:r>
    </w:p>
    <w:p w14:paraId="2FE7E02E" w14:textId="66628872" w:rsidR="00660135" w:rsidRPr="00FD2F6D" w:rsidRDefault="00660135" w:rsidP="00660135">
      <w:pPr>
        <w:pStyle w:val="RptAcronymList"/>
      </w:pPr>
      <w:r w:rsidRPr="00FD2F6D">
        <w:t>TEQ</w:t>
      </w:r>
      <w:r w:rsidRPr="00FD2F6D">
        <w:tab/>
      </w:r>
      <w:r w:rsidR="0071552B" w:rsidRPr="0071552B">
        <w:t>total toxic equivalent concentration</w:t>
      </w:r>
    </w:p>
    <w:p w14:paraId="6D900C7D" w14:textId="77777777" w:rsidR="00660135" w:rsidRPr="00FD2F6D" w:rsidRDefault="00660135" w:rsidP="00660135">
      <w:pPr>
        <w:pStyle w:val="RptAcronymList"/>
      </w:pPr>
      <w:r w:rsidRPr="00FD2F6D">
        <w:t>TPH</w:t>
      </w:r>
      <w:r w:rsidRPr="00FD2F6D">
        <w:tab/>
        <w:t>total petroleum hydrocarbons</w:t>
      </w:r>
    </w:p>
    <w:p w14:paraId="7E73F301" w14:textId="77777777" w:rsidR="00660135" w:rsidRPr="00FD2F6D" w:rsidRDefault="00660135" w:rsidP="00660135">
      <w:pPr>
        <w:pStyle w:val="RptAcronymList"/>
      </w:pPr>
      <w:r w:rsidRPr="00FD2F6D">
        <w:t>USCS</w:t>
      </w:r>
      <w:r w:rsidRPr="00FD2F6D">
        <w:tab/>
        <w:t>Unified Soil Classification System</w:t>
      </w:r>
    </w:p>
    <w:p w14:paraId="413E5B5C" w14:textId="77777777" w:rsidR="00660135" w:rsidRPr="00FD2F6D" w:rsidRDefault="00660135" w:rsidP="00660135">
      <w:pPr>
        <w:pStyle w:val="RptAcronymList"/>
      </w:pPr>
      <w:r w:rsidRPr="00FD2F6D">
        <w:t>USGS</w:t>
      </w:r>
      <w:r w:rsidRPr="00FD2F6D">
        <w:tab/>
        <w:t xml:space="preserve">U.S. Geological Survey </w:t>
      </w:r>
    </w:p>
    <w:p w14:paraId="1043A4C7" w14:textId="77777777" w:rsidR="00660135" w:rsidRDefault="00660135" w:rsidP="00660135">
      <w:pPr>
        <w:pStyle w:val="RptAcronymList"/>
      </w:pPr>
      <w:r w:rsidRPr="00FD2F6D">
        <w:t>UST</w:t>
      </w:r>
      <w:r w:rsidRPr="00FD2F6D">
        <w:tab/>
        <w:t>underground storage tank</w:t>
      </w:r>
    </w:p>
    <w:p w14:paraId="0E151D4B" w14:textId="77777777" w:rsidR="00660135" w:rsidRPr="00FD2F6D" w:rsidRDefault="00660135" w:rsidP="00660135">
      <w:pPr>
        <w:pStyle w:val="RptAcronymList"/>
      </w:pPr>
      <w:r>
        <w:t>VCP</w:t>
      </w:r>
      <w:r>
        <w:tab/>
      </w:r>
      <w:r w:rsidRPr="00147A60">
        <w:t>Voluntary Cleanup Program</w:t>
      </w:r>
    </w:p>
    <w:p w14:paraId="5B118629" w14:textId="77777777" w:rsidR="00660135" w:rsidRPr="00FD2F6D" w:rsidRDefault="00660135" w:rsidP="00660135">
      <w:pPr>
        <w:pStyle w:val="RptAcronymList"/>
      </w:pPr>
      <w:r w:rsidRPr="00FD2F6D">
        <w:t>VOA</w:t>
      </w:r>
      <w:r w:rsidRPr="00FD2F6D">
        <w:tab/>
        <w:t>volatile organic analyte</w:t>
      </w:r>
    </w:p>
    <w:p w14:paraId="4A54AA69" w14:textId="77777777" w:rsidR="00660135" w:rsidRPr="00FD2F6D" w:rsidRDefault="00660135" w:rsidP="00660135">
      <w:pPr>
        <w:pStyle w:val="RptAcronymList"/>
      </w:pPr>
      <w:r w:rsidRPr="00FD2F6D">
        <w:t>VOC</w:t>
      </w:r>
      <w:r w:rsidRPr="00FD2F6D">
        <w:tab/>
      </w:r>
      <w:bookmarkStart w:id="13" w:name="_Hlk42956727"/>
      <w:r w:rsidRPr="00FD2F6D">
        <w:t>volatile organic compound</w:t>
      </w:r>
      <w:bookmarkEnd w:id="13"/>
    </w:p>
    <w:p w14:paraId="2D1A5DFB" w14:textId="77777777" w:rsidR="00660135" w:rsidRPr="00FD2F6D" w:rsidRDefault="00660135" w:rsidP="00660135">
      <w:pPr>
        <w:pStyle w:val="RptAcronymList"/>
      </w:pPr>
      <w:r w:rsidRPr="00FD2F6D">
        <w:t>WAC</w:t>
      </w:r>
      <w:r w:rsidRPr="00FD2F6D">
        <w:tab/>
        <w:t>Washington Administrative Code</w:t>
      </w:r>
    </w:p>
    <w:p w14:paraId="679425DF" w14:textId="77777777" w:rsidR="00660135" w:rsidRPr="00FD2F6D" w:rsidRDefault="00660135" w:rsidP="00660135">
      <w:pPr>
        <w:pStyle w:val="RptAcronymList"/>
      </w:pPr>
      <w:r w:rsidRPr="00FD2F6D">
        <w:t>WSDOT</w:t>
      </w:r>
      <w:r w:rsidRPr="00FD2F6D">
        <w:tab/>
        <w:t>Washington State Department of Transportation</w:t>
      </w:r>
    </w:p>
    <w:p w14:paraId="56C3010C" w14:textId="77777777" w:rsidR="00F3091B" w:rsidRDefault="00F3091B" w:rsidP="00816396">
      <w:pPr>
        <w:pStyle w:val="RptAcronymList"/>
      </w:pPr>
    </w:p>
    <w:p w14:paraId="58018DD5" w14:textId="77777777" w:rsidR="00774F45" w:rsidRDefault="00774F45" w:rsidP="00816396">
      <w:pPr>
        <w:pStyle w:val="RptAcronymList"/>
        <w:sectPr w:rsidR="00774F45" w:rsidSect="00942FE5">
          <w:headerReference w:type="even" r:id="rId26"/>
          <w:footerReference w:type="default" r:id="rId27"/>
          <w:headerReference w:type="first" r:id="rId28"/>
          <w:pgSz w:w="12240" w:h="15840" w:code="1"/>
          <w:pgMar w:top="1440" w:right="1440" w:bottom="1440" w:left="1440" w:header="720" w:footer="720" w:gutter="0"/>
          <w:pgNumType w:fmt="lowerRoman"/>
          <w:cols w:space="708"/>
          <w:docGrid w:linePitch="360"/>
        </w:sectPr>
      </w:pPr>
    </w:p>
    <w:p w14:paraId="2D124CFE" w14:textId="77777777" w:rsidR="00774F45" w:rsidRDefault="00774F45" w:rsidP="00774F45">
      <w:pPr>
        <w:pStyle w:val="RptHeading-Level1"/>
        <w:numPr>
          <w:ilvl w:val="0"/>
          <w:numId w:val="0"/>
        </w:numPr>
        <w:ind w:left="864"/>
      </w:pPr>
      <w:bookmarkStart w:id="14" w:name="_Toc98847314"/>
      <w:r>
        <w:t>Limitations</w:t>
      </w:r>
      <w:bookmarkEnd w:id="14"/>
    </w:p>
    <w:p w14:paraId="7D58EDD4" w14:textId="0B7EFA2A" w:rsidR="00774F45" w:rsidRPr="00FD2F6D" w:rsidRDefault="00774F45" w:rsidP="00774F45">
      <w:pPr>
        <w:pStyle w:val="RptBodyText"/>
      </w:pPr>
      <w:r w:rsidRPr="00FD2F6D">
        <w:t xml:space="preserve">The opinions and comments formulated during this assessment are based on observations and information available at the time of the investigation. </w:t>
      </w:r>
      <w:r w:rsidR="00964421">
        <w:t>Ramboll</w:t>
      </w:r>
      <w:r w:rsidR="00964421" w:rsidRPr="00FD2F6D">
        <w:t xml:space="preserve"> </w:t>
      </w:r>
      <w:r w:rsidRPr="00FD2F6D">
        <w:t xml:space="preserve">has no direct knowledge of, and offers no warranty regarding, the condition of concealed conditions beyond what was exposed during </w:t>
      </w:r>
      <w:r w:rsidR="00964421">
        <w:t>the RI</w:t>
      </w:r>
      <w:r w:rsidR="00964421" w:rsidRPr="00FD2F6D">
        <w:t xml:space="preserve"> </w:t>
      </w:r>
      <w:r w:rsidRPr="00FD2F6D">
        <w:t xml:space="preserve">investigation. Comments regarding concealed conditions are professional opinions, derived in accordance with current standards of professional practice based on our engineering experience and judgment. </w:t>
      </w:r>
      <w:r w:rsidR="000B2D27">
        <w:t>Ramboll</w:t>
      </w:r>
      <w:r w:rsidR="000B2D27" w:rsidRPr="00FD2F6D">
        <w:t xml:space="preserve"> </w:t>
      </w:r>
      <w:r w:rsidRPr="00FD2F6D">
        <w:t>has exercised usual and customary care in the conduct of this assessment. No guarantee or warranty as to future performance of any reviewed condition is expressed or implied.</w:t>
      </w:r>
    </w:p>
    <w:p w14:paraId="4A95B5E1" w14:textId="77777777" w:rsidR="00774F45" w:rsidRDefault="00774F45" w:rsidP="00816396">
      <w:pPr>
        <w:pStyle w:val="RptAcronymList"/>
        <w:sectPr w:rsidR="00774F45" w:rsidSect="00942FE5">
          <w:footerReference w:type="default" r:id="rId29"/>
          <w:pgSz w:w="12240" w:h="15840" w:code="1"/>
          <w:pgMar w:top="1440" w:right="1440" w:bottom="1440" w:left="1440" w:header="720" w:footer="720" w:gutter="0"/>
          <w:pgNumType w:fmt="lowerRoman"/>
          <w:cols w:space="708"/>
          <w:docGrid w:linePitch="360"/>
        </w:sectPr>
      </w:pPr>
    </w:p>
    <w:p w14:paraId="77631E72" w14:textId="77777777" w:rsidR="00B96FB0" w:rsidRDefault="00774F45" w:rsidP="00774F45">
      <w:pPr>
        <w:pStyle w:val="RptHeading-Level1"/>
        <w:numPr>
          <w:ilvl w:val="0"/>
          <w:numId w:val="0"/>
        </w:numPr>
        <w:ind w:left="864"/>
      </w:pPr>
      <w:bookmarkStart w:id="15" w:name="_Toc98847315"/>
      <w:r>
        <w:t>Executive Summary</w:t>
      </w:r>
      <w:bookmarkEnd w:id="15"/>
    </w:p>
    <w:p w14:paraId="0993A220" w14:textId="0A37DBE7" w:rsidR="00774F45" w:rsidRPr="00FD2F6D" w:rsidRDefault="00774F45" w:rsidP="00774F45">
      <w:pPr>
        <w:pStyle w:val="RptBodyText"/>
      </w:pPr>
      <w:r w:rsidRPr="00FD2F6D">
        <w:t>This Remedial Investigation</w:t>
      </w:r>
      <w:r w:rsidR="00FF01D4">
        <w:t>/Feasibility Study/Cleanup Action Plan (</w:t>
      </w:r>
      <w:r w:rsidR="009410EC">
        <w:t>RI/FS/CAP</w:t>
      </w:r>
      <w:r w:rsidR="00FF01D4">
        <w:t>)</w:t>
      </w:r>
      <w:r w:rsidRPr="00FD2F6D">
        <w:t xml:space="preserve"> report has been prepared for the former Washington State Department of Transportation (WSDOT) Potlatch Maintenance Facility in Skokomish, Washington (the Site) on behalf of the Skokomish Indian Tribe</w:t>
      </w:r>
      <w:r w:rsidR="00E46069">
        <w:t xml:space="preserve"> (Skokomish Tribe)</w:t>
      </w:r>
      <w:r w:rsidRPr="00FD2F6D">
        <w:t xml:space="preserve"> in accordance with the Model Toxics Control Act (MTCA; WAC</w:t>
      </w:r>
      <w:r w:rsidR="008C08A4">
        <w:t> </w:t>
      </w:r>
      <w:r w:rsidRPr="00FD2F6D">
        <w:t>173</w:t>
      </w:r>
      <w:r w:rsidR="006D065B">
        <w:noBreakHyphen/>
      </w:r>
      <w:r w:rsidRPr="00FD2F6D">
        <w:t xml:space="preserve">340). The 14.75-acre Site is located at 19811 North U.S. Highway 101 at milepost 336.2 in Skokomish, Washington (Figure 1). The </w:t>
      </w:r>
      <w:r w:rsidRPr="00FD2F6D">
        <w:rPr>
          <w:spacing w:val="-2"/>
        </w:rPr>
        <w:t>Washington State Department of Ecology (</w:t>
      </w:r>
      <w:r w:rsidRPr="00FD2F6D">
        <w:t xml:space="preserve">Ecology) is providing review and assistance for this independent cleanup Site through Ecology’s Voluntary Cleanup Program </w:t>
      </w:r>
      <w:r>
        <w:t xml:space="preserve">(VCP) </w:t>
      </w:r>
      <w:r w:rsidRPr="00FD2F6D">
        <w:t>(Facility Site #14549, Cleanup Site #12397, VCP Project #SW1405).</w:t>
      </w:r>
    </w:p>
    <w:p w14:paraId="6BC700BC" w14:textId="07CA6EB3" w:rsidR="00774F45" w:rsidRPr="00FD2F6D" w:rsidRDefault="00774F45" w:rsidP="00774F45">
      <w:pPr>
        <w:pStyle w:val="RptBodyText"/>
      </w:pPr>
      <w:r>
        <w:t xml:space="preserve">Historical aerial photographs (Appendix A to the RI Work Plan) indicate that in 1938, the Site was undeveloped and was primarily densely forested; then, sometime between 1938 and 1951, the Site was logged. </w:t>
      </w:r>
      <w:r w:rsidRPr="00FD2F6D">
        <w:t>In June 1955, the State of Washington Department of Highways</w:t>
      </w:r>
      <w:r w:rsidRPr="00FD2F6D">
        <w:rPr>
          <w:rStyle w:val="FootnoteReference"/>
        </w:rPr>
        <w:footnoteReference w:id="2"/>
      </w:r>
      <w:r w:rsidRPr="00FD2F6D">
        <w:t xml:space="preserve"> purchased and developed the Site as a maintenance yard, which was operated until 1995 by WSDOT. The </w:t>
      </w:r>
      <w:r w:rsidR="00DC7C07">
        <w:t>Skokomish Tribe</w:t>
      </w:r>
      <w:r w:rsidRPr="00FD2F6D">
        <w:t xml:space="preserve"> purchased the Site from WSDOT in April 2003 and used it for storage and filling activities until undertaking additional environmental investigations. The </w:t>
      </w:r>
      <w:r w:rsidR="00DC7C07">
        <w:t>Skokomish Tribe</w:t>
      </w:r>
      <w:r w:rsidRPr="00FD2F6D">
        <w:t xml:space="preserve"> intends to develop the Site as part of a master plan that includes construction of </w:t>
      </w:r>
      <w:r w:rsidR="00791265">
        <w:t>a skate park, basketball court, workout facility,</w:t>
      </w:r>
      <w:r w:rsidR="00791265" w:rsidRPr="00FD2F6D">
        <w:t xml:space="preserve"> and accompanying roads, </w:t>
      </w:r>
      <w:r w:rsidRPr="00FD2F6D">
        <w:t>parking lots, and paths.</w:t>
      </w:r>
      <w:r w:rsidR="00111F10" w:rsidRPr="00111F10">
        <w:t xml:space="preserve"> </w:t>
      </w:r>
      <w:r w:rsidRPr="00FD2F6D">
        <w:t xml:space="preserve">Four areas having distinct historical uses, activities, and features have been defined at the Site and are discussed in this report: </w:t>
      </w:r>
    </w:p>
    <w:p w14:paraId="4C741AD1" w14:textId="2BCD58F3" w:rsidR="00774F45" w:rsidRPr="00FD2F6D" w:rsidRDefault="00774F45" w:rsidP="00774F45">
      <w:pPr>
        <w:pStyle w:val="RptBullet-Level1"/>
      </w:pPr>
      <w:r w:rsidRPr="00FD2F6D">
        <w:rPr>
          <w:b/>
          <w:bCs/>
        </w:rPr>
        <w:t>Area 1 (Southeast Area).</w:t>
      </w:r>
      <w:r w:rsidRPr="00FD2F6D">
        <w:t xml:space="preserve"> WSDOT used Area 1 as its primary maintenance yard at the Site, which included a former maintenance building with associated septic and drywell features, parts washing/degreasing, former underground storage tanks (USTs), former vehicle wash area, former heavy equipment parking/staging area, former empty container accumulation area, former sander storage rack, former drinking water well, and former shed, and fill areas. The </w:t>
      </w:r>
      <w:r w:rsidR="00DC7C07">
        <w:t>Skokomish Tribe</w:t>
      </w:r>
      <w:r w:rsidRPr="00FD2F6D">
        <w:t xml:space="preserve"> used Area 1 for placement of fill material stockpiles and for storage of various items, including boats and a shed that included computer components and containers of paint, oils, and solvents.</w:t>
      </w:r>
    </w:p>
    <w:p w14:paraId="1D359AC5" w14:textId="7FDA3A04" w:rsidR="00774F45" w:rsidRPr="00FD2F6D" w:rsidRDefault="00774F45" w:rsidP="00774F45">
      <w:pPr>
        <w:pStyle w:val="RptBullet-Level1"/>
      </w:pPr>
      <w:r w:rsidRPr="00FD2F6D">
        <w:rPr>
          <w:b/>
          <w:bCs/>
        </w:rPr>
        <w:t xml:space="preserve">Area 2 (Southwest Area): </w:t>
      </w:r>
      <w:r w:rsidRPr="00FD2F6D">
        <w:t xml:space="preserve">WSDOT buried waste and drums, stored sand, and conducted filling activities in Area 2. The </w:t>
      </w:r>
      <w:r w:rsidR="00DC7C07">
        <w:t>Skokomish Tribe</w:t>
      </w:r>
      <w:r w:rsidRPr="00FD2F6D">
        <w:t xml:space="preserve"> stockpiled fill materials in Area 2.</w:t>
      </w:r>
    </w:p>
    <w:p w14:paraId="2C7F3F0D" w14:textId="71F0A030" w:rsidR="00774F45" w:rsidRPr="00FD2F6D" w:rsidRDefault="00774F45" w:rsidP="00774F45">
      <w:pPr>
        <w:pStyle w:val="RptBullet-Level1"/>
      </w:pPr>
      <w:r w:rsidRPr="00FD2F6D">
        <w:rPr>
          <w:b/>
          <w:bCs/>
        </w:rPr>
        <w:t>Area 3 (Northern Area):</w:t>
      </w:r>
      <w:r w:rsidRPr="00FD2F6D">
        <w:t xml:space="preserve"> WSDOT used Area 3 as a gravel quarry, which was subsequently used by WSDOT for placement of fill and debris including landslide soil and debris, highway debris, street sweepings, fuel spill incident response materials, and burn material. The </w:t>
      </w:r>
      <w:r w:rsidR="00DC7C07">
        <w:t>Skokomish Tribe</w:t>
      </w:r>
      <w:r w:rsidRPr="00FD2F6D">
        <w:t xml:space="preserve"> stockpiled fill materials and burned debris from land clearing activities and demolition projects.</w:t>
      </w:r>
    </w:p>
    <w:p w14:paraId="28A29424" w14:textId="373E51A4" w:rsidR="00774F45" w:rsidRPr="00FD2F6D" w:rsidRDefault="00774F45" w:rsidP="00774F45">
      <w:pPr>
        <w:pStyle w:val="RptBullet-Level1"/>
      </w:pPr>
      <w:r w:rsidRPr="00FD2F6D">
        <w:rPr>
          <w:b/>
          <w:bCs/>
        </w:rPr>
        <w:t>Area 4 (Wooded Area):</w:t>
      </w:r>
      <w:r w:rsidRPr="00FD2F6D">
        <w:t xml:space="preserve"> Neither WSDOT or the </w:t>
      </w:r>
      <w:r w:rsidR="00DC7C07">
        <w:t>Skokomish Tribe</w:t>
      </w:r>
      <w:r w:rsidRPr="00FD2F6D">
        <w:t xml:space="preserve"> appear to have conducted any activities in Area 4, which includes steeper western portions of the Site that are densely covered with forest and vegetation.</w:t>
      </w:r>
    </w:p>
    <w:p w14:paraId="7CF250F3" w14:textId="77777777" w:rsidR="00774F45" w:rsidRPr="00FD2F6D" w:rsidRDefault="00774F45" w:rsidP="00774F45">
      <w:pPr>
        <w:pStyle w:val="RptBodyText"/>
      </w:pPr>
      <w:r w:rsidRPr="00FD2F6D">
        <w:t>Several environmental investigations and remedial activities have been conducted on the Site since 1995. Much of the soil identified as exceeding screening levels in Areas 1, 2, and 3 during previous investigations was removed during remediation activities conducted in 2014</w:t>
      </w:r>
      <w:r>
        <w:t xml:space="preserve"> as part of Ecology’s VCP</w:t>
      </w:r>
      <w:r w:rsidRPr="00FD2F6D">
        <w:t xml:space="preserve">. </w:t>
      </w:r>
      <w:r>
        <w:t xml:space="preserve">Approximately 1,850 tons of </w:t>
      </w:r>
      <w:r w:rsidRPr="003E508E">
        <w:t xml:space="preserve">impacted soil were removed and disposed of </w:t>
      </w:r>
      <w:r>
        <w:t xml:space="preserve">offsite during the </w:t>
      </w:r>
      <w:r w:rsidRPr="00FD2F6D">
        <w:t>remediation activities in 2014</w:t>
      </w:r>
      <w:r>
        <w:t>.</w:t>
      </w:r>
    </w:p>
    <w:p w14:paraId="77187F33" w14:textId="77777777" w:rsidR="00774F45" w:rsidRPr="00FD2F6D" w:rsidRDefault="00774F45" w:rsidP="00774F45">
      <w:pPr>
        <w:pStyle w:val="RptBodyText"/>
      </w:pPr>
      <w:r w:rsidRPr="00FD2F6D">
        <w:t>The objective of the RI activities reported herein is to determine the current nature and extent of contamination and characterize the Site with the ultimate goal of attaining a “no further action” (NFA) status with Ecology in accordance with MTCA.</w:t>
      </w:r>
    </w:p>
    <w:p w14:paraId="01D4B800" w14:textId="77777777" w:rsidR="00774F45" w:rsidRPr="00FD2F6D" w:rsidRDefault="00774F45" w:rsidP="00774F45">
      <w:pPr>
        <w:pStyle w:val="RptBodyText"/>
      </w:pPr>
      <w:r w:rsidRPr="00FD2F6D">
        <w:t xml:space="preserve">RI activities were completed at the Site in June, July, and August 2019 in accordance with the </w:t>
      </w:r>
      <w:r w:rsidRPr="00FD2F6D">
        <w:rPr>
          <w:spacing w:val="-2"/>
        </w:rPr>
        <w:t xml:space="preserve">Ecology-approved </w:t>
      </w:r>
      <w:r w:rsidRPr="00FD2F6D">
        <w:t xml:space="preserve">RI Work Plan (Ecology 2019a). RI activities included geophysical surveying, test pitting, installation of soil borings, and soil and groundwater sampling. The scope of RI soil and groundwater investigations was developed based on a review of Site use and previous investigations. Soil constituent of interest (COI) categories analyzed include </w:t>
      </w:r>
      <w:r>
        <w:t xml:space="preserve">total petroleum hydrocarbon (TPH) as </w:t>
      </w:r>
      <w:r w:rsidRPr="00FD2F6D">
        <w:t xml:space="preserve">gasoline range organics (GRO), </w:t>
      </w:r>
      <w:r>
        <w:t xml:space="preserve">TPH as </w:t>
      </w:r>
      <w:r w:rsidRPr="00FD2F6D">
        <w:t xml:space="preserve">diesel range organics (DRO), </w:t>
      </w:r>
      <w:r>
        <w:t>TPH as heavy oils</w:t>
      </w:r>
      <w:r w:rsidRPr="00FD2F6D">
        <w:t>, metals, volatile organic compounds (VOCs), s</w:t>
      </w:r>
      <w:r w:rsidRPr="00FD2F6D">
        <w:rPr>
          <w:spacing w:val="-2"/>
        </w:rPr>
        <w:t>emivolatile organic compounds (SVOCs), p</w:t>
      </w:r>
      <w:r w:rsidRPr="00FD2F6D">
        <w:t xml:space="preserve">olycyclic aromatic hydrocarbons (PAHs), and chlorinated dibenzo-p-dioxins and chlorinated dibenzofurans (dioxins/furans). Groundwater COI categories analyzed include GRO, DRO, </w:t>
      </w:r>
      <w:r>
        <w:t>heavy oils</w:t>
      </w:r>
      <w:r w:rsidRPr="00FD2F6D">
        <w:t xml:space="preserve">, metals, and VOCs. </w:t>
      </w:r>
    </w:p>
    <w:p w14:paraId="58A37DD6" w14:textId="77777777" w:rsidR="00774F45" w:rsidRPr="00FD2F6D" w:rsidRDefault="00774F45" w:rsidP="00774F45">
      <w:pPr>
        <w:pStyle w:val="RptBodyText"/>
      </w:pPr>
      <w:r w:rsidRPr="00FD2F6D">
        <w:t xml:space="preserve">Soils encountered during RI activities were primarily fill consisting of varying mixtures of gravels, sands, and silts. Petroleum hydrocarbons (GRO, DRO, and </w:t>
      </w:r>
      <w:r>
        <w:t>heavy oils</w:t>
      </w:r>
      <w:r w:rsidRPr="00FD2F6D">
        <w:t>), lead, and dioxins/furans are the primary Site-related COIs in soil and were identified as chemicals of potential concern (COPCs). Impacts attributable to historical activities were detected at various locations across Areas 1, 2, and 3. Historical site evaluation and RI data indicate that potential sources are historical management of fluids used in vehicle maintenance including petroleum products stored in former USTs (Area 1), waste and material dumping (Area 2), fill (Areas 1, 2, and 3), landslide debris brought onto the property (Area 3), and former debris burning (Area 3).</w:t>
      </w:r>
    </w:p>
    <w:p w14:paraId="131F7089" w14:textId="143904FD" w:rsidR="00774F45" w:rsidRPr="00FD2F6D" w:rsidRDefault="00774F45" w:rsidP="00774F45">
      <w:pPr>
        <w:pStyle w:val="RptBodyText"/>
      </w:pPr>
      <w:r w:rsidRPr="00FD2F6D">
        <w:t xml:space="preserve">Groundwater flows in an easterly to southeasterly direction generally toward Hood Canal, which is consistent with previously reported groundwater flow direction. The groundwater at the Site is </w:t>
      </w:r>
      <w:r w:rsidRPr="00FD2F6D">
        <w:rPr>
          <w:rFonts w:cs="Arial"/>
        </w:rPr>
        <w:t xml:space="preserve">unconfined and influenced by precipitation and surface infiltration. Trace concentrations of </w:t>
      </w:r>
      <w:r w:rsidRPr="00FD2F6D">
        <w:t>petroleum hydrocarbons (DRO) attributable to historical activities were detected in five locations in Area 1 and one location in Area 3. Potential petroleum hydrocarbon sources are historical management of fluids used in vehicle maintenance (Area</w:t>
      </w:r>
      <w:r w:rsidR="0030087E">
        <w:t> </w:t>
      </w:r>
      <w:r w:rsidRPr="00FD2F6D">
        <w:t xml:space="preserve">1), fill (Areas 1 and 3), and landslide debris brought onto the property (Area 3). </w:t>
      </w:r>
      <w:r w:rsidRPr="00FD2F6D">
        <w:rPr>
          <w:rFonts w:cs="Arial"/>
        </w:rPr>
        <w:t xml:space="preserve">Trace concentrations of </w:t>
      </w:r>
      <w:r w:rsidRPr="00FD2F6D">
        <w:t>petroleum hydrocarbons (DRO) and VOCs (toluene and trichloroethene) attributable to historical activities were detected in groundwater in Area 1 at very low levels below analytical reporting limits and substantially below health-based drinking water standards. Likely sources of trace petroleum hydrocarbons and VOCs observed in groundwater are fluids previously managed and used in vehicle maintenance including petroleum products stored in former USTs and solvents historically used for parts washing/degreasing. A single exceedance of Method B cleanup levels for thallium in one temporary well is attributable to soil particulates entrained in groundwater samples and is</w:t>
      </w:r>
      <w:r w:rsidRPr="00FD2F6D">
        <w:rPr>
          <w:b/>
        </w:rPr>
        <w:t xml:space="preserve"> </w:t>
      </w:r>
      <w:r w:rsidRPr="00FD2F6D">
        <w:t>not representative of aquifer water quality. Based on these RI findings, no COPCs are identified for groundwater.</w:t>
      </w:r>
    </w:p>
    <w:p w14:paraId="382CF091" w14:textId="4AD6B217" w:rsidR="00774F45" w:rsidRPr="00FD2F6D" w:rsidRDefault="00774F45" w:rsidP="00774F45">
      <w:pPr>
        <w:pStyle w:val="RptBodyText"/>
      </w:pPr>
      <w:r w:rsidRPr="00FD2F6D">
        <w:t>A site-specific Terrestrial Ecological Evaluation (TEE) was performed for the Site. Petroleum hydrocarbons (GRO and DRO), lead, and dioxins/furans were identified as contaminants of ecological concern (COECs) in soil. The terrestrial ecological receptor groups of concern include vascular plants, soil-dwelling invertebrates, ground-feeding birds, and ground</w:t>
      </w:r>
      <w:r w:rsidR="006D065B">
        <w:noBreakHyphen/>
      </w:r>
      <w:r w:rsidRPr="00FD2F6D">
        <w:t xml:space="preserve">feeding small mammals. Potentially complete exposure pathways that exist at the Site include terrestrial species contact with soil and/or ingestion of soil or soil-dwelling invertebrates. In addition, plants may also take up contaminants in the soil. The exposure routes include direct contact and direct ingestion for soil invertebrates, uptake by plants, and ingestion of soil and dietary items for wildlife. </w:t>
      </w:r>
      <w:r w:rsidRPr="00706D75">
        <w:rPr>
          <w:szCs w:val="18"/>
        </w:rPr>
        <w:t>Ecology’s published ecological indicator soil concentrations (EISCs) for surrogate ecological receptors were selected as protective of plants, soil biota, and wildlife</w:t>
      </w:r>
      <w:r w:rsidRPr="00706D75" w:rsidDel="00667BA9">
        <w:rPr>
          <w:szCs w:val="18"/>
        </w:rPr>
        <w:t xml:space="preserve"> </w:t>
      </w:r>
      <w:r w:rsidRPr="00706D75">
        <w:rPr>
          <w:szCs w:val="18"/>
        </w:rPr>
        <w:t>at the Site.</w:t>
      </w:r>
    </w:p>
    <w:p w14:paraId="2F15B861" w14:textId="77777777" w:rsidR="00774F45" w:rsidRPr="00FD2F6D" w:rsidRDefault="00774F45" w:rsidP="00774F45">
      <w:pPr>
        <w:pStyle w:val="RptBodyText"/>
      </w:pPr>
      <w:r w:rsidRPr="00FD2F6D">
        <w:t>A conceptual site model (CSM) was prepared for the Site based on the information and data collected during the RI (discussed above) and prior investigations. Potentially complete human health exposure pathways identified for Site-related constituents in soil and potential receptors include incidental ingestion of and dermal contact with constituents in Site soil by current and future commercial workers, construction workers, and trespassers. Potentially complete exposure pathways identified for Site groundwater and potential receptors include ingestion of and dermal contact with constituents in groundwater on Site by future commercial workers, and potential future adult and child residents. These exposure pathways were evaluated for groundwater in planning the RI and selecting screening levels. However, groundwater was determined to be minimally affected in one small, localized area of the Site substantially below standards established for protection of human health.</w:t>
      </w:r>
    </w:p>
    <w:p w14:paraId="6F4F2293" w14:textId="725CAEA3" w:rsidR="00774F45" w:rsidRPr="00FD2F6D" w:rsidRDefault="00774F45" w:rsidP="00774F45">
      <w:pPr>
        <w:pStyle w:val="RptBodyText"/>
      </w:pPr>
      <w:r w:rsidRPr="00FD2F6D">
        <w:rPr>
          <w:spacing w:val="-2"/>
        </w:rPr>
        <w:t>Soil cleanup standards protective of human health and ecological receptors</w:t>
      </w:r>
      <w:r w:rsidRPr="00FD2F6D">
        <w:t xml:space="preserve"> are proposed for the Site. </w:t>
      </w:r>
      <w:r w:rsidRPr="00FD2F6D">
        <w:rPr>
          <w:spacing w:val="-2"/>
        </w:rPr>
        <w:t>The p</w:t>
      </w:r>
      <w:r w:rsidRPr="00FD2F6D">
        <w:t xml:space="preserve">roposed soil cleanup levels are based on the current and potential future receptors and exposure pathways for human health and the environment presented above, and potentially </w:t>
      </w:r>
      <w:r w:rsidRPr="00FD2F6D">
        <w:rPr>
          <w:spacing w:val="-2"/>
        </w:rPr>
        <w:t>applicable or relevant and appropriate requirements (ARARs)</w:t>
      </w:r>
      <w:r w:rsidRPr="00FD2F6D">
        <w:t xml:space="preserve">. Proposed soil cleanup levels are conservative (protective), representing the most stringent of the potentially relevant and appropriate criteria for the Site. For each COPC, the proposed cleanup level is selected as the lowest of the human health soil screening level and the EISC for ecological receptors. </w:t>
      </w:r>
      <w:r w:rsidRPr="00FD2F6D">
        <w:rPr>
          <w:spacing w:val="-2"/>
        </w:rPr>
        <w:t>Note that no groundwater COPCs were identified; therefore, cleanup standards are not proposed for groundwater.</w:t>
      </w:r>
    </w:p>
    <w:p w14:paraId="49EE4A3A" w14:textId="483FFEBB" w:rsidR="00774F45" w:rsidRPr="00FD2F6D" w:rsidRDefault="00774F45" w:rsidP="00774F45">
      <w:pPr>
        <w:pStyle w:val="RptBodyText"/>
      </w:pPr>
      <w:r w:rsidRPr="00FD2F6D">
        <w:t>Compliance with proposed Site soil cleanup levels was evaluated by direct sample comparison (maximum concentrations) and by MTCA’s statistical method specified in WAC</w:t>
      </w:r>
      <w:r w:rsidR="008C08A4">
        <w:t> </w:t>
      </w:r>
      <w:r w:rsidRPr="00FD2F6D">
        <w:t>173-340-740(7) and described in Ecology’s statistical guidance (Ecology 1992). COPCs above the proposed soil cleanup levels are: GRO, DRO, lead, bis(2-chloroethyl) ether, and total dioxins/furans. These impacts are attributable to historical activities at various locations across Areas 1, 2, and 3. Historical site evaluation and RI data indicate that potential sources are historical management of fluids used in vehicle maintenance including petroleum products stored in former USTs (Area 1), waste and material dumping (Area 2), fill (Areas 1, 2, and 3), exterior lead-based paint on the former maintenance building demolished in 2001 (Area 1), landslide debris brought onto the property (Area 3), and former debris burning (Area 3).</w:t>
      </w:r>
    </w:p>
    <w:p w14:paraId="0991720E" w14:textId="2D6C8898" w:rsidR="00153AC5" w:rsidRDefault="00336218" w:rsidP="00153AC5">
      <w:pPr>
        <w:pStyle w:val="RptBodyText"/>
      </w:pPr>
      <w:r>
        <w:t>The</w:t>
      </w:r>
      <w:r w:rsidRPr="00FD2F6D">
        <w:t xml:space="preserve"> </w:t>
      </w:r>
      <w:r w:rsidR="00774F45" w:rsidRPr="00FD2F6D">
        <w:t>RI</w:t>
      </w:r>
      <w:r>
        <w:t xml:space="preserve"> presented herein</w:t>
      </w:r>
      <w:r w:rsidR="00774F45" w:rsidRPr="00FD2F6D">
        <w:t xml:space="preserve"> provides a characterization of the nature and extent of Site-related chemicals in soil and groundwater across the Site and provides sufficient information to evaluate and select a technically feasible cleanup alternative. </w:t>
      </w:r>
    </w:p>
    <w:p w14:paraId="20F5CCD1" w14:textId="347C56BB" w:rsidR="00C5611F" w:rsidRDefault="00772528" w:rsidP="00774F45">
      <w:pPr>
        <w:pStyle w:val="RptBodyText"/>
      </w:pPr>
      <w:r>
        <w:t xml:space="preserve">The </w:t>
      </w:r>
      <w:r w:rsidR="00B16EB4">
        <w:t xml:space="preserve">FS </w:t>
      </w:r>
      <w:r w:rsidR="00236556">
        <w:t xml:space="preserve">also presented herein </w:t>
      </w:r>
      <w:r w:rsidR="00B16EB4">
        <w:t xml:space="preserve">was </w:t>
      </w:r>
      <w:r w:rsidR="00F14D95">
        <w:t xml:space="preserve">conducted for the Site based on the </w:t>
      </w:r>
      <w:r w:rsidR="004614C2">
        <w:t xml:space="preserve">pre-RI and </w:t>
      </w:r>
      <w:r w:rsidR="00B52E4F">
        <w:t xml:space="preserve">RI data. </w:t>
      </w:r>
      <w:r w:rsidR="00B503F0">
        <w:t xml:space="preserve">Four remedial alternatives </w:t>
      </w:r>
      <w:r w:rsidR="00224BC4">
        <w:t>were developed</w:t>
      </w:r>
      <w:r w:rsidR="0041480C">
        <w:t xml:space="preserve"> to address soil contamination at the Site</w:t>
      </w:r>
      <w:r w:rsidR="00305EBC">
        <w:t xml:space="preserve">, </w:t>
      </w:r>
      <w:r w:rsidR="00224BC4">
        <w:t xml:space="preserve">which </w:t>
      </w:r>
      <w:r w:rsidR="001739C4">
        <w:t>combined</w:t>
      </w:r>
      <w:r w:rsidR="00224BC4">
        <w:t xml:space="preserve"> </w:t>
      </w:r>
      <w:r w:rsidR="001739C4">
        <w:t>different technologies</w:t>
      </w:r>
      <w:r w:rsidR="00E64A2A">
        <w:t xml:space="preserve">, and </w:t>
      </w:r>
      <w:r w:rsidR="00A870F4">
        <w:t>consist of the following:</w:t>
      </w:r>
    </w:p>
    <w:p w14:paraId="44214E43" w14:textId="77777777" w:rsidR="00D7091C" w:rsidRDefault="00A870F4" w:rsidP="002D2365">
      <w:pPr>
        <w:pStyle w:val="RptBullet-Level1"/>
      </w:pPr>
      <w:r>
        <w:t xml:space="preserve">Alternative 1 – </w:t>
      </w:r>
      <w:r w:rsidR="00D7091C">
        <w:t xml:space="preserve">Complete removal of cleanup level exceedances </w:t>
      </w:r>
    </w:p>
    <w:p w14:paraId="7E972D88" w14:textId="3D8E077E" w:rsidR="00D7091C" w:rsidRDefault="00D7091C" w:rsidP="002D2365">
      <w:pPr>
        <w:pStyle w:val="RptBullet-Level1"/>
      </w:pPr>
      <w:r>
        <w:t>Alternative 2 – Partial removal of cleanup level exceedances with caps/covers and institutional control</w:t>
      </w:r>
      <w:r w:rsidR="00205B40">
        <w:t>s</w:t>
      </w:r>
    </w:p>
    <w:p w14:paraId="0CC24A70" w14:textId="518935BA" w:rsidR="00205B40" w:rsidRPr="00FD2F6D" w:rsidRDefault="00205B40" w:rsidP="002D2365">
      <w:pPr>
        <w:pStyle w:val="RptBullet-Level1"/>
      </w:pPr>
      <w:r>
        <w:t>Alternative 3 – Caps/covers with institutional controls</w:t>
      </w:r>
    </w:p>
    <w:p w14:paraId="27B46B4B" w14:textId="4AAEAA79" w:rsidR="00A870F4" w:rsidRDefault="00A870F4" w:rsidP="002D2365">
      <w:pPr>
        <w:pStyle w:val="RptBullet-Level1"/>
      </w:pPr>
      <w:r>
        <w:t xml:space="preserve">Alternative 4 – No </w:t>
      </w:r>
      <w:r w:rsidR="00205B40">
        <w:t>a</w:t>
      </w:r>
      <w:r>
        <w:t>ction</w:t>
      </w:r>
    </w:p>
    <w:p w14:paraId="6E2BA9B4" w14:textId="158F83BC" w:rsidR="00BF65DE" w:rsidRDefault="00554033" w:rsidP="002D2365">
      <w:pPr>
        <w:pStyle w:val="RptBodyText"/>
      </w:pPr>
      <w:r>
        <w:t>The MTCA and other threshold criteria include whether the alternative is protective of human health and the environment, complies with cleanup standards, complies with ARARs, provides for a reasonable restoration timeframe, and provides for compliance monitoring.</w:t>
      </w:r>
      <w:r w:rsidR="003910B2">
        <w:t xml:space="preserve"> </w:t>
      </w:r>
      <w:r w:rsidR="00783465" w:rsidRPr="00FF17F0">
        <w:t xml:space="preserve">The MTCA cleanup regulations provide the framework for </w:t>
      </w:r>
      <w:r w:rsidR="007A48B2">
        <w:t>a</w:t>
      </w:r>
      <w:r w:rsidR="007A48B2" w:rsidRPr="00FF17F0">
        <w:t xml:space="preserve"> </w:t>
      </w:r>
      <w:r w:rsidR="009B4C57">
        <w:t>disproportionate cost analysis (DCA) in WAC 173-</w:t>
      </w:r>
      <w:r w:rsidR="001E4A7B">
        <w:t>340-360 (3)(</w:t>
      </w:r>
      <w:r>
        <w:t>f</w:t>
      </w:r>
      <w:r w:rsidR="001E4A7B">
        <w:t xml:space="preserve">). </w:t>
      </w:r>
      <w:r w:rsidR="00606C30">
        <w:t xml:space="preserve">The DCA </w:t>
      </w:r>
      <w:r w:rsidR="003157E5">
        <w:t xml:space="preserve">evaluates the cleanup action alternatives to </w:t>
      </w:r>
      <w:r w:rsidR="00B84C69">
        <w:t>determine the alternative that uses permanent solutions to the maximum extent practicable</w:t>
      </w:r>
      <w:r w:rsidR="003D0FBF">
        <w:t xml:space="preserve"> while achieving cleanup standards within a reasonable restoration timeframe</w:t>
      </w:r>
      <w:r w:rsidR="00A874BD">
        <w:t xml:space="preserve"> and cost</w:t>
      </w:r>
      <w:r w:rsidR="00B84C69">
        <w:t>.</w:t>
      </w:r>
      <w:r w:rsidR="003D0FBF">
        <w:t xml:space="preserve"> </w:t>
      </w:r>
    </w:p>
    <w:p w14:paraId="16D98632" w14:textId="7F8DE320" w:rsidR="00EE19C9" w:rsidRDefault="0027629B" w:rsidP="002D2365">
      <w:pPr>
        <w:pStyle w:val="RptBodyText"/>
      </w:pPr>
      <w:r>
        <w:t xml:space="preserve">Costs and benefits </w:t>
      </w:r>
      <w:r w:rsidR="00156FC5">
        <w:t xml:space="preserve">of </w:t>
      </w:r>
      <w:r w:rsidR="00D55237">
        <w:t>each alternative were compared and Alternative 3 was selected</w:t>
      </w:r>
      <w:r w:rsidR="004D77F8">
        <w:t xml:space="preserve"> as the preferred cleanup action remedy</w:t>
      </w:r>
      <w:r w:rsidR="00D55237">
        <w:t xml:space="preserve">. It has the lowest cost of the alternatives while still being protective of human and ecological receptors. </w:t>
      </w:r>
    </w:p>
    <w:p w14:paraId="577D81D5" w14:textId="6E7D70A6" w:rsidR="00FF17F0" w:rsidRDefault="00B36950" w:rsidP="002D2365">
      <w:pPr>
        <w:pStyle w:val="RptBodyText"/>
      </w:pPr>
      <w:r w:rsidRPr="00510EF6">
        <w:t xml:space="preserve">The preferred cleanup action alternative </w:t>
      </w:r>
      <w:r w:rsidR="00CE6349" w:rsidRPr="00510EF6">
        <w:t xml:space="preserve">complies with </w:t>
      </w:r>
      <w:r w:rsidR="00F012E2">
        <w:t>each of</w:t>
      </w:r>
      <w:r w:rsidR="00CE6349" w:rsidRPr="00510EF6">
        <w:t xml:space="preserve"> the applicable remedy requirements under MTCA and provides the </w:t>
      </w:r>
      <w:r w:rsidR="00510EF6" w:rsidRPr="00510EF6">
        <w:t>greatest benefit for the cost based on the DCA.</w:t>
      </w:r>
      <w:r w:rsidR="0009336F">
        <w:t xml:space="preserve"> Alternative 3 involves</w:t>
      </w:r>
      <w:r w:rsidR="00A31957">
        <w:t xml:space="preserve"> implementation of</w:t>
      </w:r>
      <w:r w:rsidR="0009336F">
        <w:t xml:space="preserve"> institutional controls </w:t>
      </w:r>
      <w:r w:rsidR="004878C5">
        <w:t xml:space="preserve">in the form of </w:t>
      </w:r>
      <w:r w:rsidR="0009336F">
        <w:t xml:space="preserve">an environmental covenant </w:t>
      </w:r>
      <w:r w:rsidR="00F95DFF">
        <w:t xml:space="preserve">to be </w:t>
      </w:r>
      <w:r w:rsidR="004878C5">
        <w:t>record</w:t>
      </w:r>
      <w:r w:rsidR="00F95DFF">
        <w:t>ed</w:t>
      </w:r>
      <w:r w:rsidR="004878C5">
        <w:t xml:space="preserve"> </w:t>
      </w:r>
      <w:r w:rsidR="0009336F">
        <w:t>on the deed</w:t>
      </w:r>
      <w:r w:rsidR="00030C4F">
        <w:t>, which</w:t>
      </w:r>
      <w:r w:rsidR="004878C5">
        <w:t xml:space="preserve"> will </w:t>
      </w:r>
      <w:r w:rsidR="00FF798D">
        <w:t xml:space="preserve">govern </w:t>
      </w:r>
      <w:r w:rsidR="00342D59">
        <w:t xml:space="preserve">future land use of the Site. Additionally, </w:t>
      </w:r>
      <w:r w:rsidR="0070245F" w:rsidRPr="005F3808">
        <w:t xml:space="preserve">engineered soil covers, pavement, and structures </w:t>
      </w:r>
      <w:r w:rsidR="0070245F">
        <w:t xml:space="preserve">would be used </w:t>
      </w:r>
      <w:r w:rsidR="0070245F" w:rsidRPr="005F3808">
        <w:t>as part of the planned site redevelopment</w:t>
      </w:r>
      <w:r w:rsidR="0070245F">
        <w:t xml:space="preserve"> </w:t>
      </w:r>
      <w:r w:rsidR="0070245F" w:rsidRPr="005F3808">
        <w:t xml:space="preserve">to provide isolation of </w:t>
      </w:r>
      <w:r w:rsidR="0070245F" w:rsidRPr="000972B1">
        <w:t>residual</w:t>
      </w:r>
      <w:r w:rsidR="0070245F" w:rsidRPr="005F3808">
        <w:t xml:space="preserve"> hazardous substances on </w:t>
      </w:r>
      <w:r w:rsidR="0070245F">
        <w:t>S</w:t>
      </w:r>
      <w:r w:rsidR="0070245F" w:rsidRPr="005F3808">
        <w:t>ite</w:t>
      </w:r>
      <w:r w:rsidR="0070245F">
        <w:t>.</w:t>
      </w:r>
    </w:p>
    <w:p w14:paraId="37DF124F" w14:textId="7608FCAD" w:rsidR="00EC1547" w:rsidRPr="00510EF6" w:rsidRDefault="00EC1547" w:rsidP="002D2365">
      <w:pPr>
        <w:pStyle w:val="RptBodyText"/>
      </w:pPr>
      <w:r>
        <w:t xml:space="preserve">The preferred cleanup action alternative for soil meets the minimum </w:t>
      </w:r>
      <w:r w:rsidR="00867907">
        <w:t xml:space="preserve">requirements for selection under MTCA because it is </w:t>
      </w:r>
      <w:r w:rsidR="00712647">
        <w:t>protective of human health and the environment, complies with cleanup standards, complies with ARARs, provides for a reasonable restoration timeframe, provides for compliance monitoring</w:t>
      </w:r>
      <w:r w:rsidR="008422EE">
        <w:t>, and considers public concerns</w:t>
      </w:r>
      <w:r w:rsidR="00712647">
        <w:t>.</w:t>
      </w:r>
    </w:p>
    <w:p w14:paraId="1962ECE4" w14:textId="7508816D" w:rsidR="00774F45" w:rsidRDefault="003157FA" w:rsidP="002D2365">
      <w:pPr>
        <w:pStyle w:val="RptBodyText"/>
      </w:pPr>
      <w:r w:rsidRPr="003157FA">
        <w:t>The CAP describes the process for implementing the selected alternative. Institutional controls will be implemented in the form of an environmental covenant that will restrict future land use. Caps and covers will be implemented during Site redevelopment to isolate soil with residual contaminants from Site receptors. It is anticipated that this remedy will be completed within one to two years from receiving the Ecology opinion letter on the RI/FS/CAP. The CAP includes an SMP, HASP, and compliance monitoring plan. These plans provide for management of soils, worker protection, and restoration of caps and covers during implementation of the remedy and during and following completion of any future subsurface work within the covenant areas at the Site</w:t>
      </w:r>
      <w:r w:rsidR="00C37863">
        <w:t xml:space="preserve">. </w:t>
      </w:r>
    </w:p>
    <w:p w14:paraId="4B7CB5DD" w14:textId="77777777" w:rsidR="007F768C" w:rsidRPr="00FD2F6D" w:rsidRDefault="007F768C" w:rsidP="00BB5E36">
      <w:pPr>
        <w:pStyle w:val="RptHeading-Level1"/>
      </w:pPr>
      <w:bookmarkStart w:id="16" w:name="_Toc59019812"/>
      <w:bookmarkStart w:id="17" w:name="_Toc98847316"/>
      <w:r w:rsidRPr="00FD2F6D">
        <w:t>Introduction</w:t>
      </w:r>
      <w:bookmarkEnd w:id="16"/>
      <w:bookmarkEnd w:id="17"/>
    </w:p>
    <w:p w14:paraId="0A59B6E1" w14:textId="6ABB592F" w:rsidR="007F768C" w:rsidRPr="00FD2F6D" w:rsidRDefault="007F768C" w:rsidP="00BB5E36">
      <w:pPr>
        <w:pStyle w:val="RptBodyText"/>
      </w:pPr>
      <w:bookmarkStart w:id="18" w:name="_Hlk42956087"/>
      <w:r w:rsidRPr="00FD2F6D">
        <w:t xml:space="preserve">This </w:t>
      </w:r>
      <w:r w:rsidR="00C96424">
        <w:t>RI/FS/CAP</w:t>
      </w:r>
      <w:r w:rsidRPr="00FD2F6D">
        <w:t xml:space="preserve"> report has been prepared for the former WSDOT Potlatch Maintenance Facility in Skokomish, Washington (the Site) </w:t>
      </w:r>
      <w:bookmarkEnd w:id="18"/>
      <w:r w:rsidRPr="00FD2F6D">
        <w:t>on behalf of the Skokomish Tribe in accordance with MTCA</w:t>
      </w:r>
      <w:r w:rsidR="00436DF1">
        <w:t xml:space="preserve"> </w:t>
      </w:r>
      <w:r w:rsidR="005E764C">
        <w:t>(</w:t>
      </w:r>
      <w:r w:rsidRPr="00FD2F6D">
        <w:t xml:space="preserve">WAC 173-340). The 14.75-acre Site is located at 19811 North U.S. Highway 101 at milepost 336.2 in Skokomish, Washington (Figure 1). The Ecology is providing review and assistance for this independent cleanup Site through Ecology’s </w:t>
      </w:r>
      <w:r>
        <w:t>VCP</w:t>
      </w:r>
      <w:r w:rsidRPr="00FD2F6D">
        <w:t xml:space="preserve"> (Facility Site</w:t>
      </w:r>
      <w:r w:rsidR="002D2365">
        <w:t> </w:t>
      </w:r>
      <w:r w:rsidRPr="00FD2F6D">
        <w:t xml:space="preserve">#14549, Cleanup Site #12397, VCP Project #SW1405). </w:t>
      </w:r>
    </w:p>
    <w:p w14:paraId="2EC9962E" w14:textId="77777777" w:rsidR="007F768C" w:rsidRPr="00FD2F6D" w:rsidRDefault="007F768C" w:rsidP="00BB5E36">
      <w:pPr>
        <w:pStyle w:val="RptHeading-Level2"/>
      </w:pPr>
      <w:bookmarkStart w:id="19" w:name="_Toc59019813"/>
      <w:bookmarkStart w:id="20" w:name="_Toc98847317"/>
      <w:r w:rsidRPr="00FD2F6D">
        <w:t>Purpose</w:t>
      </w:r>
      <w:bookmarkEnd w:id="19"/>
      <w:bookmarkEnd w:id="20"/>
    </w:p>
    <w:p w14:paraId="06931E48" w14:textId="25DC6139" w:rsidR="007F768C" w:rsidRPr="00FD2F6D" w:rsidRDefault="007F768C" w:rsidP="00BB5E36">
      <w:pPr>
        <w:pStyle w:val="RptBodyText"/>
      </w:pPr>
      <w:bookmarkStart w:id="21" w:name="_Hlk42955977"/>
      <w:r w:rsidRPr="00FD2F6D">
        <w:t>The purpose of the report is to determine the current nature and extent of contamination and characterize the Site with the ultimate the goal of attaining a</w:t>
      </w:r>
      <w:r w:rsidR="00231F58">
        <w:t>n</w:t>
      </w:r>
      <w:r w:rsidRPr="00FD2F6D">
        <w:t xml:space="preserve"> NFA status with Ecology in accordance with MTCA (WAC 173-340). Ultimately, obtaining an NFA status will facilitate the placement of the property into trust for the </w:t>
      </w:r>
      <w:r w:rsidR="00DC7C07">
        <w:t>Skokomish Tribe</w:t>
      </w:r>
      <w:r w:rsidRPr="00FD2F6D">
        <w:t xml:space="preserve"> by the U.S. Department of Interior (DOI) and will also support development and use of the Site in a manner protective of human health and the environment. RI activities were completed at the Site in 2019 in accordance with the RI Work Plan (Exponent 2019) that </w:t>
      </w:r>
      <w:r w:rsidRPr="00FD2F6D">
        <w:rPr>
          <w:spacing w:val="-2"/>
        </w:rPr>
        <w:t xml:space="preserve">Ecology concurred with on September 27, 2019 (Ecology 2019). </w:t>
      </w:r>
      <w:bookmarkEnd w:id="21"/>
      <w:r w:rsidRPr="00FD2F6D">
        <w:t xml:space="preserve"> </w:t>
      </w:r>
    </w:p>
    <w:p w14:paraId="54FD7324" w14:textId="77777777" w:rsidR="007F768C" w:rsidRPr="00FD2F6D" w:rsidRDefault="007F768C" w:rsidP="00BB5E36">
      <w:pPr>
        <w:pStyle w:val="RptHeading-Level2"/>
      </w:pPr>
      <w:bookmarkStart w:id="22" w:name="_Toc59019814"/>
      <w:bookmarkStart w:id="23" w:name="_Toc98847318"/>
      <w:r w:rsidRPr="00FD2F6D">
        <w:t>Report Organization</w:t>
      </w:r>
      <w:bookmarkEnd w:id="22"/>
      <w:bookmarkEnd w:id="23"/>
    </w:p>
    <w:p w14:paraId="1A3714C1" w14:textId="38532FE1" w:rsidR="007F768C" w:rsidRPr="00FD2F6D" w:rsidRDefault="007F768C" w:rsidP="00BB5E36">
      <w:pPr>
        <w:pStyle w:val="RptBodyText"/>
      </w:pPr>
      <w:r w:rsidRPr="00FD2F6D">
        <w:t>This report has been prepared in accordance with Ecology’s RI Checklist Guidance document (Ecology 2016, Publication No. 16-09-006)</w:t>
      </w:r>
      <w:r w:rsidR="00857225">
        <w:t xml:space="preserve">, </w:t>
      </w:r>
      <w:r w:rsidR="00A87093" w:rsidRPr="002F24DF">
        <w:t>FS</w:t>
      </w:r>
      <w:r w:rsidR="00857225" w:rsidRPr="00C27C10">
        <w:t xml:space="preserve"> Guidance document</w:t>
      </w:r>
      <w:r w:rsidR="00742CE5" w:rsidRPr="002F24DF">
        <w:t xml:space="preserve"> </w:t>
      </w:r>
      <w:r w:rsidR="00742CE5" w:rsidRPr="00C27C10">
        <w:t>(Ecology 2016, Publication No. 16-09-007)</w:t>
      </w:r>
      <w:r w:rsidR="00857225" w:rsidRPr="00C27C10">
        <w:t xml:space="preserve">, and </w:t>
      </w:r>
      <w:r w:rsidR="00A87093" w:rsidRPr="002F24DF">
        <w:t>CAP</w:t>
      </w:r>
      <w:r w:rsidR="00857225" w:rsidRPr="00C27C10">
        <w:t xml:space="preserve"> Guidance document</w:t>
      </w:r>
      <w:r w:rsidR="00742CE5" w:rsidRPr="00C27C10">
        <w:t xml:space="preserve"> (Ecology 2016, Publication No. 16-09-008</w:t>
      </w:r>
      <w:r w:rsidR="00742CE5" w:rsidRPr="00FD2F6D">
        <w:t>)</w:t>
      </w:r>
      <w:r w:rsidRPr="00FD2F6D">
        <w:t xml:space="preserve"> and includes the following sections:</w:t>
      </w:r>
    </w:p>
    <w:p w14:paraId="4E240070" w14:textId="1751C20E" w:rsidR="007F768C" w:rsidRPr="00FD2F6D" w:rsidRDefault="007F768C" w:rsidP="00BB5E36">
      <w:pPr>
        <w:pStyle w:val="RptBullet-Level1"/>
      </w:pPr>
      <w:r w:rsidRPr="00FD2F6D">
        <w:rPr>
          <w:b/>
        </w:rPr>
        <w:t>Section 2—Site Information.</w:t>
      </w:r>
      <w:r w:rsidRPr="00FD2F6D">
        <w:t xml:space="preserve"> Presents a summary of Site information, including the environmental setting, historical activities and features of the property, previous environmental studies and removal actions at the Site, COIs, and current and potential future use of the property.</w:t>
      </w:r>
    </w:p>
    <w:p w14:paraId="563197BC" w14:textId="77777777" w:rsidR="007F768C" w:rsidRPr="00FD2F6D" w:rsidRDefault="007F768C" w:rsidP="00BB5E36">
      <w:pPr>
        <w:pStyle w:val="RptBullet-Level1"/>
      </w:pPr>
      <w:r w:rsidRPr="00FD2F6D">
        <w:rPr>
          <w:b/>
        </w:rPr>
        <w:t>Section 3—Remedial Investigation Activities.</w:t>
      </w:r>
      <w:r w:rsidRPr="00FD2F6D">
        <w:t xml:space="preserve"> Summarizes the geophysical, soil, and groundwater data collected as part of the RI and identifies Site screening levels that will be used to evaluate the RI data.</w:t>
      </w:r>
    </w:p>
    <w:p w14:paraId="4796F956" w14:textId="77777777" w:rsidR="007F768C" w:rsidRPr="00FD2F6D" w:rsidRDefault="007F768C" w:rsidP="00BB5E36">
      <w:pPr>
        <w:pStyle w:val="RptBullet-Level1"/>
        <w:rPr>
          <w:bCs/>
        </w:rPr>
      </w:pPr>
      <w:r w:rsidRPr="00FD2F6D">
        <w:rPr>
          <w:b/>
          <w:bCs/>
        </w:rPr>
        <w:t>Section 4—</w:t>
      </w:r>
      <w:r w:rsidRPr="00FD2F6D">
        <w:rPr>
          <w:b/>
        </w:rPr>
        <w:t xml:space="preserve">Remedial Investigation Results. </w:t>
      </w:r>
      <w:r w:rsidRPr="00FD2F6D">
        <w:rPr>
          <w:bCs/>
        </w:rPr>
        <w:t xml:space="preserve">Presents and evaluates the results of the RI soil and groundwater investigation. </w:t>
      </w:r>
    </w:p>
    <w:p w14:paraId="05E8439E" w14:textId="368E4B6F" w:rsidR="007F768C" w:rsidRPr="00FD2F6D" w:rsidRDefault="007F768C" w:rsidP="00BB5E36">
      <w:pPr>
        <w:pStyle w:val="RptBullet-Level1"/>
      </w:pPr>
      <w:r w:rsidRPr="00FD2F6D">
        <w:rPr>
          <w:b/>
          <w:bCs/>
        </w:rPr>
        <w:t>Section 5—Terrestrial Ecological Evaluation</w:t>
      </w:r>
      <w:r w:rsidRPr="00FD2F6D">
        <w:t>. Assesses potential impacts to terrestrial ecological receptors at the Site.</w:t>
      </w:r>
    </w:p>
    <w:p w14:paraId="3A76C30A" w14:textId="0BF0AB95" w:rsidR="007F768C" w:rsidRPr="00FD2F6D" w:rsidRDefault="007F768C" w:rsidP="00BB5E36">
      <w:pPr>
        <w:pStyle w:val="RptBullet-Level1"/>
      </w:pPr>
      <w:r w:rsidRPr="00FD2F6D">
        <w:rPr>
          <w:b/>
        </w:rPr>
        <w:t xml:space="preserve">Section 6—Conceptual Site Model. </w:t>
      </w:r>
      <w:r w:rsidRPr="00FD2F6D">
        <w:t>Presents the CSM for the Site, including the potential or suspected sources of hazardous substances, types of hazardous substances, potentially contaminated media, receptors, and potentially complete exposure pathways.</w:t>
      </w:r>
    </w:p>
    <w:p w14:paraId="79252AC6" w14:textId="4800817D" w:rsidR="007F768C" w:rsidRPr="00FD2F6D" w:rsidRDefault="007F768C" w:rsidP="00BB5E36">
      <w:pPr>
        <w:pStyle w:val="RptBullet-Level1"/>
      </w:pPr>
      <w:r w:rsidRPr="00FD2F6D">
        <w:rPr>
          <w:b/>
        </w:rPr>
        <w:t xml:space="preserve">Section 7—Proposed Cleanup Standards. </w:t>
      </w:r>
      <w:r w:rsidRPr="00FD2F6D">
        <w:t xml:space="preserve">Identifies proposed cleanup levels for the Site, points of compliance, and </w:t>
      </w:r>
      <w:r w:rsidRPr="00FD2F6D">
        <w:rPr>
          <w:spacing w:val="-2"/>
        </w:rPr>
        <w:t>ARARs</w:t>
      </w:r>
      <w:r w:rsidRPr="00FD2F6D">
        <w:t xml:space="preserve">. </w:t>
      </w:r>
    </w:p>
    <w:p w14:paraId="21E6ED76" w14:textId="77777777" w:rsidR="007F768C" w:rsidRPr="00FD2F6D" w:rsidRDefault="007F768C" w:rsidP="00BB5E36">
      <w:pPr>
        <w:pStyle w:val="RptBullet-Level1"/>
      </w:pPr>
      <w:r w:rsidRPr="00FD2F6D">
        <w:rPr>
          <w:b/>
        </w:rPr>
        <w:t xml:space="preserve">Section 8—Evaluation of Compliance with Proposed Cleanup Standard. </w:t>
      </w:r>
      <w:r w:rsidRPr="00FD2F6D">
        <w:t xml:space="preserve">Assesses compliance with proposed soil cleanup standards. </w:t>
      </w:r>
    </w:p>
    <w:p w14:paraId="0FD4B7BD" w14:textId="5CC249C1" w:rsidR="00A133C6" w:rsidRDefault="00A133C6" w:rsidP="00BB5E36">
      <w:pPr>
        <w:pStyle w:val="RptBullet-Level1"/>
        <w:rPr>
          <w:b/>
          <w:bCs/>
        </w:rPr>
      </w:pPr>
      <w:r w:rsidRPr="004B2DAC">
        <w:rPr>
          <w:b/>
          <w:bCs/>
        </w:rPr>
        <w:t>Section 9</w:t>
      </w:r>
      <w:r w:rsidR="004B2DAC" w:rsidRPr="004B2DAC">
        <w:rPr>
          <w:b/>
          <w:bCs/>
        </w:rPr>
        <w:t>—Feasibility Study</w:t>
      </w:r>
      <w:r w:rsidR="004B2DAC">
        <w:rPr>
          <w:b/>
          <w:bCs/>
        </w:rPr>
        <w:t xml:space="preserve">. </w:t>
      </w:r>
      <w:r w:rsidR="00152593" w:rsidRPr="00152593">
        <w:t>Presents</w:t>
      </w:r>
      <w:r w:rsidR="00152593">
        <w:t xml:space="preserve"> </w:t>
      </w:r>
      <w:r w:rsidR="00405F59">
        <w:t xml:space="preserve">and evaluates </w:t>
      </w:r>
      <w:r w:rsidR="008D2711">
        <w:t xml:space="preserve">the </w:t>
      </w:r>
      <w:r w:rsidR="000E1198">
        <w:t xml:space="preserve">cleanup action </w:t>
      </w:r>
      <w:r w:rsidR="008D2711">
        <w:t>alternatives</w:t>
      </w:r>
      <w:r w:rsidR="0034059F">
        <w:t xml:space="preserve"> being considered for the Site. </w:t>
      </w:r>
    </w:p>
    <w:p w14:paraId="49D51648" w14:textId="6C35F90F" w:rsidR="00944200" w:rsidRPr="00944200" w:rsidRDefault="00944200" w:rsidP="00944200">
      <w:pPr>
        <w:pStyle w:val="RptBullet-Level1"/>
        <w:rPr>
          <w:b/>
          <w:bCs/>
        </w:rPr>
      </w:pPr>
      <w:r w:rsidRPr="004B2DAC">
        <w:rPr>
          <w:b/>
          <w:bCs/>
        </w:rPr>
        <w:t xml:space="preserve">Section </w:t>
      </w:r>
      <w:r>
        <w:rPr>
          <w:b/>
          <w:bCs/>
        </w:rPr>
        <w:t>10</w:t>
      </w:r>
      <w:r w:rsidRPr="004B2DAC">
        <w:rPr>
          <w:b/>
          <w:bCs/>
        </w:rPr>
        <w:t>—</w:t>
      </w:r>
      <w:r>
        <w:rPr>
          <w:b/>
          <w:bCs/>
        </w:rPr>
        <w:t xml:space="preserve">Cleanup Action Plan. </w:t>
      </w:r>
      <w:r w:rsidR="00AF6A5F" w:rsidRPr="00B365F9">
        <w:t>Presents the selected cleanup action alter</w:t>
      </w:r>
      <w:r w:rsidR="00B365F9" w:rsidRPr="00B365F9">
        <w:t>native for the Site and the procedures for enacting the cleanup action.</w:t>
      </w:r>
    </w:p>
    <w:p w14:paraId="33308157" w14:textId="7A8265CC" w:rsidR="007F768C" w:rsidRPr="00FD2F6D" w:rsidRDefault="007F768C" w:rsidP="00BB5E36">
      <w:pPr>
        <w:pStyle w:val="RptBullet-Level1"/>
      </w:pPr>
      <w:r w:rsidRPr="00FD2F6D">
        <w:rPr>
          <w:b/>
        </w:rPr>
        <w:t xml:space="preserve">Section </w:t>
      </w:r>
      <w:r w:rsidR="00E7156A">
        <w:rPr>
          <w:b/>
        </w:rPr>
        <w:t>11</w:t>
      </w:r>
      <w:r w:rsidRPr="00FD2F6D">
        <w:rPr>
          <w:b/>
        </w:rPr>
        <w:t>—Conclusions.</w:t>
      </w:r>
      <w:r w:rsidRPr="00FD2F6D">
        <w:t xml:space="preserve"> Presents a summary of the RI activities, conclusions regarding the nature and extent of contamination, </w:t>
      </w:r>
      <w:r w:rsidR="00944200">
        <w:t>a summary of the feasibility study and the selection of the preferred cleanup action alternative</w:t>
      </w:r>
      <w:r w:rsidR="00782101">
        <w:t>, and a summary of the cleanup action plan</w:t>
      </w:r>
      <w:r w:rsidRPr="00FD2F6D">
        <w:t xml:space="preserve">. </w:t>
      </w:r>
    </w:p>
    <w:p w14:paraId="66DEA64B" w14:textId="413AA96E" w:rsidR="007F768C" w:rsidRPr="00FD2F6D" w:rsidRDefault="007F768C" w:rsidP="00BB5E36">
      <w:pPr>
        <w:pStyle w:val="RptBullet-Level1"/>
        <w:rPr>
          <w:b/>
        </w:rPr>
      </w:pPr>
      <w:r w:rsidRPr="00FD2F6D">
        <w:rPr>
          <w:b/>
        </w:rPr>
        <w:t>Section 1</w:t>
      </w:r>
      <w:r w:rsidR="00CD0F35">
        <w:rPr>
          <w:b/>
        </w:rPr>
        <w:t>2</w:t>
      </w:r>
      <w:r w:rsidRPr="00FD2F6D">
        <w:rPr>
          <w:b/>
        </w:rPr>
        <w:t xml:space="preserve">—References. </w:t>
      </w:r>
      <w:r w:rsidRPr="00FD2F6D">
        <w:t xml:space="preserve">Provides references cited in the </w:t>
      </w:r>
      <w:r w:rsidR="009410EC">
        <w:t>RI/FS/CAP</w:t>
      </w:r>
      <w:r w:rsidRPr="00FD2F6D">
        <w:t xml:space="preserve"> report.</w:t>
      </w:r>
    </w:p>
    <w:p w14:paraId="07DD748B" w14:textId="31B6893F" w:rsidR="007F768C" w:rsidRPr="00FD2F6D" w:rsidRDefault="007F768C" w:rsidP="00BB5E36">
      <w:pPr>
        <w:pStyle w:val="RptBodyText"/>
      </w:pPr>
      <w:r w:rsidRPr="00FD2F6D">
        <w:t>Appendices to this report include the following:</w:t>
      </w:r>
    </w:p>
    <w:p w14:paraId="55CCB70F" w14:textId="77777777" w:rsidR="007F768C" w:rsidRPr="0077752C" w:rsidRDefault="007F768C" w:rsidP="00BB5E36">
      <w:pPr>
        <w:pStyle w:val="RptBullet-Level1"/>
      </w:pPr>
      <w:r w:rsidRPr="006A30E9">
        <w:rPr>
          <w:b/>
          <w:bCs/>
        </w:rPr>
        <w:t xml:space="preserve">Appendix </w:t>
      </w:r>
      <w:r>
        <w:rPr>
          <w:b/>
          <w:bCs/>
        </w:rPr>
        <w:t>A</w:t>
      </w:r>
      <w:r>
        <w:t>—</w:t>
      </w:r>
      <w:r w:rsidRPr="0077752C">
        <w:t xml:space="preserve"> </w:t>
      </w:r>
      <w:r>
        <w:t>Correspondence with Ecology Regarding Remedial Investigation Work Plan Development</w:t>
      </w:r>
    </w:p>
    <w:p w14:paraId="2997ADFE" w14:textId="77777777" w:rsidR="007F768C" w:rsidRPr="00FD2F6D" w:rsidRDefault="007F768C" w:rsidP="00BB5E36">
      <w:pPr>
        <w:pStyle w:val="RptBullet-Level1"/>
      </w:pPr>
      <w:r w:rsidRPr="00FD2F6D">
        <w:rPr>
          <w:b/>
          <w:bCs/>
          <w:spacing w:val="-2"/>
        </w:rPr>
        <w:t xml:space="preserve">Appendix </w:t>
      </w:r>
      <w:r>
        <w:rPr>
          <w:b/>
          <w:bCs/>
          <w:spacing w:val="-2"/>
        </w:rPr>
        <w:t>B</w:t>
      </w:r>
      <w:r w:rsidRPr="00FD2F6D">
        <w:rPr>
          <w:spacing w:val="-2"/>
        </w:rPr>
        <w:t>—G</w:t>
      </w:r>
      <w:r w:rsidRPr="00FD2F6D">
        <w:t xml:space="preserve">eophysical </w:t>
      </w:r>
      <w:r>
        <w:t>S</w:t>
      </w:r>
      <w:r w:rsidRPr="00FD2F6D">
        <w:t xml:space="preserve">urvey </w:t>
      </w:r>
      <w:r>
        <w:t>R</w:t>
      </w:r>
      <w:r w:rsidRPr="00FD2F6D">
        <w:t>eport</w:t>
      </w:r>
    </w:p>
    <w:p w14:paraId="3AFAA032" w14:textId="77777777" w:rsidR="007F768C" w:rsidRDefault="007F768C" w:rsidP="00BB5E36">
      <w:pPr>
        <w:pStyle w:val="RptBullet-Level1"/>
      </w:pPr>
      <w:r w:rsidRPr="00FD2F6D">
        <w:rPr>
          <w:b/>
          <w:bCs/>
          <w:spacing w:val="-2"/>
        </w:rPr>
        <w:t xml:space="preserve">Appendix </w:t>
      </w:r>
      <w:r>
        <w:rPr>
          <w:b/>
          <w:bCs/>
          <w:spacing w:val="-2"/>
        </w:rPr>
        <w:t>C</w:t>
      </w:r>
      <w:r w:rsidRPr="00FD2F6D">
        <w:t xml:space="preserve">—Boring and </w:t>
      </w:r>
      <w:r>
        <w:t>W</w:t>
      </w:r>
      <w:r w:rsidRPr="00FD2F6D">
        <w:t xml:space="preserve">ell </w:t>
      </w:r>
      <w:r>
        <w:t>L</w:t>
      </w:r>
      <w:r w:rsidRPr="00FD2F6D">
        <w:t>ogs</w:t>
      </w:r>
    </w:p>
    <w:p w14:paraId="3BE07D79" w14:textId="77777777" w:rsidR="007F768C" w:rsidRPr="00FD2F6D" w:rsidRDefault="007F768C" w:rsidP="00BB5E36">
      <w:pPr>
        <w:pStyle w:val="RptBullet-Level1"/>
      </w:pPr>
      <w:r>
        <w:rPr>
          <w:b/>
          <w:bCs/>
          <w:spacing w:val="-2"/>
        </w:rPr>
        <w:t>Appendix D</w:t>
      </w:r>
      <w:r w:rsidRPr="006A30E9">
        <w:t>—</w:t>
      </w:r>
      <w:r>
        <w:t>Photographs and Field Notes</w:t>
      </w:r>
    </w:p>
    <w:p w14:paraId="2E3A6699" w14:textId="77777777" w:rsidR="007F768C" w:rsidRPr="00FD2F6D" w:rsidRDefault="007F768C" w:rsidP="00BB5E36">
      <w:pPr>
        <w:pStyle w:val="RptBullet-Level1"/>
      </w:pPr>
      <w:r w:rsidRPr="00FD2F6D">
        <w:rPr>
          <w:b/>
          <w:bCs/>
        </w:rPr>
        <w:t xml:space="preserve">Appendix </w:t>
      </w:r>
      <w:r>
        <w:rPr>
          <w:b/>
          <w:bCs/>
        </w:rPr>
        <w:t>E</w:t>
      </w:r>
      <w:r w:rsidRPr="00FD2F6D">
        <w:t xml:space="preserve">—Data </w:t>
      </w:r>
      <w:r>
        <w:t>V</w:t>
      </w:r>
      <w:r w:rsidRPr="00FD2F6D">
        <w:t xml:space="preserve">alidation </w:t>
      </w:r>
      <w:r>
        <w:t>R</w:t>
      </w:r>
      <w:r w:rsidRPr="00FD2F6D">
        <w:t>eport</w:t>
      </w:r>
    </w:p>
    <w:p w14:paraId="117EB4AE" w14:textId="77777777" w:rsidR="007F768C" w:rsidRPr="00FD2F6D" w:rsidRDefault="007F768C" w:rsidP="00BB5E36">
      <w:pPr>
        <w:pStyle w:val="RptBullet-Level1"/>
      </w:pPr>
      <w:r w:rsidRPr="00FD2F6D">
        <w:rPr>
          <w:b/>
          <w:bCs/>
        </w:rPr>
        <w:t xml:space="preserve">Appendix </w:t>
      </w:r>
      <w:r>
        <w:rPr>
          <w:b/>
          <w:bCs/>
        </w:rPr>
        <w:t>F</w:t>
      </w:r>
      <w:r w:rsidRPr="00FD2F6D">
        <w:t xml:space="preserve">—Summary of </w:t>
      </w:r>
      <w:r>
        <w:t>D</w:t>
      </w:r>
      <w:r w:rsidRPr="00FD2F6D">
        <w:t>eviations from the RI Work Plan</w:t>
      </w:r>
    </w:p>
    <w:p w14:paraId="44E63A6C" w14:textId="77777777" w:rsidR="007F768C" w:rsidRPr="00FD2F6D" w:rsidRDefault="007F768C" w:rsidP="00BB5E36">
      <w:pPr>
        <w:pStyle w:val="RptBullet-Level1"/>
      </w:pPr>
      <w:r w:rsidRPr="00FD2F6D">
        <w:rPr>
          <w:b/>
          <w:bCs/>
        </w:rPr>
        <w:t xml:space="preserve">Appendix </w:t>
      </w:r>
      <w:r>
        <w:rPr>
          <w:b/>
          <w:bCs/>
        </w:rPr>
        <w:t>G</w:t>
      </w:r>
      <w:r w:rsidRPr="00FD2F6D">
        <w:t xml:space="preserve">—Natural </w:t>
      </w:r>
      <w:r>
        <w:t>B</w:t>
      </w:r>
      <w:r w:rsidRPr="00FD2F6D">
        <w:t xml:space="preserve">ackground </w:t>
      </w:r>
      <w:r>
        <w:t>E</w:t>
      </w:r>
      <w:r w:rsidRPr="00FD2F6D">
        <w:t xml:space="preserve">valuation for </w:t>
      </w:r>
      <w:r>
        <w:t>C</w:t>
      </w:r>
      <w:r w:rsidRPr="00FD2F6D">
        <w:t xml:space="preserve">hromium, </w:t>
      </w:r>
      <w:r>
        <w:t>M</w:t>
      </w:r>
      <w:r w:rsidRPr="00FD2F6D">
        <w:t xml:space="preserve">ercury, and </w:t>
      </w:r>
      <w:r>
        <w:t>S</w:t>
      </w:r>
      <w:r w:rsidRPr="00FD2F6D">
        <w:t xml:space="preserve">elenium in </w:t>
      </w:r>
      <w:r>
        <w:t>S</w:t>
      </w:r>
      <w:r w:rsidRPr="00FD2F6D">
        <w:t>oil</w:t>
      </w:r>
    </w:p>
    <w:p w14:paraId="4F5C1873" w14:textId="77777777" w:rsidR="007F768C" w:rsidRPr="00FD2F6D" w:rsidRDefault="007F768C" w:rsidP="00BB5E36">
      <w:pPr>
        <w:pStyle w:val="RptBullet-Level1"/>
      </w:pPr>
      <w:r w:rsidRPr="00FD2F6D">
        <w:rPr>
          <w:b/>
          <w:bCs/>
        </w:rPr>
        <w:t xml:space="preserve">Appendix </w:t>
      </w:r>
      <w:r>
        <w:rPr>
          <w:b/>
          <w:bCs/>
        </w:rPr>
        <w:t>H</w:t>
      </w:r>
      <w:r w:rsidRPr="00FD2F6D">
        <w:t xml:space="preserve">—RI Work Plan </w:t>
      </w:r>
      <w:r>
        <w:t>(</w:t>
      </w:r>
      <w:r w:rsidRPr="00FD2F6D">
        <w:t>includ</w:t>
      </w:r>
      <w:r>
        <w:t>ing</w:t>
      </w:r>
      <w:r w:rsidRPr="00FD2F6D">
        <w:t xml:space="preserve"> the sampling and analysis plan and </w:t>
      </w:r>
      <w:r w:rsidRPr="00FD2F6D">
        <w:rPr>
          <w:spacing w:val="-2"/>
        </w:rPr>
        <w:t xml:space="preserve">quality assurance project plan </w:t>
      </w:r>
      <w:r>
        <w:rPr>
          <w:spacing w:val="-2"/>
        </w:rPr>
        <w:t>[</w:t>
      </w:r>
      <w:r w:rsidRPr="00FD2F6D">
        <w:rPr>
          <w:spacing w:val="-2"/>
        </w:rPr>
        <w:t>QAPP</w:t>
      </w:r>
      <w:r>
        <w:rPr>
          <w:spacing w:val="-2"/>
        </w:rPr>
        <w:t>]</w:t>
      </w:r>
      <w:r w:rsidRPr="00FD2F6D">
        <w:rPr>
          <w:spacing w:val="-2"/>
        </w:rPr>
        <w:t>)</w:t>
      </w:r>
    </w:p>
    <w:p w14:paraId="1B22DE1A" w14:textId="06F82DA7" w:rsidR="007F768C" w:rsidRPr="00FD2F6D" w:rsidRDefault="007F768C" w:rsidP="00BB5E36">
      <w:pPr>
        <w:pStyle w:val="RptBullet-Level1"/>
      </w:pPr>
      <w:r w:rsidRPr="00FD2F6D">
        <w:rPr>
          <w:b/>
          <w:bCs/>
        </w:rPr>
        <w:t xml:space="preserve">Appendix </w:t>
      </w:r>
      <w:r>
        <w:rPr>
          <w:b/>
          <w:bCs/>
        </w:rPr>
        <w:t>I</w:t>
      </w:r>
      <w:r w:rsidRPr="00FD2F6D">
        <w:t xml:space="preserve">—Laboratory </w:t>
      </w:r>
      <w:r>
        <w:t>A</w:t>
      </w:r>
      <w:r w:rsidRPr="00FD2F6D">
        <w:t xml:space="preserve">nalytical </w:t>
      </w:r>
      <w:r>
        <w:t>D</w:t>
      </w:r>
      <w:r w:rsidRPr="00FD2F6D">
        <w:t xml:space="preserve">ata </w:t>
      </w:r>
      <w:r>
        <w:t>and Chains of Custody</w:t>
      </w:r>
      <w:r w:rsidR="009A4934">
        <w:t xml:space="preserve"> </w:t>
      </w:r>
      <w:r w:rsidRPr="00FD2F6D">
        <w:t>(provided electronically).</w:t>
      </w:r>
    </w:p>
    <w:p w14:paraId="23AF5B9F" w14:textId="77777777" w:rsidR="007F768C" w:rsidRPr="00FD2F6D" w:rsidRDefault="007F768C" w:rsidP="00BB5E36">
      <w:pPr>
        <w:pStyle w:val="RptHeading-Level1"/>
      </w:pPr>
      <w:bookmarkStart w:id="24" w:name="_Toc59019815"/>
      <w:bookmarkStart w:id="25" w:name="_Toc98847319"/>
      <w:r w:rsidRPr="00FD2F6D">
        <w:t>Site Information</w:t>
      </w:r>
      <w:bookmarkEnd w:id="24"/>
      <w:bookmarkEnd w:id="25"/>
    </w:p>
    <w:p w14:paraId="195AA3E1" w14:textId="77777777" w:rsidR="007F768C" w:rsidRPr="00FD2F6D" w:rsidRDefault="007F768C" w:rsidP="00BB5E36">
      <w:pPr>
        <w:pStyle w:val="RptBodyText"/>
      </w:pPr>
      <w:r w:rsidRPr="00FD2F6D">
        <w:t xml:space="preserve">This section presents the location and a general description of the Site and adjacent features, a summary of previous Site uses and activities, a brief summary of previous environmental investigation and removal actions, Site COIs, the current Site use, and potential future land use and development. </w:t>
      </w:r>
    </w:p>
    <w:p w14:paraId="454D9C4B" w14:textId="77777777" w:rsidR="007F768C" w:rsidRPr="00FD2F6D" w:rsidRDefault="007F768C" w:rsidP="00BB5E36">
      <w:pPr>
        <w:pStyle w:val="RptHeading-Level2"/>
      </w:pPr>
      <w:bookmarkStart w:id="26" w:name="_Ref44935263"/>
      <w:bookmarkStart w:id="27" w:name="_Toc59019816"/>
      <w:bookmarkStart w:id="28" w:name="_Toc98847320"/>
      <w:r w:rsidRPr="00FD2F6D">
        <w:t>Location and Description</w:t>
      </w:r>
      <w:bookmarkEnd w:id="26"/>
      <w:bookmarkEnd w:id="27"/>
      <w:bookmarkEnd w:id="28"/>
    </w:p>
    <w:p w14:paraId="4D71D3DE" w14:textId="610C7EAD" w:rsidR="007F768C" w:rsidRPr="00FD2F6D" w:rsidRDefault="007F768C" w:rsidP="00BB5E36">
      <w:pPr>
        <w:pStyle w:val="RptBodyText"/>
      </w:pPr>
      <w:r w:rsidRPr="00FD2F6D">
        <w:t>The Site consists of approximately 14.75 acres. The eastern portion of the Site (approximately nine acres) is disturbed and is predominantly covered with exotic Himalayan blackberry (</w:t>
      </w:r>
      <w:r w:rsidRPr="00FD2F6D">
        <w:rPr>
          <w:i/>
          <w:iCs/>
        </w:rPr>
        <w:t>Rubus armeniacus</w:t>
      </w:r>
      <w:r w:rsidRPr="00FD2F6D">
        <w:t>). This area contains compacted paths for cars and trucks and a gravel parking lot and access road that provides overflow parking for the Skokomish Tribe Community Center (Figure 2). The western portion of the Site (approximately five acres) is covered in early-to-mid successional Douglas fir (</w:t>
      </w:r>
      <w:r w:rsidRPr="00FD2F6D">
        <w:rPr>
          <w:i/>
          <w:iCs/>
        </w:rPr>
        <w:t>Pseudotsuga menziesii</w:t>
      </w:r>
      <w:r w:rsidRPr="00FD2F6D">
        <w:t>) forestland (Figure</w:t>
      </w:r>
      <w:r w:rsidR="002D2365">
        <w:t> </w:t>
      </w:r>
      <w:r w:rsidRPr="00FD2F6D">
        <w:t>2). Sub-story species include Oregon grape (</w:t>
      </w:r>
      <w:r w:rsidRPr="00FD2F6D">
        <w:rPr>
          <w:i/>
          <w:iCs/>
        </w:rPr>
        <w:t>Mahonia aquifolium</w:t>
      </w:r>
      <w:r w:rsidRPr="00FD2F6D">
        <w:t>), salal (</w:t>
      </w:r>
      <w:r w:rsidRPr="00FD2F6D">
        <w:rPr>
          <w:i/>
          <w:iCs/>
        </w:rPr>
        <w:t>Gaultheria shallon</w:t>
      </w:r>
      <w:r w:rsidRPr="00FD2F6D">
        <w:t>), blueberries (</w:t>
      </w:r>
      <w:r w:rsidRPr="00FD2F6D">
        <w:rPr>
          <w:i/>
          <w:iCs/>
        </w:rPr>
        <w:t>Vaccinium</w:t>
      </w:r>
      <w:r w:rsidRPr="00FD2F6D">
        <w:t xml:space="preserve"> spp.), and fern species, predominately sword fern (</w:t>
      </w:r>
      <w:r w:rsidRPr="00FD2F6D">
        <w:rPr>
          <w:i/>
          <w:iCs/>
        </w:rPr>
        <w:t>Polystichum munitum</w:t>
      </w:r>
      <w:r w:rsidRPr="00FD2F6D">
        <w:t xml:space="preserve">). The Site is fenced along the north and west perimeters. </w:t>
      </w:r>
    </w:p>
    <w:p w14:paraId="22D9D7B2" w14:textId="0282C1B3" w:rsidR="007F768C" w:rsidRPr="00FD2F6D" w:rsidRDefault="007F768C" w:rsidP="00BB5E36">
      <w:pPr>
        <w:pStyle w:val="RptBodyText"/>
      </w:pPr>
      <w:r w:rsidRPr="00FD2F6D">
        <w:t xml:space="preserve">The Site is bound to the east by U.S. Highway 101, to the north by </w:t>
      </w:r>
      <w:r w:rsidR="00BF50E3">
        <w:t>residences</w:t>
      </w:r>
      <w:r w:rsidRPr="00FD2F6D">
        <w:t xml:space="preserve"> (located on North Minerva Terrace Road), to the west by undeveloped and partially forested land owned by Green Diamond Resource Company, and to the south by the </w:t>
      </w:r>
      <w:bookmarkStart w:id="29" w:name="_Hlk44068073"/>
      <w:r w:rsidRPr="00FD2F6D">
        <w:t>Skokomish Tribe Community Center</w:t>
      </w:r>
      <w:bookmarkEnd w:id="29"/>
      <w:r w:rsidRPr="00FD2F6D">
        <w:t xml:space="preserve"> (Figure 2).</w:t>
      </w:r>
    </w:p>
    <w:p w14:paraId="1A349EA9" w14:textId="77777777" w:rsidR="007F768C" w:rsidRPr="00FD2F6D" w:rsidRDefault="007F768C" w:rsidP="00BB5E36">
      <w:pPr>
        <w:pStyle w:val="RptHeading-Level2"/>
      </w:pPr>
      <w:bookmarkStart w:id="30" w:name="_Ref41848330"/>
      <w:bookmarkStart w:id="31" w:name="_Ref44077599"/>
      <w:bookmarkStart w:id="32" w:name="_Toc59019817"/>
      <w:bookmarkStart w:id="33" w:name="_Toc98847321"/>
      <w:r w:rsidRPr="00FD2F6D">
        <w:t>Geology and Hydrogeology</w:t>
      </w:r>
      <w:bookmarkEnd w:id="30"/>
      <w:bookmarkEnd w:id="31"/>
      <w:bookmarkEnd w:id="32"/>
      <w:bookmarkEnd w:id="33"/>
    </w:p>
    <w:p w14:paraId="6FB76872" w14:textId="77777777" w:rsidR="007F768C" w:rsidRPr="00FD2F6D" w:rsidRDefault="007F768C" w:rsidP="00BB5E36">
      <w:pPr>
        <w:pStyle w:val="RptBodyText"/>
      </w:pPr>
      <w:r w:rsidRPr="00FD2F6D">
        <w:t>The Site is located on a localized alluvial fan terrace of recessional outwash deposits from the late Vashon glaciation (Figure 3). The outwash material is typically loose sand and gravel with varying amounts of silt and clay. The Site is in a transition zone between steep, forested bluffs to the west and forested wetlands to the east. According to Ecology (2000), a till layer may underlie the recessional outwash in the Skokomish Valley. Below the till layer, sand, gravel, silt, and some clay form the bottom of the Vashon glaciation sequence in the valley (Ecology 2000).</w:t>
      </w:r>
    </w:p>
    <w:p w14:paraId="6A2EE050" w14:textId="77777777" w:rsidR="007F768C" w:rsidRPr="00FD2F6D" w:rsidRDefault="007F768C" w:rsidP="00BB5E36">
      <w:pPr>
        <w:pStyle w:val="RptBodyText"/>
      </w:pPr>
      <w:r w:rsidRPr="00FD2F6D">
        <w:t>According to Polenz et al. (2010), the Site is underlain by alluvial fan deposits or glacial and non-glacial deposits. The alluvial fan deposits consist of cobbles, pebbles, sand, silt, and boulders. The glacial and non-glacial deposits consist of tan to reddish brown or gray compact gravel, sand, silt, clay, and diamicton (including compact tills and paleosols).</w:t>
      </w:r>
    </w:p>
    <w:p w14:paraId="2360437E" w14:textId="5D6D61DD" w:rsidR="007F768C" w:rsidRPr="00FD2F6D" w:rsidRDefault="007F768C" w:rsidP="00BB5E36">
      <w:pPr>
        <w:pStyle w:val="RptBodyText"/>
      </w:pPr>
      <w:r w:rsidRPr="00FD2F6D">
        <w:t>The steep, forested slope bordering the west side of the Site may be represented as three</w:t>
      </w:r>
      <w:r w:rsidR="006D065B">
        <w:t> </w:t>
      </w:r>
      <w:r w:rsidRPr="00FD2F6D">
        <w:t>eroded layers, starting at the bottom with pre-Vashon glacial and interglacial deposits. The pre-Vashon materials are mostly till and outwash deposited before the Vashon glaciation, as well as non-glacial sediments such as the Skokomish gravels (Ecology 2000).</w:t>
      </w:r>
    </w:p>
    <w:p w14:paraId="3F09F7DD" w14:textId="77777777" w:rsidR="007F768C" w:rsidRPr="00FD2F6D" w:rsidRDefault="007F768C" w:rsidP="00BB5E36">
      <w:pPr>
        <w:pStyle w:val="RptBodyText"/>
      </w:pPr>
      <w:r w:rsidRPr="00FD2F6D">
        <w:t>The next sequence upslope to the west is Vashon advance outwash, consisting of dense sand and gravel, locally containing fine-grained sediments. The uppermost, extensive sequence of Vashon till caps the slope 400–500 ft above the Site to the west (Ecology 2000).</w:t>
      </w:r>
    </w:p>
    <w:p w14:paraId="7C76B0DF" w14:textId="77777777" w:rsidR="007F768C" w:rsidRPr="00FD2F6D" w:rsidRDefault="007F768C" w:rsidP="00BB5E36">
      <w:pPr>
        <w:pStyle w:val="RptBodyText"/>
      </w:pPr>
      <w:r w:rsidRPr="00FD2F6D">
        <w:t>The eastern border of the Site transitions to the forested alluvial floodplain of the Skokomish River. The wetland floodplain drains to Hood Canal about three-fourths of a mile east of the Site (Ecology 2000).</w:t>
      </w:r>
    </w:p>
    <w:p w14:paraId="706C682D" w14:textId="77777777" w:rsidR="007F768C" w:rsidRPr="00FD2F6D" w:rsidRDefault="007F768C" w:rsidP="00BB5E36">
      <w:pPr>
        <w:pStyle w:val="RptBodyText"/>
        <w:rPr>
          <w:rFonts w:cs="Arial"/>
        </w:rPr>
      </w:pPr>
      <w:r w:rsidRPr="00FD2F6D">
        <w:t xml:space="preserve">Groundwater has been encountered on the Site at depths ranging from 17 to 48 ft below ground surface (bgs), and water level measurements indicate that the groundwater flows in an easterly to southeasterly direction toward Hood Canal (Ecology 2000; HWA 2013, ESA 2013b). The groundwater at the Site is </w:t>
      </w:r>
      <w:r w:rsidRPr="00FD2F6D">
        <w:rPr>
          <w:rFonts w:cs="Arial"/>
        </w:rPr>
        <w:t>unconfined and influenced by precipitation and surface infiltration. Precipitation averages approximately 65 inches per year (HWA 2013).</w:t>
      </w:r>
    </w:p>
    <w:p w14:paraId="09E56848" w14:textId="77777777" w:rsidR="007F768C" w:rsidRPr="00FD2F6D" w:rsidRDefault="007F768C" w:rsidP="00BB5E36">
      <w:pPr>
        <w:pStyle w:val="RptBodyText"/>
        <w:rPr>
          <w:rFonts w:cs="Arial"/>
        </w:rPr>
      </w:pPr>
      <w:r w:rsidRPr="00FD2F6D">
        <w:rPr>
          <w:rFonts w:cs="Arial"/>
        </w:rPr>
        <w:t>Drinking water wells identified on or near the Site include:</w:t>
      </w:r>
    </w:p>
    <w:p w14:paraId="40DE5538" w14:textId="77777777" w:rsidR="007F768C" w:rsidRPr="00FD2F6D" w:rsidRDefault="007F768C" w:rsidP="00BB5E36">
      <w:pPr>
        <w:pStyle w:val="RptBullet-Level1"/>
      </w:pPr>
      <w:r w:rsidRPr="00FD2F6D">
        <w:t xml:space="preserve">A drinking water well for the former WSDOT maintenance facility was installed on the Site in 1956 (Figure 2). The well log is provided in Appendix </w:t>
      </w:r>
      <w:r>
        <w:t>H</w:t>
      </w:r>
      <w:r w:rsidRPr="00FD2F6D">
        <w:t>). This well was completed to 66 ft bgs, and static water was encountered at 22.5 ft bgs (Ecology 2000).</w:t>
      </w:r>
      <w:r w:rsidRPr="00FD2F6D">
        <w:rPr>
          <w:rStyle w:val="FootnoteReference"/>
          <w:rFonts w:cs="Arial"/>
        </w:rPr>
        <w:footnoteReference w:id="3"/>
      </w:r>
    </w:p>
    <w:p w14:paraId="2C780EA0" w14:textId="77777777" w:rsidR="007F768C" w:rsidRPr="00FD2F6D" w:rsidRDefault="007F768C" w:rsidP="00BB5E36">
      <w:pPr>
        <w:pStyle w:val="RptBullet-Level1"/>
      </w:pPr>
      <w:r w:rsidRPr="00FD2F6D">
        <w:t xml:space="preserve">A drinking water well is located to the north of the Site within the Minerva Terrace mobile home park (Figure 2). This well, located just north of North Minerva Terrace Road, was installed in 1970 and was completed to 62 ft bgs. The well log is provided in Appendix </w:t>
      </w:r>
      <w:r>
        <w:t>H</w:t>
      </w:r>
      <w:r w:rsidRPr="00FD2F6D">
        <w:t>).</w:t>
      </w:r>
    </w:p>
    <w:p w14:paraId="14D5DC54" w14:textId="77777777" w:rsidR="007F768C" w:rsidRPr="00FD2F6D" w:rsidRDefault="007F768C" w:rsidP="00BB5E36">
      <w:pPr>
        <w:pStyle w:val="RptBullet-Level1"/>
      </w:pPr>
      <w:r w:rsidRPr="00FD2F6D">
        <w:t xml:space="preserve">A drinking water well was installed in 2016 on the parcel to the south of the Site as part of the Skokomish Tribe Community Center development (Figure 2). It was completed to 138 ft bgs, and the static water level was approximately 14 ft bgs. The well log is provided in Appendix </w:t>
      </w:r>
      <w:r>
        <w:t>C</w:t>
      </w:r>
      <w:r w:rsidRPr="00FD2F6D">
        <w:t xml:space="preserve">. </w:t>
      </w:r>
    </w:p>
    <w:p w14:paraId="1BBE52B6" w14:textId="77777777" w:rsidR="007F768C" w:rsidRPr="00FD2F6D" w:rsidRDefault="007F768C" w:rsidP="00BB5E36">
      <w:pPr>
        <w:pStyle w:val="RptHeading-Level2"/>
      </w:pPr>
      <w:bookmarkStart w:id="34" w:name="_Toc59019818"/>
      <w:bookmarkStart w:id="35" w:name="_Toc98847322"/>
      <w:r w:rsidRPr="00FD2F6D">
        <w:t>Historical Activities and Features</w:t>
      </w:r>
      <w:bookmarkEnd w:id="34"/>
      <w:bookmarkEnd w:id="35"/>
    </w:p>
    <w:p w14:paraId="6F77C098" w14:textId="42BC053C" w:rsidR="007F768C" w:rsidRPr="00FD2F6D" w:rsidRDefault="007F768C" w:rsidP="00BB5E36">
      <w:pPr>
        <w:pStyle w:val="RptBodyText"/>
      </w:pPr>
      <w:r w:rsidRPr="00FD2F6D">
        <w:t xml:space="preserve">Historically, most of the Site was densely forested (Exponent 2019; Appendix </w:t>
      </w:r>
      <w:r>
        <w:t>H</w:t>
      </w:r>
      <w:r w:rsidRPr="00FD2F6D">
        <w:t xml:space="preserve">, herein). Based on a review of aerial photographs, the Site was cleared sometime between 1938 and 1951 (Exponent 2019; Appendix </w:t>
      </w:r>
      <w:r>
        <w:t>H</w:t>
      </w:r>
      <w:r w:rsidRPr="00FD2F6D">
        <w:t>, herein). The State of Washington Department of Highways</w:t>
      </w:r>
      <w:r w:rsidRPr="00FD2F6D">
        <w:rPr>
          <w:rStyle w:val="FootnoteReference"/>
        </w:rPr>
        <w:t xml:space="preserve"> </w:t>
      </w:r>
      <w:r w:rsidRPr="00FD2F6D">
        <w:rPr>
          <w:rStyle w:val="FootnoteReference"/>
        </w:rPr>
        <w:footnoteReference w:id="4"/>
      </w:r>
      <w:r w:rsidRPr="00FD2F6D">
        <w:t xml:space="preserve"> purchased the Site in June 1955 and used it as a highway maintenance yard until 1995 (Exponent 2019; Appendix </w:t>
      </w:r>
      <w:r>
        <w:t>H</w:t>
      </w:r>
      <w:r w:rsidRPr="00FD2F6D">
        <w:t>, herein).</w:t>
      </w:r>
      <w:r w:rsidRPr="00FD2F6D">
        <w:rPr>
          <w:rStyle w:val="FootnoteReference"/>
        </w:rPr>
        <w:t xml:space="preserve"> </w:t>
      </w:r>
      <w:r w:rsidRPr="00FD2F6D">
        <w:t xml:space="preserve">The </w:t>
      </w:r>
      <w:r w:rsidR="00DC7C07">
        <w:t>Skokomish Tribe</w:t>
      </w:r>
      <w:r w:rsidRPr="00FD2F6D">
        <w:t xml:space="preserve"> purchased the Site from WSDOT in April 2003 and has used it for miscellaneous storage and burning of debris from land clearing activities and the placement of fill materials from construction projects in the area (Exponent 2019; Appendix </w:t>
      </w:r>
      <w:r>
        <w:t>H</w:t>
      </w:r>
      <w:r w:rsidRPr="00FD2F6D">
        <w:t>, herein).</w:t>
      </w:r>
    </w:p>
    <w:p w14:paraId="60247510" w14:textId="77777777" w:rsidR="007F768C" w:rsidRPr="00FD2F6D" w:rsidRDefault="007F768C" w:rsidP="00BB5E36">
      <w:pPr>
        <w:pStyle w:val="RptBodyText"/>
      </w:pPr>
      <w:r w:rsidRPr="00FD2F6D">
        <w:t xml:space="preserve">For ease of discussion, four areas having distinct historical uses, activities, and features have been defined at the Site (Exponent 2019; Appendix </w:t>
      </w:r>
      <w:r>
        <w:t>H</w:t>
      </w:r>
      <w:r w:rsidRPr="00FD2F6D">
        <w:t xml:space="preserve">, herein) and are discussed in this RI report. These areas are shown in Figure 2 and include the following: Area 1 (Southeast Area), Area 2 (Southwest Area), Area 3 (Northern Area), and Area 4 (Wooded Area). A general description of historical Site activities by owner is presented below. More detailed information regarding historical activities and features at the Site can be found in Section 4 of the RI Work Plan (Exponent 2019), a copy of which is provided in Appendix </w:t>
      </w:r>
      <w:r>
        <w:t>H</w:t>
      </w:r>
      <w:r w:rsidRPr="00FD2F6D">
        <w:t xml:space="preserve"> to this report.</w:t>
      </w:r>
    </w:p>
    <w:p w14:paraId="71ABCBBD" w14:textId="77777777" w:rsidR="007F768C" w:rsidRPr="00FD2F6D" w:rsidRDefault="007F768C" w:rsidP="00BB5E36">
      <w:pPr>
        <w:pStyle w:val="RptHeading-Level3"/>
      </w:pPr>
      <w:bookmarkStart w:id="36" w:name="_Ref43041632"/>
      <w:bookmarkStart w:id="37" w:name="_Toc59019819"/>
      <w:bookmarkStart w:id="38" w:name="_Toc98847323"/>
      <w:r w:rsidRPr="00FD2F6D">
        <w:t>Area 1—Southeast Area</w:t>
      </w:r>
      <w:bookmarkEnd w:id="36"/>
      <w:bookmarkEnd w:id="37"/>
      <w:bookmarkEnd w:id="38"/>
    </w:p>
    <w:p w14:paraId="66B40533" w14:textId="77777777" w:rsidR="007F768C" w:rsidRPr="00FD2F6D" w:rsidRDefault="007F768C" w:rsidP="00BB5E36">
      <w:pPr>
        <w:pStyle w:val="RptHeading-Level4"/>
      </w:pPr>
      <w:bookmarkStart w:id="39" w:name="_Ref44159742"/>
      <w:r w:rsidRPr="00FD2F6D">
        <w:t>WSDOT</w:t>
      </w:r>
      <w:bookmarkEnd w:id="39"/>
      <w:r w:rsidRPr="00FD2F6D">
        <w:t xml:space="preserve"> </w:t>
      </w:r>
    </w:p>
    <w:p w14:paraId="233852F7" w14:textId="77777777" w:rsidR="007F768C" w:rsidRPr="00FD2F6D" w:rsidRDefault="007F768C" w:rsidP="00BB5E36">
      <w:pPr>
        <w:pStyle w:val="RptBodyText"/>
      </w:pPr>
      <w:r w:rsidRPr="00FD2F6D">
        <w:t xml:space="preserve">WSDOT’s primary maintenance yard was in the southeast corner of the Site and was used between 1955 and 1995 (Exponent 2019; Appendix </w:t>
      </w:r>
      <w:r>
        <w:t>H</w:t>
      </w:r>
      <w:r w:rsidRPr="00FD2F6D">
        <w:t>, herein). Activities conducted in this area included heavy equipment maintenance, staging, and routine fluid changes; vehicle washing, staging, and parking; and storage of various items such as empty containers (in an empty container accumulation area) and equipment (WSDOT 1995b).</w:t>
      </w:r>
    </w:p>
    <w:p w14:paraId="42D3949D" w14:textId="77777777" w:rsidR="007F768C" w:rsidRPr="00FD2F6D" w:rsidRDefault="007F768C" w:rsidP="00BB5E36">
      <w:pPr>
        <w:pStyle w:val="RptBodyText"/>
      </w:pPr>
      <w:r w:rsidRPr="00FD2F6D">
        <w:t>Area 1 historically contained a 1,400-ft</w:t>
      </w:r>
      <w:r w:rsidRPr="00FD2F6D">
        <w:rPr>
          <w:vertAlign w:val="superscript"/>
        </w:rPr>
        <w:t>2</w:t>
      </w:r>
      <w:r w:rsidRPr="00FD2F6D">
        <w:t xml:space="preserve"> maintenance building (Vehicle Maintenance Building) with three service bays that was located at the southeast corner of the Site (Figure 4). The former maintenance building was used by WSDOT for heavy equipment maintenance from 1955 to 1975, and then for heavy equipment staging and routine fluid changes from 1975 to 1995. Maintenance activities conducted within the building involved the use of parts washer solvents, antifreeze, brake fluid, motor oil, and hydraulic fluid (WSDOT 1995b). The maintenance building was demolished in 2001. </w:t>
      </w:r>
    </w:p>
    <w:p w14:paraId="49F91E6E" w14:textId="77777777" w:rsidR="007F768C" w:rsidRPr="00FD2F6D" w:rsidRDefault="007F768C" w:rsidP="00BB5E36">
      <w:pPr>
        <w:pStyle w:val="RptBodyText"/>
      </w:pPr>
      <w:r w:rsidRPr="00FD2F6D">
        <w:t>According to facility drawings, a drywell was reportedly located approximately 50 ft southwest of the former maintenance building, and the septic and interior drain system for the former maintenance building was believed to drain to this drywell (WSDOT 1995b) (Figure 4). Hand-written notes and photos of the drain line and drywell excavation and removal indicate that the drywell was approximately 30 ft (not 50 ft as reported above) from the southwest corner of the building (WSDOT 1995c; 1995d; 1996). The drain line, drywell, and some petroleum-contaminated soils associated with the drywell were reportedly excavated and removed in December 1995 and January 1996 (WSDOT 1995c; 1995d; 1996).</w:t>
      </w:r>
    </w:p>
    <w:p w14:paraId="7511422A" w14:textId="723E2C6C" w:rsidR="007F768C" w:rsidRPr="00FD2F6D" w:rsidRDefault="007F768C" w:rsidP="00BB5E36">
      <w:pPr>
        <w:pStyle w:val="RptBodyText"/>
      </w:pPr>
      <w:r w:rsidRPr="00FD2F6D">
        <w:t>Following removal of the concrete slab of the former maintenance building in 2013, the interior drains and underlying catch basins were found to discharge to a septic tank located at the northeast corner of the building (ESA 2013c) (Figure 4), not the drywell as shown in facility drawings (WSDOT 1995b). The septic tank was observed to be filled with sand, and one wall was demolished, indicating previous abandonment of this tank. The interior tank walls were observed to have “heavy oil staining” (ESA 2013c), which may have been oil</w:t>
      </w:r>
      <w:r w:rsidR="006D065B">
        <w:noBreakHyphen/>
      </w:r>
      <w:r w:rsidRPr="00FD2F6D">
        <w:t>related staining, or may have been a black colored coating of organic matter from general septic tank use. The drain pipe for the septic tank was connected to drain tile that extended approximately 100 ft from the northeast corner of the former maintenance building toward the eastern property line (ESA 2013c) (Figure 4).</w:t>
      </w:r>
    </w:p>
    <w:p w14:paraId="32244E27" w14:textId="77777777" w:rsidR="007F768C" w:rsidRPr="00FD2F6D" w:rsidRDefault="007F768C" w:rsidP="00BB5E36">
      <w:pPr>
        <w:pStyle w:val="RptBodyText"/>
      </w:pPr>
      <w:r w:rsidRPr="00FD2F6D">
        <w:t>Other features located in Area 1 and shown in Figure 4 include:</w:t>
      </w:r>
    </w:p>
    <w:p w14:paraId="35D7029D" w14:textId="77777777" w:rsidR="007F768C" w:rsidRPr="00FD2F6D" w:rsidRDefault="007F768C" w:rsidP="00BB5E36">
      <w:pPr>
        <w:pStyle w:val="RptBullet-Level1"/>
      </w:pPr>
      <w:r w:rsidRPr="00FD2F6D">
        <w:t>A former vehicle wash area located to the east of the maintenance building, beyond the asphalt pad. Reportedly, wash water generated in this area was discharged to a ditch along Highway 101 and accumulated solids were removed using a front-end loader and disposed of on the north end of the Site (WSDOT 1995b).</w:t>
      </w:r>
    </w:p>
    <w:p w14:paraId="148C0FB6" w14:textId="77777777" w:rsidR="007F768C" w:rsidRPr="00FD2F6D" w:rsidRDefault="007F768C" w:rsidP="00BB5E36">
      <w:pPr>
        <w:pStyle w:val="RptBullet-Level1"/>
      </w:pPr>
      <w:r w:rsidRPr="00FD2F6D">
        <w:t>A former heavy equipment staging/parking area located approximately 50 ft west of the former maintenance building (WSDOT 1995b). During a site visit in November 1995, surficial staining was observed in this area (WSDOT 1995b).</w:t>
      </w:r>
    </w:p>
    <w:p w14:paraId="5C438851" w14:textId="77777777" w:rsidR="007F768C" w:rsidRPr="00FD2F6D" w:rsidRDefault="007F768C" w:rsidP="00BB5E36">
      <w:pPr>
        <w:pStyle w:val="RptBullet-Level1"/>
      </w:pPr>
      <w:r w:rsidRPr="00FD2F6D">
        <w:t xml:space="preserve">A former drinking water well (Section </w:t>
      </w:r>
      <w:r w:rsidRPr="00FD2F6D">
        <w:fldChar w:fldCharType="begin"/>
      </w:r>
      <w:r w:rsidRPr="00FD2F6D">
        <w:instrText xml:space="preserve"> REF _Ref44077599 \r \h </w:instrText>
      </w:r>
      <w:r>
        <w:instrText xml:space="preserve"> \* MERGEFORMAT </w:instrText>
      </w:r>
      <w:r w:rsidRPr="00FD2F6D">
        <w:fldChar w:fldCharType="separate"/>
      </w:r>
      <w:r w:rsidRPr="00FD2F6D">
        <w:t>2.2</w:t>
      </w:r>
      <w:r w:rsidRPr="00FD2F6D">
        <w:fldChar w:fldCharType="end"/>
      </w:r>
      <w:r w:rsidRPr="00FD2F6D">
        <w:t xml:space="preserve"> above) located approximately 50 ft west of the maintenance building. Reportedly, this well was installed in 1956 to a depth of approximately 66 ft, and groundwater was encountered at approximately 22 ft bgs (Ecology 2000).</w:t>
      </w:r>
    </w:p>
    <w:p w14:paraId="25D1650B" w14:textId="77777777" w:rsidR="007F768C" w:rsidRPr="00FD2F6D" w:rsidRDefault="007F768C" w:rsidP="00BB5E36">
      <w:pPr>
        <w:pStyle w:val="RptBullet-Level1"/>
      </w:pPr>
      <w:r w:rsidRPr="00FD2F6D">
        <w:t xml:space="preserve">Three former USTs and associated fuel dispensers and piping located to the east and southeast of the maintenance building. These USTs were installed in 1958 and included two 1,000-gallon diesel USTs and one 500-gallon unleaded gasoline UST. These USTs were removed in April 1995, during which time soil samples were collected and no apparent soil contamination was found (WSDOT 1995a). These removal activities were reviewed by the EPA in February 1996 and EPA deemed that these activities conformed to EPA and Ecology requirements for UST closure (U.S. EPA, 1996). However, during a Site visit in June 2013, two steel fill pipes and one vent pipe were still present along the east side of the concrete slab for the former maintenance building (ESA 2013a), suggesting that the associated UST piping may still be in place. No piping was identified in the UST area during the geophysical surveying conducted as part of the RI (Section </w:t>
      </w:r>
      <w:r w:rsidRPr="00FD2F6D">
        <w:fldChar w:fldCharType="begin"/>
      </w:r>
      <w:r w:rsidRPr="00FD2F6D">
        <w:instrText xml:space="preserve"> REF _Ref38203965 \r \h </w:instrText>
      </w:r>
      <w:r>
        <w:instrText xml:space="preserve"> \* MERGEFORMAT </w:instrText>
      </w:r>
      <w:r w:rsidRPr="00FD2F6D">
        <w:fldChar w:fldCharType="separate"/>
      </w:r>
      <w:r w:rsidRPr="00FD2F6D">
        <w:t>3.1</w:t>
      </w:r>
      <w:r w:rsidRPr="00FD2F6D">
        <w:fldChar w:fldCharType="end"/>
      </w:r>
      <w:r w:rsidRPr="00FD2F6D">
        <w:t xml:space="preserve">). </w:t>
      </w:r>
    </w:p>
    <w:p w14:paraId="6D1E13C3" w14:textId="77777777" w:rsidR="007F768C" w:rsidRPr="00FD2F6D" w:rsidRDefault="007F768C" w:rsidP="00BB5E36">
      <w:pPr>
        <w:pStyle w:val="RptBullet-Level1"/>
      </w:pPr>
      <w:r w:rsidRPr="00FD2F6D">
        <w:t>A former empty container accumulation area (e.g., empty 55-gallon drum of striping paint and empty 5-gallon containers of asphalt patch mix).</w:t>
      </w:r>
    </w:p>
    <w:p w14:paraId="35E90598" w14:textId="77777777" w:rsidR="007F768C" w:rsidRPr="00FD2F6D" w:rsidRDefault="007F768C" w:rsidP="00BB5E36">
      <w:pPr>
        <w:pStyle w:val="RptBullet-Level1"/>
      </w:pPr>
      <w:r w:rsidRPr="00FD2F6D">
        <w:t xml:space="preserve">A former (now removed) wood-framed storage shed was located to the west of the former maintenance building as indicated by review of aerial photos (Exponent 2019; Appendix </w:t>
      </w:r>
      <w:r>
        <w:t>H</w:t>
      </w:r>
      <w:r w:rsidRPr="00FD2F6D">
        <w:t>, herein).</w:t>
      </w:r>
    </w:p>
    <w:p w14:paraId="47886578" w14:textId="77777777" w:rsidR="007F768C" w:rsidRPr="00FD2F6D" w:rsidRDefault="007F768C" w:rsidP="00BB5E36">
      <w:pPr>
        <w:pStyle w:val="RptBullet-Level1"/>
      </w:pPr>
      <w:r w:rsidRPr="00FD2F6D">
        <w:t>A former sander storage rack</w:t>
      </w:r>
      <w:r w:rsidRPr="00FD2F6D">
        <w:rPr>
          <w:rStyle w:val="FootnoteReference"/>
        </w:rPr>
        <w:footnoteReference w:id="5"/>
      </w:r>
      <w:r w:rsidRPr="00FD2F6D">
        <w:t xml:space="preserve"> made of creosoted telephone poles was located west of the maintenance building. The creosoted logs from this storage rack were reportedly used by a Skokomish Tribe track-hoe operator to accelerate the burning process for burn piles on the northern portion of the Site (ESA 2013b).</w:t>
      </w:r>
    </w:p>
    <w:p w14:paraId="4226B005" w14:textId="38DCF81D" w:rsidR="007F768C" w:rsidRPr="00FD2F6D" w:rsidRDefault="007F768C" w:rsidP="00BB5E36">
      <w:pPr>
        <w:pStyle w:val="RptBodyText"/>
      </w:pPr>
      <w:r w:rsidRPr="00FD2F6D">
        <w:t xml:space="preserve">WSDOT vacated the Site in 1995, and the Vehicle Maintenance Building was demolished in 2001. Before demolition activities, an asbestos and lead survey </w:t>
      </w:r>
      <w:r w:rsidR="00031684" w:rsidRPr="00FD2F6D">
        <w:t>were</w:t>
      </w:r>
      <w:r w:rsidRPr="00FD2F6D">
        <w:t xml:space="preserve"> completed (WSDOT 2001). No asbestos-containing building materials were identified; however, the exterior paint of the building (Sample P1 collected in July 1995) was found to contain lead (WSDOT 1995b). Previous investigations and removal actions are described in Section </w:t>
      </w:r>
      <w:r w:rsidRPr="00FD2F6D">
        <w:fldChar w:fldCharType="begin"/>
      </w:r>
      <w:r w:rsidRPr="00FD2F6D">
        <w:instrText xml:space="preserve"> REF _Ref44154405 \r \h </w:instrText>
      </w:r>
      <w:r>
        <w:instrText xml:space="preserve"> \* MERGEFORMAT </w:instrText>
      </w:r>
      <w:r w:rsidRPr="00FD2F6D">
        <w:fldChar w:fldCharType="separate"/>
      </w:r>
      <w:r w:rsidRPr="00FD2F6D">
        <w:t>2.4</w:t>
      </w:r>
      <w:r w:rsidRPr="00FD2F6D">
        <w:fldChar w:fldCharType="end"/>
      </w:r>
      <w:r w:rsidRPr="00FD2F6D">
        <w:t xml:space="preserve"> below. </w:t>
      </w:r>
    </w:p>
    <w:p w14:paraId="613B8BD4" w14:textId="4221B659" w:rsidR="007F768C" w:rsidRPr="00FD2F6D" w:rsidRDefault="00DC7C07" w:rsidP="00BB5E36">
      <w:pPr>
        <w:pStyle w:val="RptHeading-Level4"/>
      </w:pPr>
      <w:r>
        <w:t>Skokomish Tribe</w:t>
      </w:r>
      <w:r w:rsidR="007F768C" w:rsidRPr="00FD2F6D">
        <w:t xml:space="preserve"> </w:t>
      </w:r>
    </w:p>
    <w:p w14:paraId="44701FF4" w14:textId="225D4F39" w:rsidR="007F768C" w:rsidRPr="00FD2F6D" w:rsidRDefault="007F768C" w:rsidP="00BB5E36">
      <w:pPr>
        <w:pStyle w:val="RptBodyText"/>
      </w:pPr>
      <w:r w:rsidRPr="00FD2F6D">
        <w:t xml:space="preserve">Activities conducted by the </w:t>
      </w:r>
      <w:r w:rsidR="00DC7C07">
        <w:t>Skokomish Tribe</w:t>
      </w:r>
      <w:r w:rsidRPr="00FD2F6D">
        <w:t xml:space="preserve"> in Area 1 included placement of fill materials, and storage of various items. As indicated by review of aerial photos (Exponent 2019; Appendix </w:t>
      </w:r>
      <w:r>
        <w:t>H</w:t>
      </w:r>
      <w:r w:rsidRPr="00FD2F6D">
        <w:t xml:space="preserve">, herein), fill materials were placed on Area 1 in approximately 2006 (see the bare, hummocky stockpile features in the 2007 aerial photograph provided in Appendix </w:t>
      </w:r>
      <w:r>
        <w:t>H</w:t>
      </w:r>
      <w:r w:rsidRPr="00FD2F6D">
        <w:t xml:space="preserve"> for locations of these fill piles on the Site). Reportedly, a few hundred truckloads of soil were brought onto the Site and placed in various locations around Area 1 and around the former maintenance building (ESA 2013b) (Figure 4). These stockpiled soils were reportedly from replacement and expansion of the Lucky Dog Casino parking lot (ESA 2013b) and, possibly, from a 2005 bridge construction project on Skabob Creek (Nichols 2018). In June 2013, these stockpiles were noted to contain pipes, tires, wire, and metal fencing (ESA 2013a,b). The stockpiles were graded in 2019 in preparation for the RI Site investigation activities discussed in Section </w:t>
      </w:r>
      <w:r w:rsidRPr="00FD2F6D">
        <w:fldChar w:fldCharType="begin"/>
      </w:r>
      <w:r w:rsidRPr="00FD2F6D">
        <w:instrText xml:space="preserve"> REF _Ref45271681 \r \h </w:instrText>
      </w:r>
      <w:r>
        <w:instrText xml:space="preserve"> \* MERGEFORMAT </w:instrText>
      </w:r>
      <w:r w:rsidRPr="00FD2F6D">
        <w:fldChar w:fldCharType="separate"/>
      </w:r>
      <w:r w:rsidRPr="00FD2F6D">
        <w:t>3</w:t>
      </w:r>
      <w:r w:rsidRPr="00FD2F6D">
        <w:fldChar w:fldCharType="end"/>
      </w:r>
      <w:r w:rsidRPr="00FD2F6D">
        <w:t>. The hummocky, stockpiled soils were graded to enable vegetation clearing necessary to perform the geophysical surveys, install borings, and collect samples as specified in the RI Work Plan (Exponent 2019).</w:t>
      </w:r>
    </w:p>
    <w:p w14:paraId="1C86A89D" w14:textId="70B4FDD8" w:rsidR="007F768C" w:rsidRPr="00FD2F6D" w:rsidRDefault="007F768C" w:rsidP="00BB5E36">
      <w:pPr>
        <w:pStyle w:val="RptBodyText"/>
      </w:pPr>
      <w:r w:rsidRPr="00FD2F6D">
        <w:t xml:space="preserve">A former (now removed) wood-framed storage shed that was located to the west of the former maintenance building was used by the </w:t>
      </w:r>
      <w:r w:rsidR="00DC7C07">
        <w:t>Skokomish Tribe</w:t>
      </w:r>
      <w:r w:rsidRPr="00FD2F6D">
        <w:t xml:space="preserve"> (Figure 4). During a site visit conducted in June 2013 (ESA 2013a), several hazardous substances and stained soil were observed inside and outside the shed. Observed substances included open and leaking paint cans, 5-gallon containers of paint/water mixtures, computer hard drives and monitors, exposed computer components, and open 5-gallon containers of hydraulic oil. These containers held a mixture of paint and water, solvents and water, and hydraulic oil and water. The soil beneath the containers was stained as a result of overfills and spills from the unsecured containers. Five-gallon buckets of tar were also observed in the area of the shed in 2005 (PGG 2005).</w:t>
      </w:r>
      <w:r w:rsidRPr="00FD2F6D">
        <w:rPr>
          <w:rStyle w:val="FootnoteReference"/>
        </w:rPr>
        <w:footnoteReference w:id="6"/>
      </w:r>
      <w:r w:rsidRPr="00FD2F6D">
        <w:t xml:space="preserve"> During a site visit in June 2013, several boats were also being stored west of the former shed (ESA 2013a).</w:t>
      </w:r>
    </w:p>
    <w:p w14:paraId="74FF41C2" w14:textId="77777777" w:rsidR="007F768C" w:rsidRPr="00FD2F6D" w:rsidRDefault="007F768C" w:rsidP="00BB5E36">
      <w:pPr>
        <w:pStyle w:val="RptHeading-Level3"/>
      </w:pPr>
      <w:bookmarkStart w:id="40" w:name="_Ref43041340"/>
      <w:bookmarkStart w:id="41" w:name="_Toc59019820"/>
      <w:bookmarkStart w:id="42" w:name="_Toc98847324"/>
      <w:r w:rsidRPr="00FD2F6D">
        <w:t>Area 2—Southwest Area</w:t>
      </w:r>
      <w:bookmarkEnd w:id="40"/>
      <w:bookmarkEnd w:id="41"/>
      <w:bookmarkEnd w:id="42"/>
    </w:p>
    <w:p w14:paraId="7F8AAE8D" w14:textId="77777777" w:rsidR="007F768C" w:rsidRPr="00FD2F6D" w:rsidRDefault="007F768C" w:rsidP="00BB5E36">
      <w:pPr>
        <w:pStyle w:val="RptHeading-Level4"/>
      </w:pPr>
      <w:r w:rsidRPr="00FD2F6D">
        <w:t>WSDOT</w:t>
      </w:r>
    </w:p>
    <w:p w14:paraId="065759D4" w14:textId="7B53583B" w:rsidR="007F768C" w:rsidRPr="00FD2F6D" w:rsidRDefault="007F768C" w:rsidP="00BB5E36">
      <w:pPr>
        <w:pStyle w:val="RptBodyText"/>
      </w:pPr>
      <w:r w:rsidRPr="00FD2F6D">
        <w:t>According to a former WSDOT employee that worked at the former maintenance facility in the 1980s, the southwest area of the Site was used to dispose of unused asphalt, solid waste removed from roadsides, absorbent material used during fuel spills, drums, and wastes (ESA 2014c,d). The drums would have likely contained striping paint, waste oil generated at the maintenance facility, and/or herbicides</w:t>
      </w:r>
      <w:r w:rsidRPr="00FD2F6D">
        <w:rPr>
          <w:rStyle w:val="FootnoteReference"/>
        </w:rPr>
        <w:footnoteReference w:id="7"/>
      </w:r>
      <w:r w:rsidRPr="00FD2F6D">
        <w:t xml:space="preserve"> (ESA 2014d). A former WSDOT employee stated that after WSDOT trucks emptied unused asphalt in the southwest area of the Site, it was common practice to spray the trucks with diesel to remove residual asphalt from the truck bed. </w:t>
      </w:r>
      <w:r w:rsidRPr="009F6A0C">
        <w:t xml:space="preserve"> </w:t>
      </w:r>
      <w:r w:rsidR="007504AD">
        <w:t>Ray</w:t>
      </w:r>
      <w:r w:rsidR="007504AD" w:rsidRPr="00FD2F6D">
        <w:t xml:space="preserve"> Willard</w:t>
      </w:r>
      <w:r w:rsidRPr="00FD2F6D">
        <w:t xml:space="preserve">, State Roadside Asset Manager and WSDOT employee currently supporting WSDOT’s herbicide use, contacted the person who occupied his position in the 1960s and 1970s to inquire about historical herbicide use at the Site. This former WSDOT employee believes that the following herbicide compounds were stored at the Site and used by the crews that were based there: 2,4-Dichlorophenoxyacetic acid in various forms (2,4-D), Triclopyr, Diuron, Bromacil, Glyphosate, Atrazine, Sulfentrazone, Metsulfuron, and Ammonium Salt of Fosamine (Wynands 2018). </w:t>
      </w:r>
    </w:p>
    <w:p w14:paraId="601DBE34" w14:textId="77777777" w:rsidR="007F768C" w:rsidRPr="00FD2F6D" w:rsidRDefault="007F768C" w:rsidP="00BB5E36">
      <w:pPr>
        <w:pStyle w:val="RptBodyText"/>
      </w:pPr>
      <w:r w:rsidRPr="00FD2F6D">
        <w:t>Other features located in Area 2 and shown in Figure 4 include:</w:t>
      </w:r>
    </w:p>
    <w:p w14:paraId="7016C6D3" w14:textId="77777777" w:rsidR="007F768C" w:rsidRPr="00FD2F6D" w:rsidRDefault="007F768C" w:rsidP="00BB5E36">
      <w:pPr>
        <w:pStyle w:val="RptBullet-Level1"/>
      </w:pPr>
      <w:r w:rsidRPr="00FD2F6D">
        <w:t>Burial area for animal carcasses (i.e., roadkill) located west of the former maintenance building.</w:t>
      </w:r>
    </w:p>
    <w:p w14:paraId="34D6891C" w14:textId="77777777" w:rsidR="007F768C" w:rsidRPr="00FD2F6D" w:rsidRDefault="007F768C" w:rsidP="00BB5E36">
      <w:pPr>
        <w:pStyle w:val="RptBullet-Level1"/>
      </w:pPr>
      <w:r w:rsidRPr="00FD2F6D">
        <w:t>Sand storage area consisting of an asphalt pad located approximately 200 ft west of the former maintenance building (WSDOT 1995b). Reportedly, the sand stockpile was treated with salt but not with chemical deicers (WSDOT 1995b).</w:t>
      </w:r>
    </w:p>
    <w:p w14:paraId="0CEE052A" w14:textId="6A7B33E3" w:rsidR="007F768C" w:rsidRPr="00FD2F6D" w:rsidRDefault="00DC7C07" w:rsidP="00BB5E36">
      <w:pPr>
        <w:pStyle w:val="RptHeading-Level4"/>
      </w:pPr>
      <w:r>
        <w:t>Skokomish Tribe</w:t>
      </w:r>
      <w:r w:rsidR="007F768C" w:rsidRPr="00FD2F6D">
        <w:t xml:space="preserve"> </w:t>
      </w:r>
    </w:p>
    <w:p w14:paraId="2248D3A2" w14:textId="77777777" w:rsidR="007F768C" w:rsidRPr="00FD2F6D" w:rsidRDefault="007F768C" w:rsidP="00BB5E36">
      <w:pPr>
        <w:pStyle w:val="RptBodyText"/>
      </w:pPr>
      <w:r w:rsidRPr="00FD2F6D">
        <w:t xml:space="preserve">The Skokomish tribe stockpiled fill materials in Area 2. During a June 2013 site visit by ESA Associates, fill material observed in the southwest area of the Site contained metal fragments, tires, and car parts. As indicated by review of aerial photos (see the bare, hummocky stockpile features in the 2007 aerial photograph provided in Appendix </w:t>
      </w:r>
      <w:r>
        <w:t>H</w:t>
      </w:r>
      <w:r w:rsidRPr="00FD2F6D">
        <w:t xml:space="preserve"> for locations of these fill piles on the Site), fill materials were stockpiled on the southwest area of the Site (Area 2) in approximately 2006 (Figure 4). The stockpiles were graded in 2019 in preparation for the RI Site investigation activities discussed in Section </w:t>
      </w:r>
      <w:r w:rsidRPr="00FD2F6D">
        <w:fldChar w:fldCharType="begin"/>
      </w:r>
      <w:r w:rsidRPr="00FD2F6D">
        <w:instrText xml:space="preserve"> REF _Ref45271732 \r \h </w:instrText>
      </w:r>
      <w:r>
        <w:instrText xml:space="preserve"> \* MERGEFORMAT </w:instrText>
      </w:r>
      <w:r w:rsidRPr="00FD2F6D">
        <w:fldChar w:fldCharType="separate"/>
      </w:r>
      <w:r w:rsidRPr="00FD2F6D">
        <w:t>3</w:t>
      </w:r>
      <w:r w:rsidRPr="00FD2F6D">
        <w:fldChar w:fldCharType="end"/>
      </w:r>
      <w:r w:rsidRPr="00FD2F6D">
        <w:t>. The hummocky, stockpiled soils were graded to enable vegetation clearing necessary to perform the geophysical surveys, install borings, and collect samples as specified in the RI Work Plan (Exponent 2019).</w:t>
      </w:r>
    </w:p>
    <w:p w14:paraId="5EEBAA3E" w14:textId="77777777" w:rsidR="007F768C" w:rsidRPr="00FD2F6D" w:rsidRDefault="007F768C" w:rsidP="00BB5E36">
      <w:pPr>
        <w:pStyle w:val="RptHeading-Level3"/>
      </w:pPr>
      <w:bookmarkStart w:id="43" w:name="_Ref43041414"/>
      <w:bookmarkStart w:id="44" w:name="_Toc59019821"/>
      <w:bookmarkStart w:id="45" w:name="_Toc98847325"/>
      <w:r w:rsidRPr="00FD2F6D">
        <w:t>Area 3—Northern Area</w:t>
      </w:r>
      <w:bookmarkEnd w:id="43"/>
      <w:bookmarkEnd w:id="44"/>
      <w:bookmarkEnd w:id="45"/>
    </w:p>
    <w:p w14:paraId="11EEF5CD" w14:textId="77777777" w:rsidR="007F768C" w:rsidRPr="00FD2F6D" w:rsidRDefault="007F768C" w:rsidP="00BB5E36">
      <w:pPr>
        <w:pStyle w:val="RptHeading-Level4"/>
      </w:pPr>
      <w:r w:rsidRPr="00FD2F6D">
        <w:t>WSDOT</w:t>
      </w:r>
    </w:p>
    <w:p w14:paraId="175874D2" w14:textId="77777777" w:rsidR="007F768C" w:rsidRPr="00FD2F6D" w:rsidRDefault="007F768C" w:rsidP="00BB5E36">
      <w:pPr>
        <w:pStyle w:val="RptBodyText"/>
      </w:pPr>
      <w:r w:rsidRPr="00FD2F6D">
        <w:t>A gravel quarry located in the north central portion of the Site was operated from the late 1970s to approximately 1997 and the excavated materials were used in highway maintenance activities (WSDOT 1995b) (Figure 4). In March 1999, the quarry and area northeast of the quarry were filled with soil and debris from two landslides that occurred along Highway 101 (Ecology 2000) (Figure 4). The northern area of the Site, including the former quarry, was historically used for disposal of miscellaneous debris picked up along the highway by WSDOT crews (e.g., guardrail material, tires, wheels, and household paint cans) (WSDOT 1995b). Street sweepings were disposed of in the former quarry as well as landslide material containing remnants of burned buildings and fuel spill incident response materials (ESA 2015a).</w:t>
      </w:r>
    </w:p>
    <w:p w14:paraId="37864A5F" w14:textId="77777777" w:rsidR="007F768C" w:rsidRPr="00FD2F6D" w:rsidRDefault="007F768C" w:rsidP="00BB5E36">
      <w:pPr>
        <w:pStyle w:val="RptBodyText"/>
      </w:pPr>
      <w:r w:rsidRPr="00FD2F6D">
        <w:t xml:space="preserve">As noted in Section </w:t>
      </w:r>
      <w:r w:rsidRPr="00FD2F6D">
        <w:fldChar w:fldCharType="begin"/>
      </w:r>
      <w:r w:rsidRPr="00FD2F6D">
        <w:instrText xml:space="preserve"> REF _Ref44159742 \r \h </w:instrText>
      </w:r>
      <w:r>
        <w:instrText xml:space="preserve"> \* MERGEFORMAT </w:instrText>
      </w:r>
      <w:r w:rsidRPr="00FD2F6D">
        <w:fldChar w:fldCharType="separate"/>
      </w:r>
      <w:r w:rsidRPr="00FD2F6D">
        <w:t>2.3.1.1</w:t>
      </w:r>
      <w:r w:rsidRPr="00FD2F6D">
        <w:fldChar w:fldCharType="end"/>
      </w:r>
      <w:r w:rsidRPr="00FD2F6D">
        <w:t xml:space="preserve"> above, creosoted logs from the sander stand rack were burned by </w:t>
      </w:r>
      <w:r>
        <w:t>the Skokomish Tribe</w:t>
      </w:r>
      <w:r w:rsidRPr="00FD2F6D">
        <w:t xml:space="preserve"> (ESA 2013b) and solids from the washing of WSDOT vehicles were disposed of in the northern area of the Site (WSDOT 1995b).</w:t>
      </w:r>
    </w:p>
    <w:p w14:paraId="35DFED30" w14:textId="13828560" w:rsidR="007F768C" w:rsidRPr="00FD2F6D" w:rsidRDefault="00DC7C07" w:rsidP="00BB5E36">
      <w:pPr>
        <w:pStyle w:val="RptHeading-Level4"/>
      </w:pPr>
      <w:r>
        <w:t>Skokomish Tribe</w:t>
      </w:r>
    </w:p>
    <w:p w14:paraId="6A9B19A2" w14:textId="77777777" w:rsidR="007F768C" w:rsidRPr="00FD2F6D" w:rsidRDefault="007F768C" w:rsidP="00BB5E36">
      <w:pPr>
        <w:pStyle w:val="RptBodyText"/>
      </w:pPr>
      <w:r w:rsidRPr="00FD2F6D">
        <w:t xml:space="preserve">As indicated by review of aerial photos (see the bare, hummocky stockpile features in the 2007 aerial photograph provided in Appendix </w:t>
      </w:r>
      <w:r>
        <w:t>H</w:t>
      </w:r>
      <w:r w:rsidRPr="00FD2F6D">
        <w:t xml:space="preserve"> for locations of these fill piles on the Site), fill material was placed on portions of the northeastern part of the Site (Area 3) in approximately 2006 (Figure 4). These stockpiles were placed in the quarry, at the southeast corner of the former quarry, and along the eastern side of the access road. The stockpiles ranged in height from approximately 5 to 8 ft. The remaining stockpiles were graded in 2019 in preparation for the RI Site investigation activities discussed in Section </w:t>
      </w:r>
      <w:r w:rsidRPr="00FD2F6D">
        <w:fldChar w:fldCharType="begin"/>
      </w:r>
      <w:r w:rsidRPr="00FD2F6D">
        <w:instrText xml:space="preserve"> REF _Ref45271789 \r \h </w:instrText>
      </w:r>
      <w:r>
        <w:instrText xml:space="preserve"> \* MERGEFORMAT </w:instrText>
      </w:r>
      <w:r w:rsidRPr="00FD2F6D">
        <w:fldChar w:fldCharType="separate"/>
      </w:r>
      <w:r w:rsidRPr="00FD2F6D">
        <w:t>3</w:t>
      </w:r>
      <w:r w:rsidRPr="00FD2F6D">
        <w:fldChar w:fldCharType="end"/>
      </w:r>
      <w:r w:rsidRPr="00FD2F6D">
        <w:t>. The hummocky, stockpiled soils were graded to enable vegetation clearing necessary to perform the geophysical surveys, install borings, and collect samples as specified in the RI Work Plan (Exponent 2019).</w:t>
      </w:r>
    </w:p>
    <w:p w14:paraId="5B335BD4" w14:textId="11437BA9" w:rsidR="007F768C" w:rsidRPr="00FD2F6D" w:rsidRDefault="007F768C" w:rsidP="00BB5E36">
      <w:pPr>
        <w:pStyle w:val="RptBodyText"/>
      </w:pPr>
      <w:r w:rsidRPr="00FD2F6D">
        <w:t xml:space="preserve">The northern area of the Site (Area 3) was also used by the </w:t>
      </w:r>
      <w:r w:rsidR="00DC7C07">
        <w:t>Skokomish Tribe</w:t>
      </w:r>
      <w:r w:rsidRPr="00FD2F6D">
        <w:t xml:space="preserve"> to burn debris from land clearing activities and demolition projects (ESA 2015c). During a site visit in June 2013, large burn piles containing burned household items (e.g., plastic bottles, car parts, toys, metal fragments, and glass), a 55-gallon steel drum,</w:t>
      </w:r>
      <w:r w:rsidRPr="00FD2F6D">
        <w:rPr>
          <w:rStyle w:val="FootnoteReference"/>
        </w:rPr>
        <w:footnoteReference w:id="8"/>
      </w:r>
      <w:r w:rsidRPr="00FD2F6D">
        <w:t xml:space="preserve"> asphalt shingle roofing, plywood, and lumber were observed in the northern area of the Site (ESA 2013b). Hundreds of logs and a large pile of broken-up concrete slabs and blocks were also observed in the northern area of the Site in June 2013 (ESA 2013a). </w:t>
      </w:r>
    </w:p>
    <w:p w14:paraId="5C56B725" w14:textId="77777777" w:rsidR="007F768C" w:rsidRPr="00FD2F6D" w:rsidRDefault="007F768C" w:rsidP="00BB5E36">
      <w:pPr>
        <w:pStyle w:val="RptHeading-Level3"/>
      </w:pPr>
      <w:bookmarkStart w:id="46" w:name="_Toc59019822"/>
      <w:bookmarkStart w:id="47" w:name="_Toc98847326"/>
      <w:r w:rsidRPr="00FD2F6D">
        <w:t>Area 4—Wooded Area</w:t>
      </w:r>
      <w:bookmarkEnd w:id="46"/>
      <w:bookmarkEnd w:id="47"/>
    </w:p>
    <w:p w14:paraId="05BCEC33" w14:textId="77777777" w:rsidR="007F768C" w:rsidRPr="00FD2F6D" w:rsidRDefault="007F768C" w:rsidP="00BB5E36">
      <w:pPr>
        <w:pStyle w:val="RptBodyText"/>
      </w:pPr>
      <w:r w:rsidRPr="00FD2F6D">
        <w:t xml:space="preserve">A review of aerial photos (Exponent 2019, Appendix </w:t>
      </w:r>
      <w:r>
        <w:t>H</w:t>
      </w:r>
      <w:r w:rsidRPr="00FD2F6D">
        <w:t xml:space="preserve">, herein) indicates that Area 4 was not developed and has remained wooded. The wooded area of the Site consists of areas densely covered with trees and vegetation (Figure 4). This area is undeveloped and, therefore, environmental investigations were not conducted prior to the RI. </w:t>
      </w:r>
    </w:p>
    <w:p w14:paraId="3BBE0744" w14:textId="77777777" w:rsidR="007F768C" w:rsidRPr="00FD2F6D" w:rsidRDefault="007F768C" w:rsidP="00BB5E36">
      <w:pPr>
        <w:pStyle w:val="RptHeading-Level2"/>
      </w:pPr>
      <w:bookmarkStart w:id="48" w:name="_Ref44154405"/>
      <w:bookmarkStart w:id="49" w:name="_Ref44792541"/>
      <w:bookmarkStart w:id="50" w:name="_Ref44953521"/>
      <w:bookmarkStart w:id="51" w:name="_Toc59019823"/>
      <w:bookmarkStart w:id="52" w:name="_Toc98847327"/>
      <w:r w:rsidRPr="00FD2F6D">
        <w:t>Previous Environmental Investigations and Removal Actions</w:t>
      </w:r>
      <w:bookmarkEnd w:id="48"/>
      <w:bookmarkEnd w:id="49"/>
      <w:bookmarkEnd w:id="50"/>
      <w:bookmarkEnd w:id="51"/>
      <w:bookmarkEnd w:id="52"/>
    </w:p>
    <w:p w14:paraId="04299206" w14:textId="77777777" w:rsidR="007F768C" w:rsidRPr="00FD2F6D" w:rsidRDefault="007F768C" w:rsidP="00BB5E36">
      <w:pPr>
        <w:pStyle w:val="RptBodyText"/>
      </w:pPr>
      <w:r w:rsidRPr="00FD2F6D">
        <w:t xml:space="preserve">Several environmental investigations and removal activities have been conducted on the Site since 1995. These prior environmental investigations and removal actions are summarized and discussed in detail in Section 6 of the RI Work Plan (Exponent 2019) provided in Appendix </w:t>
      </w:r>
      <w:r>
        <w:t>H</w:t>
      </w:r>
      <w:r w:rsidRPr="00FD2F6D">
        <w:t>. Historical investigation locations and Site features are shown on Figure 5. Previous environmental investigations and removal actions included the following:</w:t>
      </w:r>
    </w:p>
    <w:p w14:paraId="49D3AD3F" w14:textId="77777777" w:rsidR="007F768C" w:rsidRPr="00FD2F6D" w:rsidRDefault="007F768C" w:rsidP="00BB5E36">
      <w:pPr>
        <w:pStyle w:val="RptBullet-Level1"/>
      </w:pPr>
      <w:bookmarkStart w:id="53" w:name="_Toc14423900"/>
      <w:r>
        <w:t xml:space="preserve">1995 WSDOT Phase I environmental site assessment, </w:t>
      </w:r>
      <w:r w:rsidRPr="00FD2F6D">
        <w:t>1995 WSDOT UST removal</w:t>
      </w:r>
      <w:bookmarkEnd w:id="53"/>
      <w:r>
        <w:t>,</w:t>
      </w:r>
      <w:r w:rsidRPr="00FD2F6D">
        <w:t xml:space="preserve"> and 1996 WSDOT soil removal (</w:t>
      </w:r>
      <w:bookmarkStart w:id="54" w:name="_Hlk44955652"/>
      <w:r w:rsidRPr="00FD2F6D">
        <w:t>WSDOT 1995a</w:t>
      </w:r>
      <w:r>
        <w:t>,b;</w:t>
      </w:r>
      <w:r w:rsidRPr="00FD2F6D">
        <w:t xml:space="preserve"> </w:t>
      </w:r>
      <w:bookmarkEnd w:id="54"/>
      <w:r w:rsidRPr="00FD2F6D">
        <w:t>U.S. EPA</w:t>
      </w:r>
      <w:r>
        <w:t>;</w:t>
      </w:r>
      <w:r w:rsidRPr="00FD2F6D">
        <w:t xml:space="preserve"> 1996</w:t>
      </w:r>
      <w:r>
        <w:t>;</w:t>
      </w:r>
      <w:r w:rsidRPr="00FD2F6D">
        <w:t xml:space="preserve"> </w:t>
      </w:r>
      <w:bookmarkStart w:id="55" w:name="_Hlk44955670"/>
      <w:r w:rsidRPr="00FD2F6D">
        <w:t>WSDOT 1996</w:t>
      </w:r>
      <w:bookmarkEnd w:id="55"/>
      <w:r w:rsidRPr="00FD2F6D">
        <w:t>)</w:t>
      </w:r>
    </w:p>
    <w:p w14:paraId="58AA2526" w14:textId="77777777" w:rsidR="007F768C" w:rsidRPr="00FD2F6D" w:rsidRDefault="007F768C" w:rsidP="00BB5E36">
      <w:pPr>
        <w:pStyle w:val="RptBullet-Level1"/>
      </w:pPr>
      <w:r w:rsidRPr="00FD2F6D">
        <w:t>1999 Ecology monitoring well installation (Ecology 2000)</w:t>
      </w:r>
    </w:p>
    <w:p w14:paraId="126005CA" w14:textId="77777777" w:rsidR="007F768C" w:rsidRPr="00FD2F6D" w:rsidRDefault="007F768C" w:rsidP="00BB5E36">
      <w:pPr>
        <w:pStyle w:val="RptBullet-Level1"/>
      </w:pPr>
      <w:r w:rsidRPr="00FD2F6D">
        <w:t>2005 PGG soil and groundwater investigation (PGG 2005)</w:t>
      </w:r>
    </w:p>
    <w:p w14:paraId="08CAC7D7" w14:textId="77777777" w:rsidR="007F768C" w:rsidRPr="00FD2F6D" w:rsidRDefault="007F768C" w:rsidP="00BB5E36">
      <w:pPr>
        <w:pStyle w:val="RptBullet-Level1"/>
      </w:pPr>
      <w:r w:rsidRPr="00FD2F6D">
        <w:t xml:space="preserve">2013 HWA hydrogeological study for a proposed wastewater treatment facility at the Site (HWA 2013) </w:t>
      </w:r>
    </w:p>
    <w:p w14:paraId="66613215" w14:textId="77777777" w:rsidR="007F768C" w:rsidRPr="00FD2F6D" w:rsidRDefault="007F768C" w:rsidP="00BB5E36">
      <w:pPr>
        <w:pStyle w:val="RptBullet-Level1"/>
      </w:pPr>
      <w:r w:rsidRPr="00FD2F6D">
        <w:t>2013 ESA Phase I environmental site assessment (ESA 2013a)</w:t>
      </w:r>
    </w:p>
    <w:p w14:paraId="39CB4B90" w14:textId="77777777" w:rsidR="007F768C" w:rsidRPr="00FD2F6D" w:rsidRDefault="007F768C" w:rsidP="00BB5E36">
      <w:pPr>
        <w:pStyle w:val="RptBullet-Level1"/>
      </w:pPr>
      <w:r w:rsidRPr="00FD2F6D">
        <w:t>2013 ESA Phase II investigation (ESA 2013b)</w:t>
      </w:r>
    </w:p>
    <w:p w14:paraId="471E976C" w14:textId="77777777" w:rsidR="007F768C" w:rsidRPr="00FD2F6D" w:rsidRDefault="007F768C" w:rsidP="00BB5E36">
      <w:pPr>
        <w:pStyle w:val="RptBullet-Level1"/>
      </w:pPr>
      <w:r w:rsidRPr="00FD2F6D">
        <w:t>2013–2014 ESA remediation and characterization (ESA 2013c, 2014a,b,c,</w:t>
      </w:r>
      <w:r>
        <w:t>d,</w:t>
      </w:r>
      <w:r w:rsidRPr="00FD2F6D">
        <w:t xml:space="preserve"> 2015b,c).</w:t>
      </w:r>
    </w:p>
    <w:p w14:paraId="5A155734" w14:textId="3A33774F" w:rsidR="007F768C" w:rsidRPr="00FD2F6D" w:rsidRDefault="007F768C" w:rsidP="00BB5E36">
      <w:pPr>
        <w:pStyle w:val="RptBodyText"/>
      </w:pPr>
      <w:r w:rsidRPr="00FD2F6D">
        <w:t xml:space="preserve">Much of the soil exceeding screening levels encountered in Areas 1, 2, and 3 during previous investigations was removed during activities conducted in August, September, and December 2014 (ESA 2013c, </w:t>
      </w:r>
      <w:bookmarkStart w:id="56" w:name="_Hlk44955728"/>
      <w:r w:rsidRPr="00FD2F6D">
        <w:t>2014a,b</w:t>
      </w:r>
      <w:bookmarkEnd w:id="56"/>
      <w:r w:rsidRPr="00FD2F6D">
        <w:t>,c, 2015b,c).</w:t>
      </w:r>
      <w:r>
        <w:t xml:space="preserve"> Approximately 1,850 tons of </w:t>
      </w:r>
      <w:r w:rsidRPr="003E508E">
        <w:t xml:space="preserve">impacted soil were removed and disposed of </w:t>
      </w:r>
      <w:r>
        <w:t xml:space="preserve">offsite during these </w:t>
      </w:r>
      <w:r w:rsidRPr="00FD2F6D">
        <w:t xml:space="preserve">remediation activities </w:t>
      </w:r>
      <w:r>
        <w:t xml:space="preserve">(ESA 2014b,c,d). The cleanup work was conducted as part of Ecology’s VCP (Ecology 2014, provided in Appendix A). </w:t>
      </w:r>
      <w:r w:rsidRPr="00FD2F6D">
        <w:t>Soil exceedances that remained on-Site following removal activities are all in Area 3 and shown in Figure 6. Three test pit locations in the northern part of Area 3 exceeded the screening levels for dioxins and furans. In the former quarry, four</w:t>
      </w:r>
      <w:r w:rsidR="006D065B">
        <w:t> </w:t>
      </w:r>
      <w:r w:rsidRPr="00FD2F6D">
        <w:t>trench locations exceeded the screening levels for dioxins and furans, and one trench location exceeded the screening level for benzene.</w:t>
      </w:r>
    </w:p>
    <w:p w14:paraId="7FBF3AA2" w14:textId="77777777" w:rsidR="007F768C" w:rsidRPr="00FD2F6D" w:rsidRDefault="007F768C" w:rsidP="00BB5E36">
      <w:pPr>
        <w:pStyle w:val="RptBodyText"/>
      </w:pPr>
      <w:bookmarkStart w:id="57" w:name="_Hlk77175921"/>
      <w:r w:rsidRPr="00FD2F6D">
        <w:t xml:space="preserve">Groundwater and perched water (when encountered) at the Site have historically had detections of total metals (arsenic, chromium, lead, and thallium) and/or total phosphorus above screening levels. However, the elevated metals </w:t>
      </w:r>
      <w:r>
        <w:t>are likely attributable</w:t>
      </w:r>
      <w:r w:rsidRPr="00FD2F6D">
        <w:t xml:space="preserve"> to particulates in unfiltered groundwater samples submitted for total metals analyses. Dissolved concentrations of arsenic, chromium, and lead were either not detected or were detected below screening levels. Total metals results appear to be associated with </w:t>
      </w:r>
      <w:r w:rsidRPr="00F064F7">
        <w:t>soil particulates</w:t>
      </w:r>
      <w:r>
        <w:t>,</w:t>
      </w:r>
      <w:r w:rsidRPr="00F064F7">
        <w:t xml:space="preserve"> and </w:t>
      </w:r>
      <w:r>
        <w:t>thus are</w:t>
      </w:r>
      <w:r w:rsidRPr="00F064F7">
        <w:t xml:space="preserve"> not representative of aquifer water quality</w:t>
      </w:r>
      <w:r w:rsidRPr="00FD2F6D">
        <w:t xml:space="preserve">. </w:t>
      </w:r>
      <w:r>
        <w:t>A</w:t>
      </w:r>
      <w:r w:rsidRPr="00FD2F6D">
        <w:t>nalysis of dissolved metals in groundwater is considered more representative of aquifer water quality.</w:t>
      </w:r>
      <w:bookmarkEnd w:id="57"/>
      <w:r w:rsidRPr="00FD2F6D">
        <w:t xml:space="preserve"> </w:t>
      </w:r>
    </w:p>
    <w:p w14:paraId="66394366" w14:textId="77777777" w:rsidR="007F768C" w:rsidRPr="00FD2F6D" w:rsidRDefault="007F768C" w:rsidP="00BB5E36">
      <w:pPr>
        <w:pStyle w:val="RptHeading-Level2"/>
      </w:pPr>
      <w:bookmarkStart w:id="58" w:name="_Ref42869290"/>
      <w:bookmarkStart w:id="59" w:name="_Toc59019824"/>
      <w:bookmarkStart w:id="60" w:name="_Toc98847328"/>
      <w:r w:rsidRPr="00FD2F6D">
        <w:t>Constituents of Interest</w:t>
      </w:r>
      <w:bookmarkEnd w:id="58"/>
      <w:bookmarkEnd w:id="59"/>
      <w:bookmarkEnd w:id="60"/>
    </w:p>
    <w:p w14:paraId="3DDB8549" w14:textId="77777777" w:rsidR="007F768C" w:rsidRPr="00FD2F6D" w:rsidRDefault="007F768C" w:rsidP="00BB5E36">
      <w:pPr>
        <w:pStyle w:val="RptBodyText"/>
      </w:pPr>
      <w:r w:rsidRPr="00FD2F6D">
        <w:t xml:space="preserve">Based on historical land use and activities, and prior investigations, the following COI categories were identified in the RI Work Plan (Exponent 2019; Appendix </w:t>
      </w:r>
      <w:r>
        <w:t>H</w:t>
      </w:r>
      <w:r w:rsidRPr="00FD2F6D">
        <w:t>, herein) for soil and groundwater:</w:t>
      </w:r>
    </w:p>
    <w:p w14:paraId="29950435" w14:textId="77777777" w:rsidR="007F768C" w:rsidRPr="00FD2F6D" w:rsidRDefault="007F768C" w:rsidP="00BB5E36">
      <w:pPr>
        <w:pStyle w:val="RptHeading-Level6"/>
      </w:pPr>
      <w:r w:rsidRPr="00FD2F6D">
        <w:t>Soil COIs</w:t>
      </w:r>
    </w:p>
    <w:p w14:paraId="54CF320E" w14:textId="16158EF9" w:rsidR="007F768C" w:rsidRPr="00FD2F6D" w:rsidRDefault="007F768C" w:rsidP="00BB5E36">
      <w:pPr>
        <w:pStyle w:val="RptBullet-Level1"/>
      </w:pPr>
      <w:r w:rsidRPr="00FD2F6D">
        <w:t>TPH</w:t>
      </w:r>
    </w:p>
    <w:p w14:paraId="2BC023E5" w14:textId="77777777" w:rsidR="007F768C" w:rsidRPr="00FD2F6D" w:rsidRDefault="007F768C" w:rsidP="00BB5E36">
      <w:pPr>
        <w:pStyle w:val="RptBullet-Level1"/>
      </w:pPr>
      <w:r w:rsidRPr="00FD2F6D">
        <w:t>Metals</w:t>
      </w:r>
    </w:p>
    <w:p w14:paraId="052DD5BF" w14:textId="1DF47BF4" w:rsidR="007F768C" w:rsidRPr="00FD2F6D" w:rsidRDefault="007F768C" w:rsidP="00BB5E36">
      <w:pPr>
        <w:pStyle w:val="RptBullet-Level1"/>
      </w:pPr>
      <w:r w:rsidRPr="00FD2F6D">
        <w:t>VOCs</w:t>
      </w:r>
    </w:p>
    <w:p w14:paraId="4A6DB3CA" w14:textId="1570B076" w:rsidR="007F768C" w:rsidRPr="00FD2F6D" w:rsidRDefault="007F768C" w:rsidP="00BB5E36">
      <w:pPr>
        <w:pStyle w:val="RptBullet-Level1"/>
      </w:pPr>
      <w:r w:rsidRPr="00FD2F6D">
        <w:rPr>
          <w:spacing w:val="-2"/>
        </w:rPr>
        <w:t>SVOCs</w:t>
      </w:r>
    </w:p>
    <w:p w14:paraId="6D971715" w14:textId="54ED217C" w:rsidR="007F768C" w:rsidRPr="00FD2F6D" w:rsidRDefault="007F768C" w:rsidP="00BB5E36">
      <w:pPr>
        <w:pStyle w:val="RptBullet-Level1"/>
      </w:pPr>
      <w:r w:rsidRPr="00FD2F6D">
        <w:t>PAHs</w:t>
      </w:r>
    </w:p>
    <w:p w14:paraId="585D8480" w14:textId="7F096EAB" w:rsidR="007F768C" w:rsidRPr="00FD2F6D" w:rsidRDefault="007F768C" w:rsidP="00BB5E36">
      <w:pPr>
        <w:pStyle w:val="RptBullet-Level1"/>
      </w:pPr>
      <w:r w:rsidRPr="00FD2F6D">
        <w:t>dioxins/furans</w:t>
      </w:r>
    </w:p>
    <w:p w14:paraId="16B116B7" w14:textId="77777777" w:rsidR="007F768C" w:rsidRPr="00FD2F6D" w:rsidRDefault="007F768C" w:rsidP="00BB5E36">
      <w:pPr>
        <w:pStyle w:val="RptBullet-Level1"/>
      </w:pPr>
      <w:r w:rsidRPr="00FD2F6D">
        <w:t>Herbicides (chlorinated and non-chlorinated).</w:t>
      </w:r>
    </w:p>
    <w:p w14:paraId="69D181B2" w14:textId="77777777" w:rsidR="007F768C" w:rsidRPr="00FD2F6D" w:rsidRDefault="007F768C" w:rsidP="00BB5E36">
      <w:pPr>
        <w:pStyle w:val="RptHeading-Level6"/>
      </w:pPr>
      <w:r w:rsidRPr="00FD2F6D">
        <w:t>Groundwater COIs</w:t>
      </w:r>
    </w:p>
    <w:p w14:paraId="256968AD" w14:textId="77777777" w:rsidR="007F768C" w:rsidRPr="00FD2F6D" w:rsidRDefault="007F768C" w:rsidP="00BB5E36">
      <w:pPr>
        <w:pStyle w:val="RptBullet-Level1"/>
      </w:pPr>
      <w:r w:rsidRPr="00FD2F6D">
        <w:t>TPH</w:t>
      </w:r>
    </w:p>
    <w:p w14:paraId="57E1749C" w14:textId="77777777" w:rsidR="007F768C" w:rsidRPr="00FD2F6D" w:rsidRDefault="007F768C" w:rsidP="00BB5E36">
      <w:pPr>
        <w:pStyle w:val="RptBullet-Level1"/>
      </w:pPr>
      <w:r w:rsidRPr="00FD2F6D">
        <w:t>Metals</w:t>
      </w:r>
    </w:p>
    <w:p w14:paraId="7F43749C" w14:textId="77777777" w:rsidR="007F768C" w:rsidRPr="00FD2F6D" w:rsidRDefault="007F768C" w:rsidP="00BB5E36">
      <w:pPr>
        <w:pStyle w:val="RptBullet-Level1"/>
      </w:pPr>
      <w:r w:rsidRPr="00FD2F6D">
        <w:t>VOCs.</w:t>
      </w:r>
    </w:p>
    <w:p w14:paraId="24617E8D" w14:textId="77777777" w:rsidR="007F768C" w:rsidRPr="00FD2F6D" w:rsidRDefault="007F768C" w:rsidP="00BB5E36">
      <w:pPr>
        <w:pStyle w:val="RptHeading-Level2"/>
      </w:pPr>
      <w:bookmarkStart w:id="61" w:name="_Toc59019825"/>
      <w:bookmarkStart w:id="62" w:name="_Toc98847329"/>
      <w:r w:rsidRPr="00FD2F6D">
        <w:t>Current and Potential Future Land Use and Development</w:t>
      </w:r>
      <w:bookmarkEnd w:id="61"/>
      <w:bookmarkEnd w:id="62"/>
    </w:p>
    <w:p w14:paraId="4B40B7D8" w14:textId="77777777" w:rsidR="007F768C" w:rsidRPr="00FD2F6D" w:rsidRDefault="007F768C" w:rsidP="00BB5E36">
      <w:pPr>
        <w:pStyle w:val="RptBodyText"/>
      </w:pPr>
      <w:r w:rsidRPr="00FD2F6D">
        <w:t>The property is zoned Indian Reservation (</w:t>
      </w:r>
      <w:bookmarkStart w:id="63" w:name="_Hlk44955786"/>
      <w:r w:rsidRPr="00FD2F6D">
        <w:t>Mason County 2014</w:t>
      </w:r>
      <w:bookmarkEnd w:id="63"/>
      <w:r w:rsidRPr="00FD2F6D">
        <w:t>). The eastern portion of the Site (approximately nine acres) is disturbed and is predominantly covered with exotic Himalayan blackberry (</w:t>
      </w:r>
      <w:r w:rsidRPr="00FD2F6D">
        <w:rPr>
          <w:i/>
          <w:iCs/>
        </w:rPr>
        <w:t>Rubus armeniacus</w:t>
      </w:r>
      <w:r w:rsidRPr="00FD2F6D">
        <w:t>). This area contains compacted paths for cars and trucks and, in the southwest corner of the Site, a gravel parking lot and access road that provides overflow parking for the Skokomish Tribe Community Center (Figure 2). The western portion of the Site (approximately five acres) is covered in early-to-mid successional Douglas fir (</w:t>
      </w:r>
      <w:r w:rsidRPr="00FD2F6D">
        <w:rPr>
          <w:i/>
          <w:iCs/>
        </w:rPr>
        <w:t>Pseudotsuga menziesii</w:t>
      </w:r>
      <w:r w:rsidRPr="00FD2F6D">
        <w:t xml:space="preserve">) forestland (Figure 2). </w:t>
      </w:r>
    </w:p>
    <w:p w14:paraId="0CD9C465" w14:textId="7DABA857" w:rsidR="007F768C" w:rsidRPr="00FD2F6D" w:rsidRDefault="007F768C" w:rsidP="00BB5E36">
      <w:pPr>
        <w:pStyle w:val="RptBodyText"/>
      </w:pPr>
      <w:r w:rsidRPr="00FD2F6D">
        <w:t xml:space="preserve">The </w:t>
      </w:r>
      <w:r w:rsidR="00DC7C07">
        <w:t>Skokomish Tribe</w:t>
      </w:r>
      <w:r w:rsidR="002875CE">
        <w:t xml:space="preserve"> presently</w:t>
      </w:r>
      <w:r w:rsidRPr="00FD2F6D">
        <w:t xml:space="preserve"> intends to develop the Site as part of a master plan that includes construction of </w:t>
      </w:r>
      <w:r>
        <w:t>a skate park, basketball court, workout facility,</w:t>
      </w:r>
      <w:r w:rsidRPr="00FD2F6D">
        <w:t xml:space="preserve"> and accompanying roads, parking lots, and paths. </w:t>
      </w:r>
      <w:r w:rsidR="006D2C8E">
        <w:t xml:space="preserve">The Skokomish Tribe is also considering using the </w:t>
      </w:r>
      <w:r w:rsidR="00CD6DA7">
        <w:t xml:space="preserve">land for tribal offices. </w:t>
      </w:r>
      <w:r w:rsidRPr="00FD2F6D">
        <w:t xml:space="preserve">The </w:t>
      </w:r>
      <w:r w:rsidR="00CD6DA7">
        <w:t xml:space="preserve">currently </w:t>
      </w:r>
      <w:r w:rsidRPr="00FD2F6D">
        <w:t xml:space="preserve">planned features are shown in Figure 7, along with the historical features discussed above. Ultimately, the </w:t>
      </w:r>
      <w:r w:rsidR="00DC7C07">
        <w:t>Skokomish Tribe</w:t>
      </w:r>
      <w:r w:rsidRPr="00FD2F6D">
        <w:t xml:space="preserve"> plans to place the entire Site (Areas 1 through 4) into trust with DOI.</w:t>
      </w:r>
    </w:p>
    <w:p w14:paraId="195011E3" w14:textId="77777777" w:rsidR="007F768C" w:rsidRPr="00FD2F6D" w:rsidRDefault="007F768C" w:rsidP="00BB5E36">
      <w:pPr>
        <w:pStyle w:val="RptHeading-Level1"/>
      </w:pPr>
      <w:bookmarkStart w:id="64" w:name="_Ref45271681"/>
      <w:bookmarkStart w:id="65" w:name="_Ref45271732"/>
      <w:bookmarkStart w:id="66" w:name="_Ref45271789"/>
      <w:bookmarkStart w:id="67" w:name="_Toc59019826"/>
      <w:bookmarkStart w:id="68" w:name="_Toc98847330"/>
      <w:r w:rsidRPr="00FD2F6D">
        <w:t>Remedial Investigation Activities</w:t>
      </w:r>
      <w:bookmarkEnd w:id="64"/>
      <w:bookmarkEnd w:id="65"/>
      <w:bookmarkEnd w:id="66"/>
      <w:bookmarkEnd w:id="67"/>
      <w:bookmarkEnd w:id="68"/>
    </w:p>
    <w:p w14:paraId="2FCAF7F9" w14:textId="77777777" w:rsidR="007F768C" w:rsidRPr="00FD2F6D" w:rsidRDefault="007F768C" w:rsidP="00BB5E36">
      <w:pPr>
        <w:pStyle w:val="RptBodyText"/>
      </w:pPr>
      <w:r w:rsidRPr="00FD2F6D">
        <w:t>The objective of the RI was to address data gaps identified in the RI Work Plan (Exponent 2019). The field work consisted of the following elements:</w:t>
      </w:r>
    </w:p>
    <w:p w14:paraId="1897E260" w14:textId="77777777" w:rsidR="007F768C" w:rsidRPr="00FD2F6D" w:rsidRDefault="007F768C" w:rsidP="00BB5E36">
      <w:pPr>
        <w:pStyle w:val="RptBullet-Level1"/>
      </w:pPr>
      <w:r w:rsidRPr="00FD2F6D">
        <w:rPr>
          <w:b/>
        </w:rPr>
        <w:t>Geophysical Surveying:</w:t>
      </w:r>
      <w:r w:rsidRPr="00FD2F6D">
        <w:t xml:space="preserve"> Conducted in the fill zones across the Site to identify anomalous buried items such as drums, containers, tanks, or piping.</w:t>
      </w:r>
    </w:p>
    <w:p w14:paraId="15D44B54" w14:textId="77777777" w:rsidR="007F768C" w:rsidRPr="00FD2F6D" w:rsidRDefault="007F768C" w:rsidP="00BB5E36">
      <w:pPr>
        <w:pStyle w:val="RptBullet-Level1"/>
      </w:pPr>
      <w:r w:rsidRPr="00FD2F6D">
        <w:rPr>
          <w:b/>
        </w:rPr>
        <w:t>Test Pitting to Evaluate Geophysical Survey Anomalies:</w:t>
      </w:r>
      <w:r w:rsidRPr="00FD2F6D">
        <w:t xml:space="preserve"> Conducted to evaluate anomalies identified during the geophysical survey work.</w:t>
      </w:r>
    </w:p>
    <w:p w14:paraId="0C5A8FD0" w14:textId="77777777" w:rsidR="007F768C" w:rsidRPr="00FD2F6D" w:rsidRDefault="007F768C" w:rsidP="00BB5E36">
      <w:pPr>
        <w:pStyle w:val="RptBullet-Level1"/>
      </w:pPr>
      <w:r w:rsidRPr="00FD2F6D">
        <w:rPr>
          <w:b/>
        </w:rPr>
        <w:t>Soil Boring and Soil Sampling:</w:t>
      </w:r>
      <w:r w:rsidRPr="00FD2F6D">
        <w:t xml:space="preserve"> Completed to characterize surface and subsurface soils and address data gaps identified in the RI Work Plan.</w:t>
      </w:r>
    </w:p>
    <w:p w14:paraId="094BDE2E" w14:textId="77777777" w:rsidR="007F768C" w:rsidRPr="00FD2F6D" w:rsidRDefault="007F768C" w:rsidP="00BB5E36">
      <w:pPr>
        <w:pStyle w:val="RptBullet-Level1"/>
      </w:pPr>
      <w:r w:rsidRPr="00FD2F6D">
        <w:rPr>
          <w:b/>
        </w:rPr>
        <w:t xml:space="preserve">Surface Soil Sampling: </w:t>
      </w:r>
      <w:r w:rsidRPr="00FD2F6D">
        <w:t>Collected to characterize the former stockpiled soils and the soils in the forested western portion of the Site (Area 4).</w:t>
      </w:r>
    </w:p>
    <w:p w14:paraId="3E97465B" w14:textId="77777777" w:rsidR="007F768C" w:rsidRPr="00FD2F6D" w:rsidRDefault="007F768C" w:rsidP="00BB5E36">
      <w:pPr>
        <w:pStyle w:val="RptBullet-Level1"/>
      </w:pPr>
      <w:r w:rsidRPr="00FD2F6D">
        <w:rPr>
          <w:b/>
        </w:rPr>
        <w:t>Groundwater Sampling:</w:t>
      </w:r>
      <w:r w:rsidRPr="00FD2F6D">
        <w:t xml:space="preserve"> Conducted to characterize shallow groundwater and address data gaps identified in the RI Work Plan.</w:t>
      </w:r>
    </w:p>
    <w:p w14:paraId="6D48E6A4" w14:textId="77777777" w:rsidR="007F768C" w:rsidRPr="00FD2F6D" w:rsidRDefault="007F768C" w:rsidP="00BB5E36">
      <w:pPr>
        <w:pStyle w:val="RptBodyText"/>
      </w:pPr>
      <w:r w:rsidRPr="00FD2F6D">
        <w:t xml:space="preserve">The RI Sampling and Analysis Plan (SAP) is included in Section 10 of the RI Work Plan (Exponent 2019). Companion plans to the RI Work Plan included the QAPP (Appendix F of the RI Work Plan) and the Health and Safety Plan (HASP; Appendix G of the RI Work Plan). </w:t>
      </w:r>
      <w:bookmarkStart w:id="69" w:name="_Hlk44647731"/>
      <w:r w:rsidRPr="00FD2F6D">
        <w:t xml:space="preserve">A copy of the work plan and its appendices is provided in Appendix </w:t>
      </w:r>
      <w:r>
        <w:t>H</w:t>
      </w:r>
      <w:r w:rsidRPr="00FD2F6D">
        <w:t xml:space="preserve"> to this report</w:t>
      </w:r>
      <w:bookmarkEnd w:id="69"/>
      <w:r w:rsidRPr="00FD2F6D">
        <w:t xml:space="preserve">, and a summary of deviations from the Work Plan (conducted with Ecology concurrence) is provided in Appendix </w:t>
      </w:r>
      <w:r>
        <w:t>F</w:t>
      </w:r>
      <w:r w:rsidRPr="00FD2F6D">
        <w:t xml:space="preserve">. </w:t>
      </w:r>
    </w:p>
    <w:p w14:paraId="20C518A4" w14:textId="6D4D903E" w:rsidR="007F768C" w:rsidRPr="00FD2F6D" w:rsidRDefault="007F768C" w:rsidP="00BB5E36">
      <w:pPr>
        <w:pStyle w:val="RptBodyText"/>
      </w:pPr>
      <w:bookmarkStart w:id="70" w:name="_Ref38110898"/>
      <w:r w:rsidRPr="00FD2F6D">
        <w:t>Land clearing was performed June 5 to 10, 2019, to prepare the Site for the geophysical surveys and the planned RI sampling program. Areas 1, 2, and 3 were dozed and grubbed. Trees with a diameter greater than approximately 4 in</w:t>
      </w:r>
      <w:r w:rsidR="00026051">
        <w:t>ches</w:t>
      </w:r>
      <w:r w:rsidRPr="00FD2F6D">
        <w:t xml:space="preserve"> were not removed. To facilitate </w:t>
      </w:r>
      <w:r>
        <w:t>vegetation clearance</w:t>
      </w:r>
      <w:r w:rsidRPr="00FD2F6D">
        <w:t xml:space="preserve">, the stockpiled soils, which are shown in Figure 4, were graded. Following grading </w:t>
      </w:r>
      <w:r>
        <w:t xml:space="preserve">of </w:t>
      </w:r>
      <w:r w:rsidRPr="00FD2F6D">
        <w:t>the formerly stockpiled soils</w:t>
      </w:r>
      <w:r>
        <w:t>,</w:t>
      </w:r>
      <w:r w:rsidRPr="00FD2F6D">
        <w:t xml:space="preserve"> </w:t>
      </w:r>
      <w:r>
        <w:t xml:space="preserve">the depth of fill resulting from regrading was </w:t>
      </w:r>
      <w:r w:rsidRPr="00FD2F6D">
        <w:t xml:space="preserve">3 ft </w:t>
      </w:r>
      <w:r>
        <w:t>or less</w:t>
      </w:r>
      <w:r w:rsidRPr="00FD2F6D">
        <w:t>.</w:t>
      </w:r>
    </w:p>
    <w:p w14:paraId="444F172E" w14:textId="77777777" w:rsidR="007F768C" w:rsidRPr="00FD2F6D" w:rsidRDefault="007F768C" w:rsidP="00BB5E36">
      <w:pPr>
        <w:pStyle w:val="RptBodyText"/>
      </w:pPr>
      <w:r w:rsidRPr="00FD2F6D">
        <w:t>Planned soil boring and surface soil sampling locations were surveyed, staked, and flagged by Parametrix on July 23, 2019. The ground surface and top of the casing at each of the permanent monitoring wells (SKOK-1 through SKOK-6) were also surveyed by Parametrix on July 23, 2019. Boring, surface soil, and monitoring well location coordinates and elevations are provided in Table 1.</w:t>
      </w:r>
      <w:r>
        <w:t xml:space="preserve"> Field notes for all RI activities are provided in Appendix D. </w:t>
      </w:r>
    </w:p>
    <w:p w14:paraId="2939241E" w14:textId="77777777" w:rsidR="007F768C" w:rsidRPr="00FD2F6D" w:rsidRDefault="007F768C" w:rsidP="00BB5E36">
      <w:pPr>
        <w:pStyle w:val="RptHeading-Level2"/>
      </w:pPr>
      <w:bookmarkStart w:id="71" w:name="_Ref38203965"/>
      <w:bookmarkStart w:id="72" w:name="_Ref38967183"/>
      <w:bookmarkStart w:id="73" w:name="_Toc59019827"/>
      <w:bookmarkStart w:id="74" w:name="_Toc98847331"/>
      <w:r w:rsidRPr="00FD2F6D">
        <w:t>Geophysical Survey</w:t>
      </w:r>
      <w:bookmarkEnd w:id="70"/>
      <w:r w:rsidRPr="00FD2F6D">
        <w:t>s</w:t>
      </w:r>
      <w:bookmarkEnd w:id="71"/>
      <w:bookmarkEnd w:id="72"/>
      <w:bookmarkEnd w:id="73"/>
      <w:bookmarkEnd w:id="74"/>
    </w:p>
    <w:p w14:paraId="102B55AA" w14:textId="77777777" w:rsidR="007F768C" w:rsidRPr="00FD2F6D" w:rsidRDefault="007F768C" w:rsidP="00BB5E36">
      <w:pPr>
        <w:pStyle w:val="RptBodyText"/>
      </w:pPr>
      <w:r w:rsidRPr="00FD2F6D">
        <w:t xml:space="preserve">Electromagnetic induction (EMI) and ground penetrating radar (GPR) geophysical surveys were performed at the Site from June 11 to 17, 2019, by ECA Geophysics to identify anomalous buried items such as drums, containers, tanks, or piping (if present). The approach and methodology for the geophysical investigation of the Site relied on two phases of data collection using EMI and GPR methods. The EMI survey was completed first as a reconnaissance survey. EMI identifies lateral changes in the soil conductivity and detects the presence of metal (magnetic susceptibility) in buried objects up to 12 ft bgs. Anomalies identified during the EMI survey were then imaged with GPR, which can detect competent features like buried piping, drums, or dense accumulations of trash up to 30 ft bgs at the Site. GPR was also used to image the upper 30 ft of the subsurface to determine approximate fill depths along three traverses through known fill areas at the Site. The results of each survey are described below. The detailed report prepared by ECA Geophysics summarizing the surveys and results is provided in Appendix </w:t>
      </w:r>
      <w:r>
        <w:t>B</w:t>
      </w:r>
      <w:r w:rsidRPr="00FD2F6D">
        <w:t>.</w:t>
      </w:r>
    </w:p>
    <w:p w14:paraId="6982082A" w14:textId="77777777" w:rsidR="007F768C" w:rsidRPr="00FD2F6D" w:rsidRDefault="007F768C" w:rsidP="00BB5E36">
      <w:pPr>
        <w:pStyle w:val="RptHeading-Level3"/>
      </w:pPr>
      <w:bookmarkStart w:id="75" w:name="_Toc59019828"/>
      <w:bookmarkStart w:id="76" w:name="_Toc98847332"/>
      <w:r w:rsidRPr="00FD2F6D">
        <w:t>EMI Survey</w:t>
      </w:r>
      <w:bookmarkEnd w:id="75"/>
      <w:bookmarkEnd w:id="76"/>
    </w:p>
    <w:p w14:paraId="3C800FF2" w14:textId="25BB6EFB" w:rsidR="007F768C" w:rsidRPr="00FD2F6D" w:rsidRDefault="007F768C" w:rsidP="00BB5E36">
      <w:pPr>
        <w:pStyle w:val="RptBodyText"/>
      </w:pPr>
      <w:r w:rsidRPr="00FD2F6D">
        <w:t>An EMI survey was completed in Areas 1, 2, and 3 (approximately 9.3 acres) with 10-ft spaced traverses (i.e., lines) in a consistent east-west direction (</w:t>
      </w:r>
      <w:r w:rsidRPr="00FD2F6D">
        <w:rPr>
          <w:i/>
          <w:iCs/>
        </w:rPr>
        <w:t>EMI Anomaly Map, EMI traverses</w:t>
      </w:r>
      <w:r w:rsidRPr="00FD2F6D">
        <w:t xml:space="preserve"> in Appendix </w:t>
      </w:r>
      <w:r>
        <w:t>B</w:t>
      </w:r>
      <w:r w:rsidRPr="00FD2F6D">
        <w:t>). The apparently undeveloped forested area (Area 4) could not be surveyed due to the thick vegetative cover. The EMI survey of Areas 1, 2, and 3 identified 19</w:t>
      </w:r>
      <w:r w:rsidR="006D065B">
        <w:t> </w:t>
      </w:r>
      <w:r w:rsidRPr="00FD2F6D">
        <w:t>potential anomalies (Locations 1 through 19) that warranted follow up GPR surveying (</w:t>
      </w:r>
      <w:r w:rsidRPr="00FD2F6D">
        <w:rPr>
          <w:i/>
          <w:iCs/>
        </w:rPr>
        <w:t>EMI Anomaly Map, Soil Conductivity [Q] and Metal Detection [I]</w:t>
      </w:r>
      <w:r w:rsidRPr="00FD2F6D">
        <w:t xml:space="preserve"> in Appendix </w:t>
      </w:r>
      <w:r>
        <w:t>B</w:t>
      </w:r>
      <w:r w:rsidRPr="00FD2F6D">
        <w:t xml:space="preserve">). </w:t>
      </w:r>
    </w:p>
    <w:p w14:paraId="17F084D8" w14:textId="77777777" w:rsidR="007F768C" w:rsidRPr="00FD2F6D" w:rsidRDefault="007F768C" w:rsidP="00BB5E36">
      <w:pPr>
        <w:pStyle w:val="RptHeading-Level3"/>
      </w:pPr>
      <w:bookmarkStart w:id="77" w:name="_Ref45013811"/>
      <w:bookmarkStart w:id="78" w:name="_Toc59019829"/>
      <w:bookmarkStart w:id="79" w:name="_Toc98847333"/>
      <w:r w:rsidRPr="00FD2F6D">
        <w:t>GPR Survey</w:t>
      </w:r>
      <w:bookmarkEnd w:id="77"/>
      <w:bookmarkEnd w:id="78"/>
      <w:bookmarkEnd w:id="79"/>
    </w:p>
    <w:p w14:paraId="0125025A" w14:textId="77777777" w:rsidR="007F768C" w:rsidRPr="00FD2F6D" w:rsidRDefault="007F768C" w:rsidP="00BB5E36">
      <w:pPr>
        <w:pStyle w:val="RptBodyText"/>
      </w:pPr>
      <w:r w:rsidRPr="00FD2F6D">
        <w:t>Anomalies identified during the EMI survey were then imaged with GPR. The follow up GPR survey was conducted to differentiate EMI anomalies attributable to lateral changes in soil conductivity as opposed to EMI anomalies attributable to buried items. The GPR survey consisted of isolated, 40-ft long sets of crisscross traverses over each of the 19 EMI anomaly locations, except for Locations 1, 2, and 19, where approximately 80-ft traverses were made because of dense vegetation limiting access in these areas (</w:t>
      </w:r>
      <w:r w:rsidRPr="00FD2F6D">
        <w:rPr>
          <w:i/>
          <w:iCs/>
        </w:rPr>
        <w:t>EMI Anomaly Map, Soil Conductivity [Q] and Metal Detection [I]</w:t>
      </w:r>
      <w:r w:rsidRPr="00FD2F6D">
        <w:t xml:space="preserve"> in Appendix </w:t>
      </w:r>
      <w:r>
        <w:t>B</w:t>
      </w:r>
      <w:r w:rsidRPr="00FD2F6D">
        <w:t>). Of the 19 EMI anomaly areas that were subsequently surveyed by GPR, a total of five GPR anomalies were identified at Anomaly Locations 1, 3, 12, and 16, all at depths of 5 ft or less:</w:t>
      </w:r>
    </w:p>
    <w:p w14:paraId="03D7ECCC" w14:textId="77777777" w:rsidR="007F768C" w:rsidRPr="00FD2F6D" w:rsidRDefault="007F768C" w:rsidP="00BB5E36">
      <w:pPr>
        <w:pStyle w:val="RptBullet-Level1"/>
      </w:pPr>
      <w:r w:rsidRPr="00FD2F6D">
        <w:rPr>
          <w:b/>
          <w:bCs/>
        </w:rPr>
        <w:t>Anomaly Location 1:</w:t>
      </w:r>
      <w:r w:rsidRPr="00FD2F6D">
        <w:t xml:space="preserve"> likely a short section of piping buried at a depth of approximately 2.5 ft</w:t>
      </w:r>
    </w:p>
    <w:p w14:paraId="0DA40722" w14:textId="77777777" w:rsidR="007F768C" w:rsidRPr="00FD2F6D" w:rsidRDefault="007F768C" w:rsidP="00BB5E36">
      <w:pPr>
        <w:pStyle w:val="RptBullet-Level1"/>
      </w:pPr>
      <w:r w:rsidRPr="00FD2F6D">
        <w:rPr>
          <w:b/>
          <w:bCs/>
        </w:rPr>
        <w:t>Anomaly Location 3:</w:t>
      </w:r>
      <w:r w:rsidRPr="00FD2F6D">
        <w:t xml:space="preserve"> an unknown object buried at a depth of approximately 5.0 ft</w:t>
      </w:r>
    </w:p>
    <w:p w14:paraId="68B26B17" w14:textId="77777777" w:rsidR="007F768C" w:rsidRPr="00FD2F6D" w:rsidRDefault="007F768C" w:rsidP="00BB5E36">
      <w:pPr>
        <w:pStyle w:val="RptBullet-Level1"/>
      </w:pPr>
      <w:r w:rsidRPr="00FD2F6D">
        <w:rPr>
          <w:b/>
          <w:bCs/>
        </w:rPr>
        <w:t>Anomaly Locations 12a and 12b:</w:t>
      </w:r>
      <w:r w:rsidRPr="00FD2F6D">
        <w:t xml:space="preserve"> two separate, unknown objects, each buried at a depth of approximately 2.5 ft</w:t>
      </w:r>
    </w:p>
    <w:p w14:paraId="1FC333B8" w14:textId="77777777" w:rsidR="007F768C" w:rsidRPr="00FD2F6D" w:rsidRDefault="007F768C" w:rsidP="00BB5E36">
      <w:pPr>
        <w:pStyle w:val="RptBullet-Level1"/>
      </w:pPr>
      <w:r w:rsidRPr="00FD2F6D">
        <w:rPr>
          <w:b/>
          <w:bCs/>
        </w:rPr>
        <w:t>Anomaly Location 16:</w:t>
      </w:r>
      <w:r w:rsidRPr="00FD2F6D">
        <w:t xml:space="preserve"> likely a short section of piping buried at a depth of approximately 2.5 ft.</w:t>
      </w:r>
    </w:p>
    <w:p w14:paraId="110DA62A" w14:textId="77777777" w:rsidR="007F768C" w:rsidRPr="00FD2F6D" w:rsidRDefault="007F768C" w:rsidP="00BB5E36">
      <w:pPr>
        <w:pStyle w:val="RptBodyText"/>
      </w:pPr>
      <w:r w:rsidRPr="00FD2F6D">
        <w:t xml:space="preserve">To further evaluate these anomalies, exploratory test pits were dug in each of these locations, the results of which are discussed in the next section. The other EMI locations (Locations 2, 4 through 9, 11, 14 and 19) had significant EMI anomalies but produced no GPR anomalies indicating that lateral changes in soil conductivity were causing the EMI anomalies, rather than buried items. </w:t>
      </w:r>
    </w:p>
    <w:p w14:paraId="53AC611D" w14:textId="77777777" w:rsidR="007F768C" w:rsidRPr="00FD2F6D" w:rsidRDefault="007F768C" w:rsidP="00BB5E36">
      <w:pPr>
        <w:pStyle w:val="RptBodyText"/>
      </w:pPr>
      <w:r w:rsidRPr="00FD2F6D">
        <w:t xml:space="preserve">Additionally, GPR traverses bisecting Areas 1, 2, and 3 were made to image the upper 30 ft of the subsurface and estimate the maximum depth of fill. The following three GPR transverses were implemented: </w:t>
      </w:r>
    </w:p>
    <w:p w14:paraId="171676CB" w14:textId="77777777" w:rsidR="007F768C" w:rsidRPr="00FD2F6D" w:rsidRDefault="007F768C" w:rsidP="00BB5E36">
      <w:pPr>
        <w:pStyle w:val="RptBullet-Level1"/>
      </w:pPr>
      <w:r w:rsidRPr="00FD2F6D">
        <w:t>A 744-ft north-south traverse bisecting Areas 1, 2, and 3</w:t>
      </w:r>
    </w:p>
    <w:p w14:paraId="53D81ABE" w14:textId="77777777" w:rsidR="007F768C" w:rsidRPr="00FD2F6D" w:rsidRDefault="007F768C" w:rsidP="00BB5E36">
      <w:pPr>
        <w:pStyle w:val="RptBullet-Level1"/>
      </w:pPr>
      <w:r w:rsidRPr="00FD2F6D">
        <w:t>A 412-ft west-east traverse bisecting Area 3</w:t>
      </w:r>
    </w:p>
    <w:p w14:paraId="2486D26D" w14:textId="77777777" w:rsidR="007F768C" w:rsidRPr="00FD2F6D" w:rsidRDefault="007F768C" w:rsidP="00BB5E36">
      <w:pPr>
        <w:pStyle w:val="RptBullet-Level1"/>
      </w:pPr>
      <w:r w:rsidRPr="00FD2F6D">
        <w:t xml:space="preserve">A 318-ft west-east traverse bisecting Areas 1 and 2. </w:t>
      </w:r>
    </w:p>
    <w:p w14:paraId="2CA8259B" w14:textId="77777777" w:rsidR="007F768C" w:rsidRPr="00FD2F6D" w:rsidRDefault="007F768C" w:rsidP="00BB5E36">
      <w:pPr>
        <w:pStyle w:val="RptBodyText"/>
      </w:pPr>
      <w:r w:rsidRPr="00FD2F6D">
        <w:t>GPR profile images (radargrams) indicate that maximum fill depths in Area 1 range between approximately 11 and 15 ft (</w:t>
      </w:r>
      <w:r w:rsidRPr="00FD2F6D">
        <w:rPr>
          <w:i/>
          <w:iCs/>
        </w:rPr>
        <w:t>N-S GPR Traverse</w:t>
      </w:r>
      <w:r w:rsidRPr="00FD2F6D">
        <w:t xml:space="preserve"> and </w:t>
      </w:r>
      <w:r w:rsidRPr="00FD2F6D">
        <w:rPr>
          <w:i/>
          <w:iCs/>
        </w:rPr>
        <w:t>W-E “8-7-6-5” Traverse</w:t>
      </w:r>
      <w:r w:rsidRPr="00FD2F6D">
        <w:t xml:space="preserve"> in Appendix </w:t>
      </w:r>
      <w:r>
        <w:t>B</w:t>
      </w:r>
      <w:r w:rsidRPr="00FD2F6D">
        <w:t>), and maximum fill depths in Area 3 range between approximately 9 and 17 ft (</w:t>
      </w:r>
      <w:r w:rsidRPr="00FD2F6D">
        <w:rPr>
          <w:i/>
          <w:iCs/>
        </w:rPr>
        <w:t>N-S GPR Traverse</w:t>
      </w:r>
      <w:r w:rsidRPr="00FD2F6D">
        <w:t xml:space="preserve"> and </w:t>
      </w:r>
      <w:r w:rsidRPr="00FD2F6D">
        <w:rPr>
          <w:i/>
          <w:iCs/>
        </w:rPr>
        <w:t>W-E GPR Traverse</w:t>
      </w:r>
      <w:r w:rsidRPr="00FD2F6D">
        <w:t xml:space="preserve"> in Appendix </w:t>
      </w:r>
      <w:r>
        <w:t>B</w:t>
      </w:r>
      <w:r w:rsidRPr="00FD2F6D">
        <w:t>). These fill depths were consistent with fill depths observed in RI soil borings, which are discussed below.</w:t>
      </w:r>
    </w:p>
    <w:p w14:paraId="49B7709E" w14:textId="77777777" w:rsidR="007F768C" w:rsidRPr="00FD2F6D" w:rsidRDefault="007F768C" w:rsidP="00BB5E36">
      <w:pPr>
        <w:pStyle w:val="RptHeading-Level2"/>
      </w:pPr>
      <w:bookmarkStart w:id="80" w:name="_Ref38203987"/>
      <w:bookmarkStart w:id="81" w:name="_Ref38967880"/>
      <w:bookmarkStart w:id="82" w:name="_Toc59019830"/>
      <w:bookmarkStart w:id="83" w:name="_Toc98847334"/>
      <w:r w:rsidRPr="00FD2F6D">
        <w:t>Test Pits</w:t>
      </w:r>
      <w:bookmarkEnd w:id="80"/>
      <w:bookmarkEnd w:id="81"/>
      <w:bookmarkEnd w:id="82"/>
      <w:bookmarkEnd w:id="83"/>
    </w:p>
    <w:p w14:paraId="1D6837EA" w14:textId="77777777" w:rsidR="007F768C" w:rsidRPr="00FD2F6D" w:rsidRDefault="007F768C" w:rsidP="00BB5E36">
      <w:pPr>
        <w:pStyle w:val="RptBodyText"/>
      </w:pPr>
      <w:r w:rsidRPr="00FD2F6D">
        <w:t xml:space="preserve">Following completion of the geophysical survey, seven test pits were dug on July 22, 2019, to further investigate the GPR anomalies identified at Locations 1, 3, 12, and 16. Test pits were excavated using a mini excavator (trackhoe) </w:t>
      </w:r>
      <w:r>
        <w:t xml:space="preserve">operated by an employee of the Skokomish Tribe. After </w:t>
      </w:r>
      <w:r w:rsidRPr="00FD2F6D">
        <w:t xml:space="preserve">the test pits </w:t>
      </w:r>
      <w:r>
        <w:t xml:space="preserve">were inspected for debris that may have caused the anomaly, they </w:t>
      </w:r>
      <w:r w:rsidRPr="00FD2F6D">
        <w:t xml:space="preserve">were backfilled. No drums, containers, tanks, or piping were observed during the test pitting, nor was visual or olfactory evidence of contamination observed. </w:t>
      </w:r>
      <w:r>
        <w:t xml:space="preserve">Photographs are provided in Appendix D. </w:t>
      </w:r>
      <w:r w:rsidRPr="00FD2F6D">
        <w:t>The items observed in the test pits (if any) are described below:</w:t>
      </w:r>
    </w:p>
    <w:p w14:paraId="4235CFAB" w14:textId="3504F0F3" w:rsidR="007F768C" w:rsidRPr="00FD2F6D" w:rsidRDefault="007F768C" w:rsidP="00BB5E36">
      <w:pPr>
        <w:pStyle w:val="RptBullet-Level1"/>
      </w:pPr>
      <w:r w:rsidRPr="00FD2F6D">
        <w:rPr>
          <w:b/>
          <w:bCs/>
        </w:rPr>
        <w:t xml:space="preserve">Anomaly Location 1: </w:t>
      </w:r>
      <w:r w:rsidRPr="00FD2F6D">
        <w:t>Test pit EX-TP-6 was excavated to a total depth of approximately 7 ft. A log was observed at 3 ft bgs, concrete and a granite boulder were observed at 3.5</w:t>
      </w:r>
      <w:r w:rsidR="006D065B">
        <w:t> </w:t>
      </w:r>
      <w:r w:rsidRPr="00FD2F6D">
        <w:t>ft bgs, and woody debris was observed at 3 and 4.5 ft bgs.</w:t>
      </w:r>
    </w:p>
    <w:p w14:paraId="256CADC9" w14:textId="77777777" w:rsidR="007F768C" w:rsidRPr="00FD2F6D" w:rsidRDefault="007F768C" w:rsidP="00BB5E36">
      <w:pPr>
        <w:pStyle w:val="RptBullet-Level1"/>
      </w:pPr>
      <w:r w:rsidRPr="00FD2F6D">
        <w:rPr>
          <w:b/>
          <w:bCs/>
        </w:rPr>
        <w:t>Anomaly Location 3:</w:t>
      </w:r>
      <w:r w:rsidRPr="00FD2F6D">
        <w:t xml:space="preserve"> Test pit EX-TP-7 was excavated to a total depth of approximately 6.5 ft. A log was observed at 3 ft bgs and woody debris likely from regrading performed in June 2019 was observed at 3 and 6 ft bgs.</w:t>
      </w:r>
    </w:p>
    <w:p w14:paraId="5553C99E" w14:textId="77777777" w:rsidR="007F768C" w:rsidRPr="00FD2F6D" w:rsidRDefault="007F768C" w:rsidP="00BB5E36">
      <w:pPr>
        <w:pStyle w:val="RptBullet-Level1"/>
      </w:pPr>
      <w:r w:rsidRPr="00FD2F6D">
        <w:rPr>
          <w:b/>
          <w:bCs/>
        </w:rPr>
        <w:t>Anomaly Location 12:</w:t>
      </w:r>
      <w:r w:rsidRPr="00FD2F6D">
        <w:t xml:space="preserve"> Test pits EX-TP-1 and EX-TP-2 were excavated to total depths of approximately 4.5 ft and 4.7 ft, respectively. An 18-in. piece of rebar was observed in test pit EX-TP-1 and no debris or objects were observed in test pit EX-TP-2.</w:t>
      </w:r>
    </w:p>
    <w:p w14:paraId="0A6A84D3" w14:textId="77777777" w:rsidR="007F768C" w:rsidRPr="00FD2F6D" w:rsidRDefault="007F768C" w:rsidP="00BB5E36">
      <w:pPr>
        <w:pStyle w:val="RptBullet-Level1"/>
      </w:pPr>
      <w:r w:rsidRPr="00FD2F6D">
        <w:rPr>
          <w:b/>
          <w:bCs/>
        </w:rPr>
        <w:t>Anomaly Location 16:</w:t>
      </w:r>
      <w:r w:rsidRPr="00FD2F6D">
        <w:t xml:space="preserve"> Test pit EX-TP-5 was excavated to a total depth of approximately 4.5 ft. No debris or objects were observed in this test pit.</w:t>
      </w:r>
    </w:p>
    <w:p w14:paraId="5A4DBE97" w14:textId="77777777" w:rsidR="007F768C" w:rsidRPr="00FD2F6D" w:rsidRDefault="007F768C" w:rsidP="00BB5E36">
      <w:pPr>
        <w:pStyle w:val="RptBodyText"/>
      </w:pPr>
      <w:r w:rsidRPr="00FD2F6D">
        <w:t xml:space="preserve">Based on the results of the geophysical surveys (Section </w:t>
      </w:r>
      <w:r w:rsidRPr="00FD2F6D">
        <w:fldChar w:fldCharType="begin"/>
      </w:r>
      <w:r w:rsidRPr="00FD2F6D">
        <w:instrText xml:space="preserve"> REF _Ref38967183 \r \h  \* MERGEFORMAT </w:instrText>
      </w:r>
      <w:r w:rsidRPr="00FD2F6D">
        <w:fldChar w:fldCharType="separate"/>
      </w:r>
      <w:r w:rsidRPr="00FD2F6D">
        <w:t>3.1</w:t>
      </w:r>
      <w:r w:rsidRPr="00FD2F6D">
        <w:fldChar w:fldCharType="end"/>
      </w:r>
      <w:r w:rsidRPr="00FD2F6D">
        <w:t xml:space="preserve">) and test pitting (no drums, containers, tanks, or piping were observed), </w:t>
      </w:r>
      <w:r w:rsidRPr="00FD2F6D">
        <w:rPr>
          <w:spacing w:val="-2"/>
        </w:rPr>
        <w:t>the RI Work Plan approach was modified such that h</w:t>
      </w:r>
      <w:r w:rsidRPr="00FD2F6D">
        <w:t>erbicides (both chlorinated and non-chlorinated) were to be analyzed in samples only if evidence of a container or drum was found in a soil core. This change was approved by Ecology in an email dated August 8, 2019 (Ecology 2019b).</w:t>
      </w:r>
    </w:p>
    <w:p w14:paraId="73959CB7" w14:textId="77777777" w:rsidR="007F768C" w:rsidRPr="00FD2F6D" w:rsidRDefault="007F768C" w:rsidP="00BB5E36">
      <w:pPr>
        <w:pStyle w:val="RptHeading-Level2"/>
      </w:pPr>
      <w:bookmarkStart w:id="84" w:name="_Ref38131933"/>
      <w:bookmarkStart w:id="85" w:name="_Ref40513381"/>
      <w:bookmarkStart w:id="86" w:name="_Toc59019831"/>
      <w:bookmarkStart w:id="87" w:name="_Toc98847335"/>
      <w:r w:rsidRPr="00FD2F6D">
        <w:t>Soil Borings and Soil Sampling</w:t>
      </w:r>
      <w:bookmarkEnd w:id="84"/>
      <w:bookmarkEnd w:id="85"/>
      <w:bookmarkEnd w:id="86"/>
      <w:bookmarkEnd w:id="87"/>
    </w:p>
    <w:p w14:paraId="4DAA0DF8" w14:textId="658B688C" w:rsidR="007F768C" w:rsidRPr="00FD2F6D" w:rsidRDefault="007F768C" w:rsidP="00BB5E36">
      <w:pPr>
        <w:pStyle w:val="RptBodyText"/>
      </w:pPr>
      <w:r w:rsidRPr="00FD2F6D">
        <w:t>Soil borings were completed at 47 locations in Areas 1, 2, and 3 as shown in Figure 8. The borings were advanced by Cascade Drilling using direct push drilling methods between August 5 and 15, 2019. A continuous soil core was collected using a 2 in.-diameter, 5</w:t>
      </w:r>
      <w:r w:rsidR="006D065B">
        <w:t> </w:t>
      </w:r>
      <w:r w:rsidRPr="00FD2F6D">
        <w:t>ft</w:t>
      </w:r>
      <w:r w:rsidR="006D065B">
        <w:noBreakHyphen/>
      </w:r>
      <w:r w:rsidRPr="00FD2F6D">
        <w:t xml:space="preserve">long, stainless-steel soil sampler equipped with a disposable plastic liner. The sampler was hydraulically driven through the interval to be sampled and withdrawn from the soil boring. The liner with the soil core was then removed and cut open. The soil was immediately screened in the field using a </w:t>
      </w:r>
      <w:r w:rsidRPr="00FD2F6D">
        <w:rPr>
          <w:spacing w:val="-2"/>
        </w:rPr>
        <w:t xml:space="preserve">photoionization detector </w:t>
      </w:r>
      <w:r w:rsidRPr="00FD2F6D">
        <w:t xml:space="preserve">(PID). Soil cores were logged using the Unified Soil Classification System (USCS) in accordance with </w:t>
      </w:r>
      <w:r w:rsidRPr="00FD2F6D">
        <w:rPr>
          <w:spacing w:val="-2"/>
        </w:rPr>
        <w:t>American Society for Testing and Materials (</w:t>
      </w:r>
      <w:r w:rsidRPr="00FD2F6D">
        <w:t xml:space="preserve">ASTM) D2488-09a, </w:t>
      </w:r>
      <w:r w:rsidRPr="00FD2F6D">
        <w:rPr>
          <w:i/>
          <w:iCs/>
        </w:rPr>
        <w:t>Standard Practice for Description and Identification of Soils</w:t>
      </w:r>
      <w:r w:rsidRPr="00FD2F6D">
        <w:t xml:space="preserve"> (ASTM 2009) and the RI Work Plan. Boring logs are provided in Appendix </w:t>
      </w:r>
      <w:r>
        <w:t>C</w:t>
      </w:r>
      <w:r w:rsidRPr="00FD2F6D">
        <w:t>.</w:t>
      </w:r>
    </w:p>
    <w:p w14:paraId="0FE6B5BE" w14:textId="77777777" w:rsidR="007F768C" w:rsidRPr="00FD2F6D" w:rsidRDefault="007F768C" w:rsidP="00BB5E36">
      <w:pPr>
        <w:pStyle w:val="RptBodyText"/>
      </w:pPr>
      <w:r w:rsidRPr="00FD2F6D">
        <w:t xml:space="preserve">Soil samples were collected from the soil cores following logging and screening activities. Soil samples were collected from each boring from the depth intervals specified in the RI Work Plan (e.g., 0 to 1, 1 to 5, 5 to 10, 10 to 15, and 15 to 20 ft bgs). </w:t>
      </w:r>
      <w:bookmarkStart w:id="88" w:name="_Hlk40519606"/>
      <w:r w:rsidRPr="00FD2F6D">
        <w:t>Borings were advanced beyond the planned depth if a positive PID reading (i.e., a reading above zero) or visual or olfactory evidence of contamination was encountered in the deepest planned depth interval. The deepest soil sample collection interval was 20 to 25 ft bgs (in EX-B-23 in Area 2)</w:t>
      </w:r>
      <w:bookmarkEnd w:id="88"/>
      <w:r w:rsidRPr="00FD2F6D">
        <w:t xml:space="preserve">. An inventory of all soil samples collected during RI activities is provided in Table 2. </w:t>
      </w:r>
    </w:p>
    <w:p w14:paraId="20D6FAEA" w14:textId="77777777" w:rsidR="007F768C" w:rsidRPr="00FD2F6D" w:rsidRDefault="007F768C" w:rsidP="00BB5E36">
      <w:pPr>
        <w:pStyle w:val="RptBodyText"/>
      </w:pPr>
      <w:r w:rsidRPr="00FD2F6D">
        <w:t>Each soil sample was placed in laboratory-supplied containers. To minimize volatilization of VOCs, samples analyzed for GRO and VOCs were collected from the soil core using Terracore</w:t>
      </w:r>
      <w:r w:rsidRPr="002F24DF">
        <w:rPr>
          <w:vertAlign w:val="superscript"/>
        </w:rPr>
        <w:t>®</w:t>
      </w:r>
      <w:r w:rsidRPr="00FD2F6D">
        <w:t xml:space="preserve"> samplers and immediately placed in 40-mL volatile organic analyte (VOA) vials preserved with methanol. Soil for the remaining analyses was collected from the soil core with a stainless-steel spoon, homogenized in a stainless-steel bowl, and added to the required sample containers. Sample containers were filled to the top (as soil core recovery allowed). After sample containers were filled, they were immediately sealed, labeled, chilled, and prepared for courier delivery to the laboratory under chain of custody (COC). </w:t>
      </w:r>
      <w:r>
        <w:t>R</w:t>
      </w:r>
      <w:r w:rsidRPr="00A906F4">
        <w:t xml:space="preserve">eusable </w:t>
      </w:r>
      <w:r>
        <w:t xml:space="preserve">soil </w:t>
      </w:r>
      <w:r w:rsidRPr="00A906F4">
        <w:t xml:space="preserve">sampling equipment </w:t>
      </w:r>
      <w:r>
        <w:t>was</w:t>
      </w:r>
      <w:r w:rsidRPr="00A906F4">
        <w:t xml:space="preserve"> decontaminated before and after each use using phosphate free</w:t>
      </w:r>
      <w:r>
        <w:t xml:space="preserve"> </w:t>
      </w:r>
      <w:r w:rsidRPr="00A906F4">
        <w:t xml:space="preserve">detergent and two distilled water rinses. </w:t>
      </w:r>
      <w:r>
        <w:t>D</w:t>
      </w:r>
      <w:r w:rsidRPr="00A906F4">
        <w:t xml:space="preserve">ownhole equipment </w:t>
      </w:r>
      <w:r>
        <w:t>was</w:t>
      </w:r>
      <w:r w:rsidRPr="00A906F4">
        <w:t xml:space="preserve"> cleaned before use and decontaminated before leaving the Site.</w:t>
      </w:r>
    </w:p>
    <w:p w14:paraId="7264A205" w14:textId="77777777" w:rsidR="007F768C" w:rsidRPr="00FD2F6D" w:rsidRDefault="007F768C" w:rsidP="00BB5E36">
      <w:pPr>
        <w:pStyle w:val="RptBodyText"/>
      </w:pPr>
      <w:r>
        <w:t>B</w:t>
      </w:r>
      <w:r w:rsidRPr="00FD2F6D">
        <w:t>oreholes were abandoned immediately following soil and/or groundwater sampling in accordance with WAC 173-160-381 by sealing from borehole bottom to land surface with bentonite chips.</w:t>
      </w:r>
    </w:p>
    <w:p w14:paraId="19A890CE" w14:textId="77777777" w:rsidR="007F768C" w:rsidRPr="00FD2F6D" w:rsidRDefault="007F768C" w:rsidP="00BB5E36">
      <w:pPr>
        <w:pStyle w:val="RptBodyText"/>
      </w:pPr>
      <w:r w:rsidRPr="00FD2F6D">
        <w:t xml:space="preserve">Soil sample analyses included the following: </w:t>
      </w:r>
    </w:p>
    <w:p w14:paraId="72C7F364" w14:textId="1F757962" w:rsidR="007F768C" w:rsidRPr="00FD2F6D" w:rsidRDefault="007F768C" w:rsidP="00BB5E36">
      <w:pPr>
        <w:pStyle w:val="RptBullet-Level1"/>
      </w:pPr>
      <w:r w:rsidRPr="00FD2F6D">
        <w:t xml:space="preserve">All soil samples were analyzed for metals, TPH as GRO, TPH as DRO, TPH as </w:t>
      </w:r>
      <w:r>
        <w:t>heavy oils</w:t>
      </w:r>
      <w:r w:rsidRPr="00FD2F6D">
        <w:t xml:space="preserve">, and percent solids. </w:t>
      </w:r>
    </w:p>
    <w:p w14:paraId="7BD14B3F" w14:textId="77777777" w:rsidR="007F768C" w:rsidRPr="00FD2F6D" w:rsidRDefault="007F768C" w:rsidP="00BB5E36">
      <w:pPr>
        <w:pStyle w:val="RptBullet-Level1"/>
      </w:pPr>
      <w:r w:rsidRPr="00FD2F6D">
        <w:t xml:space="preserve">If a positive PID reading (i.e., a reading above zero), or visual or olfactory evidence of contamination was observed in a depth interval, then </w:t>
      </w:r>
      <w:r w:rsidRPr="00FD2F6D">
        <w:rPr>
          <w:spacing w:val="-2"/>
        </w:rPr>
        <w:t xml:space="preserve">VOCs, SVOCs, and PAHs were analyzed. </w:t>
      </w:r>
    </w:p>
    <w:p w14:paraId="27409CE9" w14:textId="77777777" w:rsidR="007F768C" w:rsidRPr="00FD2F6D" w:rsidRDefault="007F768C" w:rsidP="00BB5E36">
      <w:pPr>
        <w:pStyle w:val="RptBullet-Level1"/>
      </w:pPr>
      <w:r w:rsidRPr="00FD2F6D">
        <w:rPr>
          <w:spacing w:val="-2"/>
        </w:rPr>
        <w:t>If charcoal was observed, then dioxins and furans were analyzed.</w:t>
      </w:r>
      <w:r w:rsidRPr="00FD2F6D">
        <w:t xml:space="preserve"> </w:t>
      </w:r>
      <w:r w:rsidRPr="00FD2F6D">
        <w:rPr>
          <w:spacing w:val="-2"/>
        </w:rPr>
        <w:t>The RI Work Plan called for dioxin and furan analysis if heavier petroleum or ash material were observed during sampling; neither of these conditions were observed during the RI sampling. However, trace charcoal was observed in some depth intervals, indicating the historical occurrence of either natural or anthropogenic burning. Therefore, dioxin and furans were analyzed if trace charcoal was observed within a depth interval.</w:t>
      </w:r>
    </w:p>
    <w:p w14:paraId="74D05535" w14:textId="77777777" w:rsidR="007F768C" w:rsidRPr="00FD2F6D" w:rsidRDefault="007F768C" w:rsidP="00BB5E36">
      <w:pPr>
        <w:pStyle w:val="RptBullet-Level1"/>
        <w:rPr>
          <w:spacing w:val="-2"/>
        </w:rPr>
      </w:pPr>
      <w:r w:rsidRPr="00FD2F6D">
        <w:rPr>
          <w:spacing w:val="-2"/>
        </w:rPr>
        <w:t xml:space="preserve">As discussed in Section </w:t>
      </w:r>
      <w:r w:rsidRPr="00FD2F6D">
        <w:rPr>
          <w:spacing w:val="-2"/>
        </w:rPr>
        <w:fldChar w:fldCharType="begin"/>
      </w:r>
      <w:r w:rsidRPr="00FD2F6D">
        <w:rPr>
          <w:spacing w:val="-2"/>
        </w:rPr>
        <w:instrText xml:space="preserve"> REF _Ref38967880 \r \h </w:instrText>
      </w:r>
      <w:r>
        <w:rPr>
          <w:spacing w:val="-2"/>
        </w:rPr>
        <w:instrText xml:space="preserve"> \* MERGEFORMAT </w:instrText>
      </w:r>
      <w:r w:rsidRPr="00FD2F6D">
        <w:rPr>
          <w:spacing w:val="-2"/>
        </w:rPr>
      </w:r>
      <w:r w:rsidRPr="00FD2F6D">
        <w:rPr>
          <w:spacing w:val="-2"/>
        </w:rPr>
        <w:fldChar w:fldCharType="separate"/>
      </w:r>
      <w:r w:rsidRPr="00FD2F6D">
        <w:rPr>
          <w:spacing w:val="-2"/>
        </w:rPr>
        <w:t>3.2</w:t>
      </w:r>
      <w:r w:rsidRPr="00FD2F6D">
        <w:rPr>
          <w:spacing w:val="-2"/>
        </w:rPr>
        <w:fldChar w:fldCharType="end"/>
      </w:r>
      <w:r w:rsidRPr="00FD2F6D">
        <w:rPr>
          <w:spacing w:val="-2"/>
        </w:rPr>
        <w:t>, the RI Work Plan approach was modified such that h</w:t>
      </w:r>
      <w:r w:rsidRPr="00FD2F6D">
        <w:t>erbicides (both chlorinated and non-chlorinated) were to be analyzed in soil samples only if visual evidence of a container or drum was found in a soil core. No evidence of a container or drum was found in a soil core; therefore, no soil samples were analyzed for herbicides.</w:t>
      </w:r>
    </w:p>
    <w:p w14:paraId="7CEDDA2E" w14:textId="77777777" w:rsidR="007F768C" w:rsidRPr="00FD2F6D" w:rsidRDefault="007F768C" w:rsidP="00BB5E36">
      <w:pPr>
        <w:pStyle w:val="RptBodyText"/>
      </w:pPr>
      <w:r w:rsidRPr="00FD2F6D">
        <w:t>An inventory of RI soil analyses is provided in Table 2.</w:t>
      </w:r>
    </w:p>
    <w:p w14:paraId="4BD80408" w14:textId="77777777" w:rsidR="007F768C" w:rsidRPr="00FD2F6D" w:rsidRDefault="007F768C" w:rsidP="00BB5E36">
      <w:pPr>
        <w:pStyle w:val="RptHeading-Level2"/>
      </w:pPr>
      <w:bookmarkStart w:id="89" w:name="_Toc59019832"/>
      <w:bookmarkStart w:id="90" w:name="_Toc98847336"/>
      <w:r w:rsidRPr="00FD2F6D">
        <w:t>Surface Soil Sampling</w:t>
      </w:r>
      <w:bookmarkEnd w:id="89"/>
      <w:bookmarkEnd w:id="90"/>
    </w:p>
    <w:p w14:paraId="391F8158" w14:textId="77777777" w:rsidR="007F768C" w:rsidRPr="00FD2F6D" w:rsidRDefault="007F768C" w:rsidP="00BB5E36">
      <w:pPr>
        <w:pStyle w:val="RptBodyText"/>
      </w:pPr>
      <w:r w:rsidRPr="00FD2F6D">
        <w:t xml:space="preserve">Surface soil sampling (i.e., 0 to 0.5 ft bgs) was conducted in the area of the former stockpiled soils and in Area 4. The </w:t>
      </w:r>
      <w:r>
        <w:t xml:space="preserve">samples were collected </w:t>
      </w:r>
      <w:r w:rsidRPr="00FD2F6D">
        <w:t>between August </w:t>
      </w:r>
      <w:r>
        <w:t>12</w:t>
      </w:r>
      <w:r w:rsidRPr="00FD2F6D">
        <w:t xml:space="preserve"> and 15, 2019. A description of each of these sampling activities is below.</w:t>
      </w:r>
    </w:p>
    <w:p w14:paraId="08B1F007" w14:textId="77777777" w:rsidR="007F768C" w:rsidRPr="00FD2F6D" w:rsidRDefault="007F768C" w:rsidP="00BB5E36">
      <w:pPr>
        <w:pStyle w:val="RptHeading-Level3"/>
      </w:pPr>
      <w:bookmarkStart w:id="91" w:name="_Toc59019833"/>
      <w:bookmarkStart w:id="92" w:name="_Toc98847337"/>
      <w:r w:rsidRPr="00FD2F6D">
        <w:t>Former Stockpiled Soils in Areas 1, 2, and 3</w:t>
      </w:r>
      <w:bookmarkEnd w:id="91"/>
      <w:bookmarkEnd w:id="92"/>
    </w:p>
    <w:p w14:paraId="2D51F4F7" w14:textId="77777777" w:rsidR="007F768C" w:rsidRPr="00FD2F6D" w:rsidRDefault="007F768C" w:rsidP="003963E6">
      <w:pPr>
        <w:pStyle w:val="RptBodyText"/>
      </w:pPr>
      <w:r w:rsidRPr="00FD2F6D">
        <w:t xml:space="preserve">Twenty-four composite surface soil samples were collected in Areas 1, 2, and 3 from locations where former stockpiled soils were identified as shown in Figure 8. As discussed above in the introduction to Section </w:t>
      </w:r>
      <w:r w:rsidRPr="00FD2F6D">
        <w:fldChar w:fldCharType="begin"/>
      </w:r>
      <w:r w:rsidRPr="00FD2F6D">
        <w:instrText xml:space="preserve"> REF _Ref45271681 \r \h </w:instrText>
      </w:r>
      <w:r>
        <w:instrText xml:space="preserve"> \* MERGEFORMAT </w:instrText>
      </w:r>
      <w:r w:rsidRPr="00FD2F6D">
        <w:fldChar w:fldCharType="separate"/>
      </w:r>
      <w:r w:rsidRPr="00FD2F6D">
        <w:t>3</w:t>
      </w:r>
      <w:r w:rsidRPr="00FD2F6D">
        <w:fldChar w:fldCharType="end"/>
      </w:r>
      <w:r w:rsidRPr="00FD2F6D">
        <w:t xml:space="preserve">, land clearing was performed to prepare the Site for the geophysical surveys and the RI sampling program. Areas 1, 2, and 3 were dozed and grubbed. Part of the land clearing included grading the hummocky, stockpiled soils, which were covered with vegetation that prevented conducting the planned RI activities (i.e., geophysical surveys, boring installation). Therefore, the planned stockpile sampling was replaced by composite surface soil sampling and was described in the RI Work Plan (Exponent 2019). No additional stockpiles were identified during the RI activities. </w:t>
      </w:r>
    </w:p>
    <w:p w14:paraId="3C2F78F4" w14:textId="77777777" w:rsidR="007F768C" w:rsidRPr="00FD2F6D" w:rsidRDefault="007F768C" w:rsidP="003963E6">
      <w:pPr>
        <w:pStyle w:val="RptBodyText"/>
      </w:pPr>
      <w:r w:rsidRPr="00FD2F6D">
        <w:t>Each composite sample was composed of 10 approximately equal aliquots collected from 0 to 0.5 ft bgs with a stainless-steel trowel. Aliquots were collected from around the staked location. The 10 aliquots were collected in a stainless-steel bowl and the soil was screened in the field using a PID prior to homogenizing. To minimize volatilization of VOCs, samples analyzed for GRO were collected from the bowl using Terracore</w:t>
      </w:r>
      <w:r w:rsidRPr="002F24DF">
        <w:rPr>
          <w:vertAlign w:val="superscript"/>
        </w:rPr>
        <w:t>®</w:t>
      </w:r>
      <w:r w:rsidRPr="00FD2F6D">
        <w:t xml:space="preserve"> samplers and immediately placed in 40-mL VOA vials preserved with methanol. Soil for the remaining analyses were homogenized with a stainless-steel spoon and placed in laboratory-supplied containers and sample containers were filled to the top. After sample containers were filled, they were immediately sealed, labeled, chilled, and prepared for courier delivery to the laboratory under COC.</w:t>
      </w:r>
      <w:r>
        <w:t xml:space="preserve"> R</w:t>
      </w:r>
      <w:r w:rsidRPr="00A906F4">
        <w:t xml:space="preserve">eusable </w:t>
      </w:r>
      <w:r>
        <w:t xml:space="preserve">soil </w:t>
      </w:r>
      <w:r w:rsidRPr="00A906F4">
        <w:t xml:space="preserve">sampling equipment </w:t>
      </w:r>
      <w:r>
        <w:t>was</w:t>
      </w:r>
      <w:r w:rsidRPr="00A906F4">
        <w:t xml:space="preserve"> decontaminated before and after each use using phosphate free</w:t>
      </w:r>
      <w:r>
        <w:t xml:space="preserve"> </w:t>
      </w:r>
      <w:r w:rsidRPr="00A906F4">
        <w:t>detergent and two distilled water rinses.</w:t>
      </w:r>
    </w:p>
    <w:p w14:paraId="043FFE96" w14:textId="77777777" w:rsidR="007F768C" w:rsidRPr="00FD2F6D" w:rsidRDefault="007F768C" w:rsidP="003963E6">
      <w:pPr>
        <w:pStyle w:val="RptBodyText"/>
      </w:pPr>
      <w:r w:rsidRPr="00FD2F6D">
        <w:t xml:space="preserve">A summary of the analyses is as follows: </w:t>
      </w:r>
    </w:p>
    <w:p w14:paraId="26168115" w14:textId="77777777" w:rsidR="007F768C" w:rsidRPr="00FD2F6D" w:rsidRDefault="007F768C" w:rsidP="003963E6">
      <w:pPr>
        <w:pStyle w:val="RptBullet-Level1"/>
      </w:pPr>
      <w:r w:rsidRPr="00FD2F6D">
        <w:t xml:space="preserve">Metals, TPH as GRO, TPH as DRO, TPH as </w:t>
      </w:r>
      <w:r>
        <w:t>heavy oils</w:t>
      </w:r>
      <w:r w:rsidRPr="00FD2F6D">
        <w:t xml:space="preserve">, and percent solids were analyzed in all samples from the former soil stockpiles. </w:t>
      </w:r>
    </w:p>
    <w:p w14:paraId="4862CC22" w14:textId="77777777" w:rsidR="007F768C" w:rsidRPr="00FD2F6D" w:rsidRDefault="007F768C" w:rsidP="003963E6">
      <w:pPr>
        <w:pStyle w:val="RptBullet-Level1"/>
      </w:pPr>
      <w:r w:rsidRPr="00FD2F6D">
        <w:rPr>
          <w:spacing w:val="-2"/>
        </w:rPr>
        <w:t>VOCs, SVOCs, and PAHs were not analyzed</w:t>
      </w:r>
      <w:r w:rsidRPr="00FD2F6D">
        <w:t xml:space="preserve"> because there were no positive PID readings (i.e., a reading above zero), or visual or olfactory evidence of contamination observed in the stockpiled samples</w:t>
      </w:r>
      <w:r w:rsidRPr="00FD2F6D">
        <w:rPr>
          <w:spacing w:val="-2"/>
        </w:rPr>
        <w:t xml:space="preserve">. </w:t>
      </w:r>
    </w:p>
    <w:p w14:paraId="113E1576" w14:textId="77777777" w:rsidR="007F768C" w:rsidRPr="00FD2F6D" w:rsidRDefault="007F768C" w:rsidP="003963E6">
      <w:pPr>
        <w:pStyle w:val="RptBullet-Level1"/>
      </w:pPr>
      <w:r w:rsidRPr="00FD2F6D">
        <w:rPr>
          <w:spacing w:val="-2"/>
        </w:rPr>
        <w:t>If charcoal was observed in an aliquot, then dioxins and furans were analyzed in the composite sample.</w:t>
      </w:r>
      <w:r w:rsidRPr="00FD2F6D">
        <w:t xml:space="preserve"> As discussed above, t</w:t>
      </w:r>
      <w:r w:rsidRPr="00FD2F6D">
        <w:rPr>
          <w:spacing w:val="-2"/>
        </w:rPr>
        <w:t>he RI Work Plan called for dioxin and furan analysis if heavier petroleum or ash material were observed during sampling; neither of these conditions were observed during the RI sampling. However, trace charcoal was observed in some of the aliquots, indicating the historical occurrence of either natural or anthropogenic burning. Therefore, dioxin and furans were analyzed in the composite sample if trace charcoal was observed in an aliquot.</w:t>
      </w:r>
    </w:p>
    <w:p w14:paraId="15CA12EE" w14:textId="77777777" w:rsidR="007F768C" w:rsidRPr="00FD2F6D" w:rsidRDefault="007F768C" w:rsidP="003963E6">
      <w:pPr>
        <w:pStyle w:val="RptBullet-Level1"/>
        <w:rPr>
          <w:spacing w:val="-2"/>
        </w:rPr>
      </w:pPr>
      <w:r w:rsidRPr="00FD2F6D">
        <w:rPr>
          <w:spacing w:val="-2"/>
        </w:rPr>
        <w:t xml:space="preserve">As discussed in Section </w:t>
      </w:r>
      <w:r w:rsidRPr="00FD2F6D">
        <w:rPr>
          <w:spacing w:val="-2"/>
        </w:rPr>
        <w:fldChar w:fldCharType="begin"/>
      </w:r>
      <w:r w:rsidRPr="00FD2F6D">
        <w:rPr>
          <w:spacing w:val="-2"/>
        </w:rPr>
        <w:instrText xml:space="preserve"> REF _Ref38967880 \r \h </w:instrText>
      </w:r>
      <w:r>
        <w:rPr>
          <w:spacing w:val="-2"/>
        </w:rPr>
        <w:instrText xml:space="preserve"> \* MERGEFORMAT </w:instrText>
      </w:r>
      <w:r w:rsidRPr="00FD2F6D">
        <w:rPr>
          <w:spacing w:val="-2"/>
        </w:rPr>
      </w:r>
      <w:r w:rsidRPr="00FD2F6D">
        <w:rPr>
          <w:spacing w:val="-2"/>
        </w:rPr>
        <w:fldChar w:fldCharType="separate"/>
      </w:r>
      <w:r w:rsidRPr="00FD2F6D">
        <w:rPr>
          <w:spacing w:val="-2"/>
        </w:rPr>
        <w:t>3.2</w:t>
      </w:r>
      <w:r w:rsidRPr="00FD2F6D">
        <w:rPr>
          <w:spacing w:val="-2"/>
        </w:rPr>
        <w:fldChar w:fldCharType="end"/>
      </w:r>
      <w:r w:rsidRPr="00FD2F6D">
        <w:rPr>
          <w:spacing w:val="-2"/>
        </w:rPr>
        <w:t>, the RI Work Plan approach was modified such that h</w:t>
      </w:r>
      <w:r w:rsidRPr="00FD2F6D">
        <w:t>erbicides (both chlorinated and non-chlorinated) were to be analyzed in soil samples only if evidence of a container or drum was found. No evidence of a container or drum was found; therefore, no stockpiled soil samples were analyzed for herbicides.</w:t>
      </w:r>
    </w:p>
    <w:p w14:paraId="65C72E39" w14:textId="77777777" w:rsidR="007F768C" w:rsidRPr="00FD2F6D" w:rsidRDefault="007F768C" w:rsidP="003963E6">
      <w:pPr>
        <w:pStyle w:val="RptBodyText"/>
      </w:pPr>
      <w:r w:rsidRPr="00FD2F6D">
        <w:t>An inventory of RI soil analyses is provided in Table 2.</w:t>
      </w:r>
    </w:p>
    <w:p w14:paraId="2545367F" w14:textId="77777777" w:rsidR="007F768C" w:rsidRPr="00FD2F6D" w:rsidRDefault="007F768C" w:rsidP="003963E6">
      <w:pPr>
        <w:pStyle w:val="RptHeading-Level3"/>
      </w:pPr>
      <w:bookmarkStart w:id="93" w:name="_Toc59019834"/>
      <w:bookmarkStart w:id="94" w:name="_Toc98847338"/>
      <w:r w:rsidRPr="00FD2F6D">
        <w:t>Surface Soils in Area 4</w:t>
      </w:r>
      <w:bookmarkEnd w:id="93"/>
      <w:bookmarkEnd w:id="94"/>
    </w:p>
    <w:p w14:paraId="6B486E4A" w14:textId="77777777" w:rsidR="007F768C" w:rsidRPr="00FD2F6D" w:rsidRDefault="007F768C" w:rsidP="003963E6">
      <w:pPr>
        <w:pStyle w:val="RptBodyText"/>
      </w:pPr>
      <w:bookmarkStart w:id="95" w:name="_Hlk92191907"/>
      <w:r w:rsidRPr="00FD2F6D">
        <w:t>One surface soil composite sample was collected in Area 4. The composite sample was composed of 10 subsamples that were collected from locations EX-SS-1 through EX-SS-10 (Figure 8). Each subsample was collected with a stainless-steel trowel from 0 to 0.5 ft bgs and placed in a stainless-steel bowl, and the soil was screened in the field using a PID. The subsample was homogenized and equal aliquots (i.e., two spoonfuls) of each homogenized subsample were placed into a stainless-steel bowl to prepare the Area 4 composite sample. Soil analyzed for GRO was collected from the bowl using a Terracore</w:t>
      </w:r>
      <w:r w:rsidRPr="002F24DF">
        <w:rPr>
          <w:vertAlign w:val="superscript"/>
        </w:rPr>
        <w:t>®</w:t>
      </w:r>
      <w:r w:rsidRPr="00FD2F6D">
        <w:t xml:space="preserve"> sampler and immediately placed in 40-mL VOA vials preserved with methanol. Soil for the remaining analyses were collected with a stainless-steel spoon and placed in laboratory-supplied containers and sample containers were filled to the top. After sample containers were filled, they were immediately sealed, labeled, chilled, and prepared for courier delivery to the laboratory under COC. </w:t>
      </w:r>
      <w:r>
        <w:t>R</w:t>
      </w:r>
      <w:r w:rsidRPr="00A906F4">
        <w:t xml:space="preserve">eusable </w:t>
      </w:r>
      <w:r>
        <w:t xml:space="preserve">soil </w:t>
      </w:r>
      <w:r w:rsidRPr="00A906F4">
        <w:t xml:space="preserve">sampling equipment </w:t>
      </w:r>
      <w:r>
        <w:t>was</w:t>
      </w:r>
      <w:r w:rsidRPr="00A906F4">
        <w:t xml:space="preserve"> decontaminated before and after each use using phosphate free</w:t>
      </w:r>
      <w:r>
        <w:t xml:space="preserve"> </w:t>
      </w:r>
      <w:r w:rsidRPr="00A906F4">
        <w:t xml:space="preserve">detergent and two distilled water rinses. </w:t>
      </w:r>
    </w:p>
    <w:bookmarkEnd w:id="95"/>
    <w:p w14:paraId="54BC0A03" w14:textId="77777777" w:rsidR="007F768C" w:rsidRPr="00FD2F6D" w:rsidRDefault="007F768C" w:rsidP="003963E6">
      <w:pPr>
        <w:pStyle w:val="RptBodyText"/>
      </w:pPr>
      <w:r w:rsidRPr="00FD2F6D">
        <w:t>Discrete samples from locations EX-SS-3 and EX-SS-6 were also submitted for laboratory analyses.</w:t>
      </w:r>
      <w:r w:rsidRPr="00FD2F6D">
        <w:rPr>
          <w:rStyle w:val="FootnoteReference"/>
        </w:rPr>
        <w:footnoteReference w:id="9"/>
      </w:r>
      <w:r w:rsidRPr="00FD2F6D">
        <w:t xml:space="preserve"> These two surface soil samples were collected because debris (i.e., 0.5 in. thick metal wire on the ground surface) was observed near location EX-SS-3 and trace charcoal was observed in EX-SS-6. </w:t>
      </w:r>
    </w:p>
    <w:p w14:paraId="4CD8FC1E" w14:textId="77777777" w:rsidR="007F768C" w:rsidRPr="00FD2F6D" w:rsidRDefault="007F768C" w:rsidP="003963E6">
      <w:pPr>
        <w:pStyle w:val="RptBodyText"/>
      </w:pPr>
      <w:r w:rsidRPr="00FD2F6D">
        <w:t xml:space="preserve">A summary of the analyses is as follows: </w:t>
      </w:r>
    </w:p>
    <w:p w14:paraId="3B4CDB5F" w14:textId="77777777" w:rsidR="007F768C" w:rsidRPr="00FD2F6D" w:rsidRDefault="007F768C" w:rsidP="003963E6">
      <w:pPr>
        <w:pStyle w:val="RptBullet-Level1"/>
      </w:pPr>
      <w:r w:rsidRPr="00FD2F6D">
        <w:t xml:space="preserve">Metals, TPH as GRO, TPH as DRO, TPH as </w:t>
      </w:r>
      <w:r>
        <w:t>heavy oils</w:t>
      </w:r>
      <w:r w:rsidRPr="00FD2F6D">
        <w:t xml:space="preserve">, and percent solids were analyzed in all soil samples. </w:t>
      </w:r>
    </w:p>
    <w:p w14:paraId="0E88A880" w14:textId="77777777" w:rsidR="007F768C" w:rsidRPr="00FD2F6D" w:rsidRDefault="007F768C" w:rsidP="003963E6">
      <w:pPr>
        <w:pStyle w:val="RptBullet-Level1"/>
      </w:pPr>
      <w:r w:rsidRPr="00FD2F6D">
        <w:rPr>
          <w:spacing w:val="-2"/>
        </w:rPr>
        <w:t>VOCs, SVOCs, and PAHs were not analyzed</w:t>
      </w:r>
      <w:r w:rsidRPr="00FD2F6D">
        <w:t xml:space="preserve"> because there were no positive PID readings (i.e., a reading above zero), or visual or olfactory evidence of contamination observed in any of the samples</w:t>
      </w:r>
      <w:r w:rsidRPr="00FD2F6D">
        <w:rPr>
          <w:spacing w:val="-2"/>
        </w:rPr>
        <w:t xml:space="preserve">. </w:t>
      </w:r>
    </w:p>
    <w:p w14:paraId="2BB4F9F0" w14:textId="77777777" w:rsidR="007F768C" w:rsidRPr="00FD2F6D" w:rsidRDefault="007F768C" w:rsidP="003963E6">
      <w:pPr>
        <w:pStyle w:val="RptBullet-Level1"/>
      </w:pPr>
      <w:r w:rsidRPr="00FD2F6D">
        <w:t>As discussed above, t</w:t>
      </w:r>
      <w:r w:rsidRPr="00FD2F6D">
        <w:rPr>
          <w:spacing w:val="-2"/>
        </w:rPr>
        <w:t>he RI Work Plan called for dioxin and furan analysis if heavier petroleum or ash material were observed during sampling; neither of these conditions were observed during the RI sampling. However, trace charcoal was observed in soil from EX-SS-6, indicating burning, likely natural, given its location in the wooded and largely undisturbed Area 4. Given the presence of trace charcoal, dioxin and furans were analyzed in this sample.</w:t>
      </w:r>
    </w:p>
    <w:p w14:paraId="6BB9EEDF" w14:textId="77777777" w:rsidR="007F768C" w:rsidRPr="00FD2F6D" w:rsidRDefault="007F768C" w:rsidP="003963E6">
      <w:pPr>
        <w:pStyle w:val="RptBodyText"/>
      </w:pPr>
      <w:r w:rsidRPr="00FD2F6D">
        <w:t>An inventory of RI soil analyses is provided in Table 2.</w:t>
      </w:r>
    </w:p>
    <w:p w14:paraId="570DD8AC" w14:textId="77777777" w:rsidR="007F768C" w:rsidRPr="00FD2F6D" w:rsidRDefault="007F768C" w:rsidP="003963E6">
      <w:pPr>
        <w:pStyle w:val="RptHeading-Level2"/>
      </w:pPr>
      <w:bookmarkStart w:id="96" w:name="_Ref41843834"/>
      <w:bookmarkStart w:id="97" w:name="_Toc59019835"/>
      <w:bookmarkStart w:id="98" w:name="_Toc98847339"/>
      <w:r w:rsidRPr="00FD2F6D">
        <w:t>Groundwater Sampling</w:t>
      </w:r>
      <w:bookmarkEnd w:id="96"/>
      <w:bookmarkEnd w:id="97"/>
      <w:bookmarkEnd w:id="98"/>
    </w:p>
    <w:p w14:paraId="493E1B78" w14:textId="77777777" w:rsidR="007F768C" w:rsidRPr="00FD2F6D" w:rsidRDefault="007F768C" w:rsidP="003963E6">
      <w:pPr>
        <w:pStyle w:val="RptBodyText"/>
      </w:pPr>
      <w:r w:rsidRPr="00FD2F6D">
        <w:t xml:space="preserve">Groundwater samples were collected from six permanent monitoring wells and 18 temporary monitoring wells between August 5 and 15, 2019. The locations of these samples are shown in Figure 8. An inventory of RI groundwater samples and analyses is provided in Table 2. Groundwater sampling at the permanent and temporary monitoring wells is discussed below. </w:t>
      </w:r>
    </w:p>
    <w:p w14:paraId="6EB0B464" w14:textId="77777777" w:rsidR="007F768C" w:rsidRPr="00FD2F6D" w:rsidRDefault="007F768C" w:rsidP="003963E6">
      <w:pPr>
        <w:pStyle w:val="RptHeading-Level3"/>
      </w:pPr>
      <w:bookmarkStart w:id="99" w:name="_Toc59019836"/>
      <w:bookmarkStart w:id="100" w:name="_Toc98847340"/>
      <w:bookmarkStart w:id="101" w:name="_Ref41853295"/>
      <w:r w:rsidRPr="00FD2F6D">
        <w:t>Permanent Monitoring Wells</w:t>
      </w:r>
      <w:bookmarkEnd w:id="99"/>
      <w:bookmarkEnd w:id="100"/>
    </w:p>
    <w:p w14:paraId="0C054C74" w14:textId="77777777" w:rsidR="007F768C" w:rsidRPr="00FD2F6D" w:rsidRDefault="007F768C" w:rsidP="003963E6">
      <w:pPr>
        <w:pStyle w:val="RptBodyText"/>
      </w:pPr>
      <w:r w:rsidRPr="00FD2F6D">
        <w:t>Groundwater samples were collected from the two permanent wells (SKOK-2 and SKOK-5) in Area 1, the two permanent wells (SKOK-4 and SKOK-6) in Area 2, and the two permanent wells (SKOK-1 and SKOK-3) in Area 3. Well construction details are summarized in Table 3 and the locations of these wells are shown in Figure 8. The ground surface and top of the casing at each of the permanent monitoring wells (SKOK-1 through SKOK-6) were surveyed as part of the RI activities (Table 1).</w:t>
      </w:r>
    </w:p>
    <w:p w14:paraId="4252B5D0" w14:textId="77777777" w:rsidR="007F768C" w:rsidRPr="00FD2F6D" w:rsidRDefault="007F768C" w:rsidP="003963E6">
      <w:pPr>
        <w:pStyle w:val="RptBodyText"/>
      </w:pPr>
      <w:r w:rsidRPr="00FD2F6D">
        <w:t>Prior to well purging, water level measurements were taken to the nearest 0.01 ft at each of the permanent monitoring wells. Purging was conducted at a low flow rate of less than 1,000 mL/min with either a peristaltic pump or bladder pump. Field measurements of pH, specific conductance, temperature, oxidation/reduction potential (Eh), dissolved oxygen (DO), and turbidity were taken during purging and are summarized in Table 4.</w:t>
      </w:r>
      <w:r w:rsidRPr="00FD2F6D">
        <w:rPr>
          <w:rStyle w:val="FootnoteReference"/>
        </w:rPr>
        <w:footnoteReference w:id="10"/>
      </w:r>
      <w:r w:rsidRPr="00FD2F6D">
        <w:t xml:space="preserve"> Well purging continued until at least three well volumes were removed, and the field parameters stabilized. The turbidity goal of 5 Nephelometric turbidity units (NTU) or lower</w:t>
      </w:r>
      <w:r w:rsidRPr="00FD2F6D">
        <w:rPr>
          <w:rStyle w:val="FootnoteReference"/>
        </w:rPr>
        <w:footnoteReference w:id="11"/>
      </w:r>
      <w:r w:rsidRPr="00FD2F6D">
        <w:t xml:space="preserve"> was achieved for samples collection at all 6 permanent monitoring wells. </w:t>
      </w:r>
      <w:r>
        <w:t>Each of the</w:t>
      </w:r>
      <w:r w:rsidRPr="00FD2F6D">
        <w:t xml:space="preserve"> permanent monitoring wells produced water sufficient to purge the well, stabilize field parameters, and collect adequate sample volume for planned analytes.</w:t>
      </w:r>
    </w:p>
    <w:p w14:paraId="7A15C4D3" w14:textId="77777777" w:rsidR="007F768C" w:rsidRPr="00FD2F6D" w:rsidRDefault="007F768C" w:rsidP="003963E6">
      <w:pPr>
        <w:pStyle w:val="RptBodyText"/>
      </w:pPr>
      <w:r w:rsidRPr="00FD2F6D">
        <w:t>Groundwater samples were collected using disposable silicon tubing at each well. Samples collected for dissolved metals analysis were filtered in the field using a disposable, in-line 0.45</w:t>
      </w:r>
      <w:r w:rsidRPr="00FD2F6D">
        <w:noBreakHyphen/>
        <w:t xml:space="preserve">micron filter during sample collection. Laboratory-supplied containers appropriate for the required laboratory analyses were filled directly from the disposable silicon tubing. Care was taken not to overfill containers with preservative. After sample containers were filled, they were immediately sealed, labeled, chilled, and prepared for courier delivery to the laboratory under COC. </w:t>
      </w:r>
    </w:p>
    <w:p w14:paraId="302CD1CF" w14:textId="77777777" w:rsidR="007F768C" w:rsidRPr="00FD2F6D" w:rsidRDefault="007F768C" w:rsidP="003963E6">
      <w:pPr>
        <w:pStyle w:val="RptHeading-Level2"/>
      </w:pPr>
      <w:bookmarkStart w:id="102" w:name="_Toc59019837"/>
      <w:bookmarkStart w:id="103" w:name="_Toc98847341"/>
      <w:r w:rsidRPr="00FD2F6D">
        <w:t>Temporary Monitoring Wells</w:t>
      </w:r>
      <w:bookmarkEnd w:id="101"/>
      <w:bookmarkEnd w:id="102"/>
      <w:bookmarkEnd w:id="103"/>
    </w:p>
    <w:p w14:paraId="4279AF1E" w14:textId="77777777" w:rsidR="007F768C" w:rsidRPr="00FD2F6D" w:rsidRDefault="007F768C" w:rsidP="006C0371">
      <w:pPr>
        <w:pStyle w:val="RptBodyText"/>
      </w:pPr>
      <w:r w:rsidRPr="00FD2F6D">
        <w:t xml:space="preserve">Temporary monitoring well installation and groundwater sampling was attempted at 29 of the soil boring locations (Section </w:t>
      </w:r>
      <w:r w:rsidRPr="00FD2F6D">
        <w:fldChar w:fldCharType="begin"/>
      </w:r>
      <w:r w:rsidRPr="00FD2F6D">
        <w:instrText xml:space="preserve"> REF _Ref40513381 \r \h </w:instrText>
      </w:r>
      <w:r>
        <w:instrText xml:space="preserve"> \* MERGEFORMAT </w:instrText>
      </w:r>
      <w:r w:rsidRPr="00FD2F6D">
        <w:fldChar w:fldCharType="separate"/>
      </w:r>
      <w:r w:rsidRPr="00FD2F6D">
        <w:t>3.3</w:t>
      </w:r>
      <w:r w:rsidRPr="00FD2F6D">
        <w:fldChar w:fldCharType="end"/>
      </w:r>
      <w:r w:rsidRPr="00FD2F6D">
        <w:t>) as specified in the RI Work Plan (Exponent 2019). These 29 planned locations included 15 locations in Area 1, seven locations in Area 2, and seven locations in Area 3. All planned groundwater sampling (15 samples) was completed in Area 1. Depth to groundwater in Area 1 temporary wells (after equilibration) ranged from 16.60 to 31.18 ft bgs (Table 4). The locations sampled in Area 1 are shown in Figure 8.</w:t>
      </w:r>
    </w:p>
    <w:p w14:paraId="513FDF39" w14:textId="495173FE" w:rsidR="007F768C" w:rsidRPr="00FD2F6D" w:rsidRDefault="007F768C" w:rsidP="006C0371">
      <w:pPr>
        <w:pStyle w:val="RptBodyText"/>
      </w:pPr>
      <w:r w:rsidRPr="00FD2F6D">
        <w:t>The depth to groundwater in Area 2 and the western portion of Area 3 was deeper than anticipated given available information from previous investigation activities. In Area 2, the depth to groundwater was anticipated to be between 20 and 25 ft bgs (Exponent 2019). However, refusal was encountered before groundwater was encountered in the seven planned locations in Area 2. Refusal depths in Area 2 ranged from 25 to 40 ft bgs (Table 2). In Area 3, the depth to groundwater in the western portion of was anticipated to be 29 ft bgs (Exponent 2019). However, refusal was encountered before groundwater was encountered in four of the seven planned locations in Area 3. Refusal depths in Area 3 ranged from 24 to 45</w:t>
      </w:r>
      <w:r w:rsidR="003D4D24">
        <w:t> </w:t>
      </w:r>
      <w:r w:rsidRPr="00FD2F6D">
        <w:t xml:space="preserve">ft bgs (Table 2). The three locations that were sampled in Area 3 (EX-B-26, EX-B-27, and EX-B-45) are located along the eastern property boundary (Figure 8). </w:t>
      </w:r>
    </w:p>
    <w:p w14:paraId="1A6378EF" w14:textId="77777777" w:rsidR="007F768C" w:rsidRPr="00FD2F6D" w:rsidRDefault="007F768C" w:rsidP="006C0371">
      <w:pPr>
        <w:pStyle w:val="RptBodyText"/>
      </w:pPr>
      <w:r w:rsidRPr="00FD2F6D">
        <w:t>As noted in the RI Work Plan (Exponent 2019), perched groundwater was observed during previous investigation activities at the Site (August 2013, November 2013, and April 2014). Depths to previously observed perched water ranged from 4 ft bgs (TP-27 in Area 3; ESA 2013c) to 15 ft bgs (B-7 in Area 3; ESA 2014a). Perched water was not encountered during RI activities.</w:t>
      </w:r>
    </w:p>
    <w:p w14:paraId="75231986" w14:textId="77777777" w:rsidR="007F768C" w:rsidRPr="00FD2F6D" w:rsidRDefault="007F768C" w:rsidP="006C0371">
      <w:pPr>
        <w:pStyle w:val="RptBodyText"/>
      </w:pPr>
      <w:r w:rsidRPr="00FD2F6D">
        <w:t xml:space="preserve">At locations where groundwater was encountered, soil borings (Section </w:t>
      </w:r>
      <w:r w:rsidRPr="00FD2F6D">
        <w:fldChar w:fldCharType="begin"/>
      </w:r>
      <w:r w:rsidRPr="00FD2F6D">
        <w:instrText xml:space="preserve"> REF _Ref38131933 \r \h </w:instrText>
      </w:r>
      <w:r>
        <w:instrText xml:space="preserve"> \* MERGEFORMAT </w:instrText>
      </w:r>
      <w:r w:rsidRPr="00FD2F6D">
        <w:fldChar w:fldCharType="separate"/>
      </w:r>
      <w:r w:rsidRPr="00FD2F6D">
        <w:t>3.3</w:t>
      </w:r>
      <w:r w:rsidRPr="00FD2F6D">
        <w:fldChar w:fldCharType="end"/>
      </w:r>
      <w:r w:rsidRPr="00FD2F6D">
        <w:t xml:space="preserve">) were advanced approximately 5 ft beyond the depth where groundwater was observed to enable temporary well construction and grab groundwater sample collection. A temporary, small diameter (0.75 in.) polyvinyl chloride (PVC) well with a 5-ft screen was installed, and the groundwater was allowed to equilibrate. Prior to well purging, a water level measurement was taken with a water level probe and the depth to groundwater (from the ground surface) was recorded. </w:t>
      </w:r>
    </w:p>
    <w:p w14:paraId="5E972C6E" w14:textId="77777777" w:rsidR="007F768C" w:rsidRPr="00FD2F6D" w:rsidRDefault="007F768C" w:rsidP="006C0371">
      <w:pPr>
        <w:pStyle w:val="RptBodyText"/>
      </w:pPr>
      <w:r w:rsidRPr="00FD2F6D">
        <w:t xml:space="preserve">Well purging was conducted at a low flow rate of less than 1,000 mL/min with a peristaltic pump. Field measurements of pH, specific conductance, temperature, Eh, DO, and turbidity were taken during purging and the final field measurements taken prior to sample collection are summarized in Table 4. The turbidity goal for groundwater samples was 5 NTU or lower, where practicable, and was achieved at 12 of the 18 temporary wells (Table 4). In the six temporary wells that exceeded the 5 NTU goal, turbidity values ranged from approximately 6 to 44 NTU (Table 4). </w:t>
      </w:r>
      <w:r>
        <w:t>Each of the</w:t>
      </w:r>
      <w:r w:rsidRPr="00FD2F6D">
        <w:t xml:space="preserve"> temporary monitoring wells produced water sufficient to purge the well and collect adequate sample volume for planned analy</w:t>
      </w:r>
      <w:r>
        <w:t>s</w:t>
      </w:r>
      <w:r w:rsidRPr="00FD2F6D">
        <w:t>es.</w:t>
      </w:r>
    </w:p>
    <w:p w14:paraId="68905073" w14:textId="77777777" w:rsidR="007F768C" w:rsidRPr="00FD2F6D" w:rsidRDefault="007F768C" w:rsidP="006C0371">
      <w:pPr>
        <w:pStyle w:val="RptBodyText"/>
      </w:pPr>
      <w:r w:rsidRPr="00FD2F6D">
        <w:t xml:space="preserve">Groundwater samples were collected using disposable silicon tubing at each temporary well. Samples collected for dissolved metals analysis were filtered in the field using a disposable, in-line 0.45-micron filter during sample collection. Laboratory-supplied containers appropriate for the required laboratory analyses were filled directly from the disposable silicon tubing. Care was taken not to overfill containers with preservative. After sample containers were filled, they were immediately sealed, labeled, chilled, and prepared for courier delivery to the laboratory under COC. </w:t>
      </w:r>
    </w:p>
    <w:p w14:paraId="036B397A" w14:textId="77777777" w:rsidR="007F768C" w:rsidRDefault="007F768C" w:rsidP="006C0371">
      <w:pPr>
        <w:pStyle w:val="RptHeading-Level2"/>
      </w:pPr>
      <w:bookmarkStart w:id="104" w:name="_Toc98847342"/>
      <w:bookmarkStart w:id="105" w:name="_Toc59019838"/>
      <w:r>
        <w:t>Investigation Derived Waste</w:t>
      </w:r>
      <w:bookmarkEnd w:id="104"/>
    </w:p>
    <w:p w14:paraId="4388ADCD" w14:textId="77777777" w:rsidR="007F768C" w:rsidRPr="004209FA" w:rsidRDefault="007F768C" w:rsidP="006C0371">
      <w:pPr>
        <w:pStyle w:val="RptBodyText"/>
      </w:pPr>
      <w:r>
        <w:t>Excess soil sample material was</w:t>
      </w:r>
      <w:r w:rsidRPr="000929B2">
        <w:t xml:space="preserve"> contained in </w:t>
      </w:r>
      <w:r>
        <w:t xml:space="preserve">a </w:t>
      </w:r>
      <w:r w:rsidRPr="000929B2">
        <w:t xml:space="preserve">labeled </w:t>
      </w:r>
      <w:r>
        <w:t xml:space="preserve">55-gal </w:t>
      </w:r>
      <w:r w:rsidRPr="000929B2">
        <w:t>drum</w:t>
      </w:r>
      <w:r>
        <w:t xml:space="preserve"> </w:t>
      </w:r>
      <w:r w:rsidRPr="000929B2">
        <w:t xml:space="preserve">and stored in </w:t>
      </w:r>
      <w:r>
        <w:t>Area 2 of the Site</w:t>
      </w:r>
      <w:r w:rsidRPr="000929B2">
        <w:t xml:space="preserve">, pending disposal. </w:t>
      </w:r>
      <w:r>
        <w:t>P</w:t>
      </w:r>
      <w:r w:rsidRPr="000929B2">
        <w:t xml:space="preserve">urge water and decontamination rinse water </w:t>
      </w:r>
      <w:r>
        <w:t>was</w:t>
      </w:r>
      <w:r w:rsidRPr="000929B2">
        <w:t xml:space="preserve"> contained in </w:t>
      </w:r>
      <w:r>
        <w:t xml:space="preserve">a </w:t>
      </w:r>
      <w:r w:rsidRPr="000929B2">
        <w:t xml:space="preserve">labeled </w:t>
      </w:r>
      <w:r>
        <w:t xml:space="preserve">55-gal </w:t>
      </w:r>
      <w:r w:rsidRPr="000929B2">
        <w:t xml:space="preserve">drum and stored in </w:t>
      </w:r>
      <w:r>
        <w:t>Area 2 of the Site</w:t>
      </w:r>
      <w:r w:rsidRPr="000929B2">
        <w:t>, pending disposal.</w:t>
      </w:r>
    </w:p>
    <w:p w14:paraId="6D8058F4" w14:textId="77777777" w:rsidR="007F768C" w:rsidRPr="00FD2F6D" w:rsidRDefault="007F768C" w:rsidP="006C0371">
      <w:pPr>
        <w:pStyle w:val="RptHeading-Level2"/>
      </w:pPr>
      <w:bookmarkStart w:id="106" w:name="_Toc98847343"/>
      <w:r w:rsidRPr="00FD2F6D">
        <w:t>Sample Analyses and Data Validation</w:t>
      </w:r>
      <w:bookmarkEnd w:id="105"/>
      <w:bookmarkEnd w:id="106"/>
    </w:p>
    <w:p w14:paraId="6FE16D6B" w14:textId="77777777" w:rsidR="007F768C" w:rsidRPr="00FD2F6D" w:rsidRDefault="007F768C" w:rsidP="006C0371">
      <w:pPr>
        <w:pStyle w:val="RptBodyText"/>
      </w:pPr>
      <w:r w:rsidRPr="00FD2F6D">
        <w:t>Soil, groundwater, and quality control samples collected during August 2019 RI sampling activities were analyzed by Eurofins TestAmerica, an environmental laboratory accredited by Ecology. Samples were analyzed via the following analytical methods:</w:t>
      </w:r>
    </w:p>
    <w:p w14:paraId="362F878D" w14:textId="77777777" w:rsidR="007F768C" w:rsidRPr="00FD2F6D" w:rsidRDefault="007F768C" w:rsidP="006C0371">
      <w:pPr>
        <w:pStyle w:val="RptBullet-Level1"/>
      </w:pPr>
      <w:r w:rsidRPr="00FD2F6D">
        <w:t>Petroleum hydrocarbons: NWTPH-Gx, NWTPH-Dx</w:t>
      </w:r>
    </w:p>
    <w:p w14:paraId="586FF26E" w14:textId="77777777" w:rsidR="007F768C" w:rsidRPr="00FD2F6D" w:rsidRDefault="007F768C" w:rsidP="006C0371">
      <w:pPr>
        <w:pStyle w:val="RptBullet-Level1"/>
      </w:pPr>
      <w:r w:rsidRPr="00FD2F6D">
        <w:t>Metals: EPA Method 6020A, 7470A/7471A (mercury)</w:t>
      </w:r>
    </w:p>
    <w:p w14:paraId="59B4475E" w14:textId="77777777" w:rsidR="007F768C" w:rsidRPr="00FD2F6D" w:rsidRDefault="007F768C" w:rsidP="006C0371">
      <w:pPr>
        <w:pStyle w:val="RptBullet-Level1"/>
      </w:pPr>
      <w:r w:rsidRPr="00FD2F6D">
        <w:t>VOCs: EPA Method 8260C</w:t>
      </w:r>
    </w:p>
    <w:p w14:paraId="7422C014" w14:textId="77777777" w:rsidR="007F768C" w:rsidRPr="00FD2F6D" w:rsidRDefault="007F768C" w:rsidP="006C0371">
      <w:pPr>
        <w:pStyle w:val="RptBullet-Level1"/>
      </w:pPr>
      <w:r w:rsidRPr="00FD2F6D">
        <w:rPr>
          <w:spacing w:val="-2"/>
        </w:rPr>
        <w:t>SVOCs: EPA Method 8270D</w:t>
      </w:r>
    </w:p>
    <w:p w14:paraId="742FC4C9" w14:textId="77777777" w:rsidR="007F768C" w:rsidRPr="00FD2F6D" w:rsidRDefault="007F768C" w:rsidP="006C0371">
      <w:pPr>
        <w:pStyle w:val="RptBullet-Level1"/>
      </w:pPr>
      <w:r w:rsidRPr="00FD2F6D">
        <w:t>PAHs: EPA Method 8270D-SIM</w:t>
      </w:r>
    </w:p>
    <w:p w14:paraId="679D473B" w14:textId="77777777" w:rsidR="007F768C" w:rsidRPr="00FD2F6D" w:rsidRDefault="007F768C" w:rsidP="006C0371">
      <w:pPr>
        <w:pStyle w:val="RptBullet-Level1"/>
      </w:pPr>
      <w:r w:rsidRPr="00FD2F6D">
        <w:t>Dioxins and furans: EPA Method 8290A.</w:t>
      </w:r>
    </w:p>
    <w:p w14:paraId="67D3AD29" w14:textId="77777777" w:rsidR="007F768C" w:rsidRPr="00FD2F6D" w:rsidRDefault="007F768C" w:rsidP="006C0371">
      <w:pPr>
        <w:pStyle w:val="RptBodyText"/>
      </w:pPr>
      <w:r w:rsidRPr="00FD2F6D">
        <w:t xml:space="preserve">The data were reviewed and validated using guidance and quality control criteria documented in the analytical methods, the QAPP (Appendix F of Exponent 2019), the </w:t>
      </w:r>
      <w:bookmarkStart w:id="107" w:name="_Hlk46832751"/>
      <w:r w:rsidRPr="00FD2F6D">
        <w:rPr>
          <w:i/>
          <w:iCs/>
        </w:rPr>
        <w:t>National Functional Guidelines for Organic Superfund Data Review</w:t>
      </w:r>
      <w:r w:rsidRPr="00FD2F6D">
        <w:t xml:space="preserve"> (U.S. EPA 2008, 2014), the </w:t>
      </w:r>
      <w:r w:rsidRPr="00FD2F6D">
        <w:rPr>
          <w:i/>
          <w:iCs/>
        </w:rPr>
        <w:t>National Functional Guidelines for Inorganic Superfund Data Review</w:t>
      </w:r>
      <w:r w:rsidRPr="00FD2F6D">
        <w:t xml:space="preserve"> (U.S. EPA 2010), and the </w:t>
      </w:r>
      <w:bookmarkStart w:id="108" w:name="_Hlk46833141"/>
      <w:r w:rsidRPr="00FD2F6D">
        <w:rPr>
          <w:i/>
          <w:iCs/>
        </w:rPr>
        <w:t xml:space="preserve">National Functional Guidelines for Chlorinated Dibenzo-p-Dioxins (CDDs) &amp; Chlorinated Dibenzofurans (CDFs) Data Review </w:t>
      </w:r>
      <w:r w:rsidRPr="00FD2F6D">
        <w:t>(</w:t>
      </w:r>
      <w:bookmarkEnd w:id="107"/>
      <w:r w:rsidRPr="00FD2F6D">
        <w:t xml:space="preserve">U.S.EPA 2011). </w:t>
      </w:r>
      <w:bookmarkEnd w:id="108"/>
      <w:r w:rsidRPr="00FD2F6D">
        <w:t>A detailed data validation report (prepared by EcoChem) is provided in Appendix </w:t>
      </w:r>
      <w:r>
        <w:t>E</w:t>
      </w:r>
      <w:r w:rsidRPr="00FD2F6D">
        <w:t xml:space="preserve">. Laboratory analytical data and chains of custody is provided in Appendix </w:t>
      </w:r>
      <w:r>
        <w:t>I</w:t>
      </w:r>
      <w:r w:rsidRPr="00FD2F6D">
        <w:t xml:space="preserve">. The data, as qualified, were determined acceptable for use. The qualified data are presented and discussed in Section 4. </w:t>
      </w:r>
    </w:p>
    <w:p w14:paraId="3EA6E466" w14:textId="77777777" w:rsidR="007F768C" w:rsidRPr="00FD2F6D" w:rsidRDefault="007F768C" w:rsidP="006C0371">
      <w:pPr>
        <w:pStyle w:val="RptHeading-Level2"/>
      </w:pPr>
      <w:bookmarkStart w:id="109" w:name="_Ref43038230"/>
      <w:bookmarkStart w:id="110" w:name="_Toc59019839"/>
      <w:bookmarkStart w:id="111" w:name="_Toc98847344"/>
      <w:r w:rsidRPr="00FD2F6D">
        <w:t>Determination of Screening Levels</w:t>
      </w:r>
      <w:bookmarkEnd w:id="109"/>
      <w:bookmarkEnd w:id="110"/>
      <w:bookmarkEnd w:id="111"/>
    </w:p>
    <w:p w14:paraId="2394E31D" w14:textId="77777777" w:rsidR="007F768C" w:rsidRPr="00FD2F6D" w:rsidRDefault="007F768C" w:rsidP="006C0371">
      <w:pPr>
        <w:pStyle w:val="RptBodyText"/>
      </w:pPr>
      <w:r w:rsidRPr="00FD2F6D">
        <w:t xml:space="preserve">Human health screening levels were selected as described in the sections below to evaluate the RI data and assess the nature and extent of contamination at the Site. A site-specific TEE has also been prepared to assess potential impacts to natural habitats, soil biota, and wildlife at the Site and to determine chemicals of ecological concern; this evaluation is presented in Section </w:t>
      </w:r>
      <w:r w:rsidRPr="00FD2F6D">
        <w:fldChar w:fldCharType="begin"/>
      </w:r>
      <w:r w:rsidRPr="00FD2F6D">
        <w:instrText xml:space="preserve"> REF _Ref45180888 \r \h </w:instrText>
      </w:r>
      <w:r>
        <w:instrText xml:space="preserve"> \* MERGEFORMAT </w:instrText>
      </w:r>
      <w:r w:rsidRPr="00FD2F6D">
        <w:fldChar w:fldCharType="separate"/>
      </w:r>
      <w:r w:rsidRPr="00FD2F6D">
        <w:t>5</w:t>
      </w:r>
      <w:r w:rsidRPr="00FD2F6D">
        <w:fldChar w:fldCharType="end"/>
      </w:r>
      <w:r w:rsidRPr="00FD2F6D">
        <w:t>.</w:t>
      </w:r>
    </w:p>
    <w:p w14:paraId="21D9A302" w14:textId="77777777" w:rsidR="007F768C" w:rsidRPr="00FD2F6D" w:rsidRDefault="007F768C" w:rsidP="006C0371">
      <w:pPr>
        <w:pStyle w:val="RptBodyText"/>
      </w:pPr>
      <w:r w:rsidRPr="00FD2F6D">
        <w:t xml:space="preserve">As discussed in Section </w:t>
      </w:r>
      <w:r w:rsidRPr="00FD2F6D">
        <w:fldChar w:fldCharType="begin"/>
      </w:r>
      <w:r w:rsidRPr="00FD2F6D">
        <w:instrText xml:space="preserve"> REF _Ref42869290 \r \h  \* MERGEFORMAT </w:instrText>
      </w:r>
      <w:r w:rsidRPr="00FD2F6D">
        <w:fldChar w:fldCharType="separate"/>
      </w:r>
      <w:r w:rsidRPr="00FD2F6D">
        <w:t>2.5</w:t>
      </w:r>
      <w:r w:rsidRPr="00FD2F6D">
        <w:fldChar w:fldCharType="end"/>
      </w:r>
      <w:r w:rsidRPr="00FD2F6D">
        <w:t xml:space="preserve">, soil and groundwater samples collected during the RI were analyzed for select COIs based on historical land use and activities, and prior investigation results. Screening levels were developed in consideration of current and potential future exposure pathways and receptors, as presented in the CSM discussion in Section </w:t>
      </w:r>
      <w:r w:rsidRPr="00FD2F6D">
        <w:fldChar w:fldCharType="begin"/>
      </w:r>
      <w:r w:rsidRPr="00FD2F6D">
        <w:instrText xml:space="preserve"> REF _Ref45271951 \r \h </w:instrText>
      </w:r>
      <w:r>
        <w:instrText xml:space="preserve"> \* MERGEFORMAT </w:instrText>
      </w:r>
      <w:r w:rsidRPr="00FD2F6D">
        <w:fldChar w:fldCharType="separate"/>
      </w:r>
      <w:r w:rsidRPr="00FD2F6D">
        <w:t>6</w:t>
      </w:r>
      <w:r w:rsidRPr="00FD2F6D">
        <w:fldChar w:fldCharType="end"/>
      </w:r>
      <w:r w:rsidRPr="00FD2F6D">
        <w:t>, and potentially applicable or relevant and appropriate regulatory criteria. The screening levels are conservative, representing the most stringent of human health criteria for all potentially complete exposure pathways. The determination of the screening levels for soil and groundwater COIs is discussed below.</w:t>
      </w:r>
    </w:p>
    <w:p w14:paraId="354F448A" w14:textId="77777777" w:rsidR="007F768C" w:rsidRPr="00FD2F6D" w:rsidRDefault="007F768C" w:rsidP="006C0371">
      <w:pPr>
        <w:pStyle w:val="RptHeading-Level3"/>
      </w:pPr>
      <w:bookmarkStart w:id="112" w:name="_Ref43277470"/>
      <w:bookmarkStart w:id="113" w:name="_Toc59019840"/>
      <w:bookmarkStart w:id="114" w:name="_Toc98847345"/>
      <w:r w:rsidRPr="00FD2F6D">
        <w:t>Soil</w:t>
      </w:r>
      <w:bookmarkEnd w:id="112"/>
      <w:bookmarkEnd w:id="113"/>
      <w:bookmarkEnd w:id="114"/>
    </w:p>
    <w:p w14:paraId="3D05408B" w14:textId="77777777" w:rsidR="007F768C" w:rsidRPr="00FD2F6D" w:rsidRDefault="007F768C" w:rsidP="006C0371">
      <w:pPr>
        <w:pStyle w:val="RptBodyText"/>
      </w:pPr>
      <w:r w:rsidRPr="00FD2F6D">
        <w:t>Method B (universal method) for unrestricted land use (WAC 173-340-740(3)) was used to determine soil screening levels protective of human health. Standard Method B cleanup levels (WAC 173-340) were used as soil screening levels except in the following instances:</w:t>
      </w:r>
    </w:p>
    <w:p w14:paraId="0D89E93E" w14:textId="77777777" w:rsidR="007F768C" w:rsidRPr="00FD2F6D" w:rsidRDefault="007F768C" w:rsidP="006C0371">
      <w:pPr>
        <w:pStyle w:val="RptBullet-Level1"/>
      </w:pPr>
      <w:r w:rsidRPr="00FD2F6D">
        <w:t xml:space="preserve">Where Standard Method B soil cleanup levels are not published, the Method A cleanup levels (WAC Table 740-1) were used as soil screening levels. Specifically, the Method A cleanup levels for TPH (as GRO, DRO, and </w:t>
      </w:r>
      <w:r>
        <w:t>heavy oils</w:t>
      </w:r>
      <w:r w:rsidRPr="00FD2F6D">
        <w:t>), lead, and mercury were used as the soil screening level.</w:t>
      </w:r>
    </w:p>
    <w:p w14:paraId="7EC5B3B4" w14:textId="2EF52BA6" w:rsidR="007F768C" w:rsidRPr="00FD2F6D" w:rsidRDefault="007F768C" w:rsidP="006C0371">
      <w:pPr>
        <w:pStyle w:val="RptBullet-Level1"/>
      </w:pPr>
      <w:r w:rsidRPr="00FD2F6D">
        <w:t>Where the Standard Method B soil cleanup value was below natural background, the screening level was established to be equal to the natural background value (WAC</w:t>
      </w:r>
      <w:r w:rsidR="008C08A4">
        <w:t> </w:t>
      </w:r>
      <w:r w:rsidRPr="00FD2F6D">
        <w:t>173</w:t>
      </w:r>
      <w:r w:rsidR="003D4D24">
        <w:noBreakHyphen/>
      </w:r>
      <w:r w:rsidRPr="00FD2F6D">
        <w:t xml:space="preserve">340-700(6)(d)) using the following: </w:t>
      </w:r>
    </w:p>
    <w:p w14:paraId="018C0BD6" w14:textId="77777777" w:rsidR="007F768C" w:rsidRPr="00FD2F6D" w:rsidRDefault="007F768C" w:rsidP="006C0371">
      <w:pPr>
        <w:pStyle w:val="RptBullet-Level2"/>
      </w:pPr>
      <w:r w:rsidRPr="00FD2F6D">
        <w:t xml:space="preserve">Natural background values published in </w:t>
      </w:r>
      <w:r w:rsidRPr="00FD2F6D">
        <w:rPr>
          <w:i/>
          <w:iCs/>
        </w:rPr>
        <w:t>Natural Background Soil Metals Concentrations in Washington State</w:t>
      </w:r>
      <w:r w:rsidRPr="00FD2F6D">
        <w:t xml:space="preserve"> (</w:t>
      </w:r>
      <w:bookmarkStart w:id="115" w:name="_Hlk44955934"/>
      <w:r w:rsidRPr="00FD2F6D">
        <w:t>Ecology 1994</w:t>
      </w:r>
      <w:bookmarkEnd w:id="115"/>
      <w:r w:rsidRPr="00FD2F6D">
        <w:t xml:space="preserve">). Specifically, the published background value for arsenic was used as the Site soil screening level. </w:t>
      </w:r>
    </w:p>
    <w:p w14:paraId="74AEC590" w14:textId="77777777" w:rsidR="007F768C" w:rsidRPr="00FD2F6D" w:rsidRDefault="007F768C" w:rsidP="006C0371">
      <w:pPr>
        <w:pStyle w:val="RptBullet-Level2"/>
      </w:pPr>
      <w:r w:rsidRPr="00FD2F6D">
        <w:t>Natural background values calculated for chromium, mercury, and selenium in accordance with WAC 173-370-709 using relevant data from the U.S. Geological Society (USGS) National Geochemical Database for Soil (</w:t>
      </w:r>
      <w:bookmarkStart w:id="116" w:name="_Hlk44955904"/>
      <w:r w:rsidRPr="00FD2F6D">
        <w:t>USGS 2016</w:t>
      </w:r>
      <w:bookmarkEnd w:id="116"/>
      <w:r w:rsidRPr="00FD2F6D">
        <w:t xml:space="preserve">); this evaluation is presented in Appendix </w:t>
      </w:r>
      <w:r>
        <w:t>G</w:t>
      </w:r>
      <w:r w:rsidRPr="00FD2F6D">
        <w:t>. The calculated background value for chromium was used as the Site soil screening level.</w:t>
      </w:r>
      <w:r w:rsidRPr="00FD2F6D">
        <w:rPr>
          <w:rStyle w:val="FootnoteReference"/>
        </w:rPr>
        <w:footnoteReference w:id="12"/>
      </w:r>
    </w:p>
    <w:p w14:paraId="38A5726A" w14:textId="77777777" w:rsidR="007F768C" w:rsidRPr="00FD2F6D" w:rsidRDefault="007F768C" w:rsidP="006C0371">
      <w:pPr>
        <w:pStyle w:val="RptBodyText"/>
      </w:pPr>
      <w:r w:rsidRPr="00FD2F6D">
        <w:t xml:space="preserve">Human health screening levels selected for soil are provided in Table 5 and referred to in this report as “soil screening levels.” </w:t>
      </w:r>
    </w:p>
    <w:p w14:paraId="3E232081" w14:textId="77777777" w:rsidR="007F768C" w:rsidRPr="00FD2F6D" w:rsidRDefault="007F768C" w:rsidP="006C0371">
      <w:pPr>
        <w:pStyle w:val="RptHeading-Level3"/>
      </w:pPr>
      <w:bookmarkStart w:id="117" w:name="_Toc45027955"/>
      <w:bookmarkStart w:id="118" w:name="_Toc45027956"/>
      <w:bookmarkStart w:id="119" w:name="_Toc45027957"/>
      <w:bookmarkStart w:id="120" w:name="_Toc45027959"/>
      <w:bookmarkStart w:id="121" w:name="_Toc45027960"/>
      <w:bookmarkStart w:id="122" w:name="_Toc45027961"/>
      <w:bookmarkStart w:id="123" w:name="_Toc45027963"/>
      <w:bookmarkStart w:id="124" w:name="_Toc45027964"/>
      <w:bookmarkStart w:id="125" w:name="_Toc45027965"/>
      <w:bookmarkStart w:id="126" w:name="_Ref43026007"/>
      <w:bookmarkStart w:id="127" w:name="_Toc59019841"/>
      <w:bookmarkStart w:id="128" w:name="_Toc98847346"/>
      <w:bookmarkEnd w:id="117"/>
      <w:bookmarkEnd w:id="118"/>
      <w:bookmarkEnd w:id="119"/>
      <w:bookmarkEnd w:id="120"/>
      <w:bookmarkEnd w:id="121"/>
      <w:bookmarkEnd w:id="122"/>
      <w:bookmarkEnd w:id="123"/>
      <w:bookmarkEnd w:id="124"/>
      <w:bookmarkEnd w:id="125"/>
      <w:r w:rsidRPr="00FD2F6D">
        <w:t>Groundwater</w:t>
      </w:r>
      <w:bookmarkEnd w:id="126"/>
      <w:bookmarkEnd w:id="127"/>
      <w:bookmarkEnd w:id="128"/>
    </w:p>
    <w:p w14:paraId="64A2C017" w14:textId="77777777" w:rsidR="007F768C" w:rsidRPr="00FD2F6D" w:rsidRDefault="007F768C" w:rsidP="006C0371">
      <w:pPr>
        <w:pStyle w:val="RptBodyText"/>
      </w:pPr>
      <w:r w:rsidRPr="00FD2F6D">
        <w:t>Method B (universal method) based on the beneficial use of groundwater as a source of drinking water (WAC 173-340-720(1)(a)) was used to determine groundwater screening levels. Standard Method B cleanup levels (WAC 173-340) were used as groundwater screening levels except in the following instances:</w:t>
      </w:r>
    </w:p>
    <w:p w14:paraId="48ED1386" w14:textId="77777777" w:rsidR="007F768C" w:rsidRPr="00FD2F6D" w:rsidRDefault="007F768C" w:rsidP="006C0371">
      <w:pPr>
        <w:pStyle w:val="RptBullet-Level1"/>
      </w:pPr>
      <w:r w:rsidRPr="00FD2F6D">
        <w:t xml:space="preserve">Where Standard Method B groundwater cleanup levels are not published, the Method A cleanup levels (WAC Table 720-1) were used as groundwater screening levels. Specifically, the Method A cleanup levels for TPH (as GRO, DRO, and </w:t>
      </w:r>
      <w:r>
        <w:t>heavy oils</w:t>
      </w:r>
      <w:r w:rsidRPr="00FD2F6D">
        <w:t>), chromium, lead, and mercury were used as the Site groundwater screening level.</w:t>
      </w:r>
    </w:p>
    <w:p w14:paraId="4A12CD93" w14:textId="77777777" w:rsidR="007F768C" w:rsidRPr="00FD2F6D" w:rsidRDefault="007F768C" w:rsidP="006C0371">
      <w:pPr>
        <w:pStyle w:val="RptBullet-Level1"/>
      </w:pPr>
      <w:r w:rsidRPr="00FD2F6D">
        <w:t xml:space="preserve">Where the Standard Method B groundwater cleanup value is below natural background, the groundwater screening level was established to be equal to the natural background value (WAC 173-340-700(6)(d)). The Method A cleanup level for arsenic, which is based on natural background concentrations for the State of Washington (WAC Table 720-1), was used as the groundwater screening level. </w:t>
      </w:r>
    </w:p>
    <w:p w14:paraId="4E656EB2" w14:textId="77777777" w:rsidR="007F768C" w:rsidRPr="00FD2F6D" w:rsidRDefault="007F768C" w:rsidP="006C0371">
      <w:pPr>
        <w:pStyle w:val="RptBullet-Level1"/>
      </w:pPr>
      <w:r w:rsidRPr="00FD2F6D">
        <w:t>Where the Federal and Washington State Maximum Contaminant Levels (MCLs) were below the Standard Method B cleanup value, the MCL was used as the groundwater screening level. The MCLs for barium, cadmium, selenium, and eight VOCs</w:t>
      </w:r>
      <w:r w:rsidRPr="00FD2F6D">
        <w:rPr>
          <w:rStyle w:val="FootnoteReference"/>
        </w:rPr>
        <w:footnoteReference w:id="13"/>
      </w:r>
      <w:r w:rsidRPr="00FD2F6D">
        <w:t xml:space="preserve"> were used as the groundwater screening level. </w:t>
      </w:r>
    </w:p>
    <w:p w14:paraId="5A6119B4" w14:textId="77777777" w:rsidR="007F768C" w:rsidRPr="00FD2F6D" w:rsidRDefault="007F768C" w:rsidP="006C0371">
      <w:pPr>
        <w:pStyle w:val="RptBodyText"/>
      </w:pPr>
      <w:r w:rsidRPr="00FD2F6D">
        <w:t>Screening levels selected for groundwater are presented in Table 6.</w:t>
      </w:r>
    </w:p>
    <w:p w14:paraId="5A23F62A" w14:textId="77777777" w:rsidR="007F768C" w:rsidRPr="00FD2F6D" w:rsidRDefault="007F768C" w:rsidP="006C0371">
      <w:pPr>
        <w:pStyle w:val="RptHeading-Level1"/>
      </w:pPr>
      <w:bookmarkStart w:id="129" w:name="_Toc45027967"/>
      <w:bookmarkStart w:id="130" w:name="_Toc45027968"/>
      <w:bookmarkStart w:id="131" w:name="_Toc59019842"/>
      <w:bookmarkStart w:id="132" w:name="_Toc98847347"/>
      <w:bookmarkEnd w:id="129"/>
      <w:bookmarkEnd w:id="130"/>
      <w:r w:rsidRPr="00FD2F6D">
        <w:t>Remedial Investigation Results</w:t>
      </w:r>
      <w:bookmarkEnd w:id="131"/>
      <w:bookmarkEnd w:id="132"/>
    </w:p>
    <w:p w14:paraId="30A7990D" w14:textId="02E58AC1" w:rsidR="007F768C" w:rsidRPr="00FD2F6D" w:rsidRDefault="007F768C" w:rsidP="006C0371">
      <w:pPr>
        <w:pStyle w:val="RptBodyText"/>
      </w:pPr>
      <w:r w:rsidRPr="00FD2F6D">
        <w:t xml:space="preserve">This section presents the results of the RI soil and groundwater investigation, and a discussion of the nature and extent of COIs in Site soil and groundwater. </w:t>
      </w:r>
      <w:r w:rsidR="00AA022F">
        <w:t>Summaries</w:t>
      </w:r>
      <w:r w:rsidRPr="00FD2F6D">
        <w:t xml:space="preserve"> of soil and groundwater analy</w:t>
      </w:r>
      <w:r w:rsidR="00D14F65">
        <w:t>ses and detections</w:t>
      </w:r>
      <w:r w:rsidRPr="00FD2F6D">
        <w:t xml:space="preserve"> is provided in Tables 7 and 8, respectively. Soil and groundwater results are discussed in the following sections.</w:t>
      </w:r>
    </w:p>
    <w:p w14:paraId="28A761DD" w14:textId="77777777" w:rsidR="007F768C" w:rsidRPr="00FD2F6D" w:rsidRDefault="007F768C" w:rsidP="006C0371">
      <w:pPr>
        <w:pStyle w:val="RptHeading-Level2"/>
      </w:pPr>
      <w:bookmarkStart w:id="133" w:name="_Toc59019843"/>
      <w:bookmarkStart w:id="134" w:name="_Toc98847348"/>
      <w:r w:rsidRPr="00FD2F6D">
        <w:t>Soil Investigation Results</w:t>
      </w:r>
      <w:bookmarkEnd w:id="133"/>
      <w:bookmarkEnd w:id="134"/>
    </w:p>
    <w:p w14:paraId="38622278" w14:textId="77777777" w:rsidR="007F768C" w:rsidRPr="00FD2F6D" w:rsidRDefault="007F768C" w:rsidP="006C0371">
      <w:pPr>
        <w:pStyle w:val="RptBodyText"/>
      </w:pPr>
      <w:r w:rsidRPr="00FD2F6D">
        <w:t xml:space="preserve">Soil borings were completed during the RI to depths between 5 and 45 ft bgs. Soil sampling locations and depth intervals are identified on Figure 8, in Table 2, and on the boring logs provided in Appendix </w:t>
      </w:r>
      <w:r>
        <w:t>C</w:t>
      </w:r>
      <w:r w:rsidRPr="00FD2F6D">
        <w:t xml:space="preserve">. </w:t>
      </w:r>
    </w:p>
    <w:p w14:paraId="27D11E80" w14:textId="77777777" w:rsidR="007F768C" w:rsidRPr="00FD2F6D" w:rsidRDefault="007F768C" w:rsidP="006C0371">
      <w:pPr>
        <w:pStyle w:val="RptBodyText"/>
      </w:pPr>
      <w:r w:rsidRPr="00FD2F6D">
        <w:t>The following sections present findings for Site stratigraphy and discussion of the nature and extent of COIs in Site soil.</w:t>
      </w:r>
    </w:p>
    <w:p w14:paraId="1C8BE43A" w14:textId="77777777" w:rsidR="007F768C" w:rsidRPr="00FD2F6D" w:rsidRDefault="007F768C" w:rsidP="006C0371">
      <w:pPr>
        <w:pStyle w:val="RptHeading-Level3"/>
      </w:pPr>
      <w:bookmarkStart w:id="135" w:name="_Ref47345552"/>
      <w:bookmarkStart w:id="136" w:name="_Toc59019844"/>
      <w:bookmarkStart w:id="137" w:name="_Toc98847349"/>
      <w:r w:rsidRPr="00FD2F6D">
        <w:t>Site Stratigraphy</w:t>
      </w:r>
      <w:bookmarkEnd w:id="135"/>
      <w:bookmarkEnd w:id="136"/>
      <w:bookmarkEnd w:id="137"/>
    </w:p>
    <w:p w14:paraId="3DBF42BD" w14:textId="372EB373" w:rsidR="007F768C" w:rsidRPr="00FD2F6D" w:rsidRDefault="007F768C" w:rsidP="00B905DF">
      <w:pPr>
        <w:pStyle w:val="RptBodyText"/>
      </w:pPr>
      <w:r w:rsidRPr="00FD2F6D">
        <w:t xml:space="preserve">Soils encountered during RI activities were primarily fill consisting of varying mixtures of gravels, sands, and silts (Figures 9 through 14 and Appendix </w:t>
      </w:r>
      <w:r>
        <w:t>C</w:t>
      </w:r>
      <w:r w:rsidRPr="00FD2F6D">
        <w:t>). Native, undisturbed soils were positively identified at one boring location, EX-B-21 in Area 2. Boring EX</w:t>
      </w:r>
      <w:r w:rsidRPr="00FD2F6D">
        <w:noBreakHyphen/>
        <w:t>B</w:t>
      </w:r>
      <w:r w:rsidRPr="00FD2F6D">
        <w:noBreakHyphen/>
        <w:t>21 was completed in the southwestern part of the Site (Figure 8) and contained fill material from 0 to 5 ft bgs and poorly graded sand with identifiable native soil horizons observed below 5</w:t>
      </w:r>
      <w:r w:rsidR="003D4D24">
        <w:t> </w:t>
      </w:r>
      <w:r w:rsidRPr="00FD2F6D">
        <w:t>ft</w:t>
      </w:r>
      <w:r w:rsidR="003D4D24">
        <w:t> </w:t>
      </w:r>
      <w:r w:rsidRPr="00FD2F6D">
        <w:t xml:space="preserve">bgs (see the boring log in Appendix </w:t>
      </w:r>
      <w:r>
        <w:t>C</w:t>
      </w:r>
      <w:r w:rsidRPr="00FD2F6D">
        <w:t xml:space="preserve"> and cross section discussion below). </w:t>
      </w:r>
    </w:p>
    <w:p w14:paraId="6D7012F1" w14:textId="77777777" w:rsidR="007F768C" w:rsidRPr="00FD2F6D" w:rsidRDefault="007F768C" w:rsidP="006C0371">
      <w:pPr>
        <w:pStyle w:val="RptBodyText"/>
      </w:pPr>
      <w:r w:rsidRPr="00FD2F6D">
        <w:t xml:space="preserve">Five geologic cross sections were prepared at the locations shown in Figure 9: </w:t>
      </w:r>
    </w:p>
    <w:p w14:paraId="7F938FEC" w14:textId="77777777" w:rsidR="007F768C" w:rsidRPr="00FD2F6D" w:rsidRDefault="007F768C" w:rsidP="006C0371">
      <w:pPr>
        <w:pStyle w:val="RptBullet-Level1"/>
      </w:pPr>
      <w:r w:rsidRPr="00FD2F6D">
        <w:t>Cross Section A-A’ (Figure 10): a west-northwest-east-southeast section through Areas 1 and 2</w:t>
      </w:r>
    </w:p>
    <w:p w14:paraId="5B0551FC" w14:textId="77777777" w:rsidR="007F768C" w:rsidRPr="00FD2F6D" w:rsidRDefault="007F768C" w:rsidP="006C0371">
      <w:pPr>
        <w:pStyle w:val="RptBullet-Level1"/>
      </w:pPr>
      <w:r w:rsidRPr="00FD2F6D">
        <w:t>Cross Section B-B’ (Figure 11): a north-south section through Areas 1 and 3</w:t>
      </w:r>
    </w:p>
    <w:p w14:paraId="7627171F" w14:textId="77777777" w:rsidR="007F768C" w:rsidRPr="00FD2F6D" w:rsidRDefault="007F768C" w:rsidP="006C0371">
      <w:pPr>
        <w:pStyle w:val="RptBullet-Level1"/>
      </w:pPr>
      <w:r w:rsidRPr="00FD2F6D">
        <w:t>Cross Section C-C’ (Figure 12): a north-northeast-south-southwest section through Area 2</w:t>
      </w:r>
    </w:p>
    <w:p w14:paraId="54AEF3A6" w14:textId="77777777" w:rsidR="007F768C" w:rsidRPr="00FD2F6D" w:rsidRDefault="007F768C" w:rsidP="006C0371">
      <w:pPr>
        <w:pStyle w:val="RptBullet-Level1"/>
      </w:pPr>
      <w:r w:rsidRPr="00FD2F6D">
        <w:t>Cross Section D-D’ (Figure 13): a west-east section through Area 3</w:t>
      </w:r>
    </w:p>
    <w:p w14:paraId="56C61D04" w14:textId="77777777" w:rsidR="007F768C" w:rsidRPr="00FD2F6D" w:rsidRDefault="007F768C" w:rsidP="006C0371">
      <w:pPr>
        <w:pStyle w:val="RptBullet-Level1"/>
      </w:pPr>
      <w:r w:rsidRPr="00FD2F6D">
        <w:t xml:space="preserve">Cross Section E-E’ (Figure 14): a north-south section through Areas 1, 2, and 3. </w:t>
      </w:r>
    </w:p>
    <w:p w14:paraId="09540A02" w14:textId="77777777" w:rsidR="007F768C" w:rsidRPr="00FD2F6D" w:rsidRDefault="007F768C" w:rsidP="006C0371">
      <w:pPr>
        <w:pStyle w:val="RptBodyText"/>
      </w:pPr>
      <w:r w:rsidRPr="00FD2F6D">
        <w:t xml:space="preserve">Area 1 contains fill material comprised of sands and silts near the surface, and gravels and sands at depth (Cross Sections A-A’ and B-B’, Figures 10 and 11). GPR profile images (Section </w:t>
      </w:r>
      <w:r w:rsidRPr="00FD2F6D">
        <w:fldChar w:fldCharType="begin"/>
      </w:r>
      <w:r w:rsidRPr="00FD2F6D">
        <w:instrText xml:space="preserve"> REF _Ref45013811 \r \h </w:instrText>
      </w:r>
      <w:r>
        <w:instrText xml:space="preserve"> \* MERGEFORMAT </w:instrText>
      </w:r>
      <w:r w:rsidRPr="00FD2F6D">
        <w:fldChar w:fldCharType="separate"/>
      </w:r>
      <w:r w:rsidRPr="00FD2F6D">
        <w:t>3.1.2</w:t>
      </w:r>
      <w:r w:rsidRPr="00FD2F6D">
        <w:fldChar w:fldCharType="end"/>
      </w:r>
      <w:r w:rsidRPr="00FD2F6D">
        <w:t xml:space="preserve"> and Appendix </w:t>
      </w:r>
      <w:r>
        <w:t>B</w:t>
      </w:r>
      <w:r w:rsidRPr="00FD2F6D">
        <w:t>) within Area 1 indicate that fill is present between approximately 11 and 15 ft bgs (</w:t>
      </w:r>
      <w:r w:rsidRPr="00FD2F6D">
        <w:rPr>
          <w:i/>
          <w:iCs/>
        </w:rPr>
        <w:t>N-S GPR Traverse, Section C</w:t>
      </w:r>
      <w:r w:rsidRPr="00FD2F6D">
        <w:t xml:space="preserve"> and </w:t>
      </w:r>
      <w:r w:rsidRPr="00FD2F6D">
        <w:rPr>
          <w:i/>
          <w:iCs/>
        </w:rPr>
        <w:t>W-E “8-7-6-5” Traverse, Sections A and B</w:t>
      </w:r>
      <w:r w:rsidRPr="00FD2F6D">
        <w:t xml:space="preserve"> in Appendix </w:t>
      </w:r>
      <w:r>
        <w:t>B</w:t>
      </w:r>
      <w:r w:rsidRPr="00FD2F6D">
        <w:t>). The fill depths estimated with GPR were consistent with field observations (Cross Sections A-A’ and B-B’, Figures 10 and 11).</w:t>
      </w:r>
    </w:p>
    <w:p w14:paraId="7810A340" w14:textId="77777777" w:rsidR="007F768C" w:rsidRPr="00FD2F6D" w:rsidRDefault="007F768C" w:rsidP="006C0371">
      <w:pPr>
        <w:pStyle w:val="RptBodyText"/>
      </w:pPr>
      <w:r w:rsidRPr="00FD2F6D">
        <w:t xml:space="preserve">Area 2 contains fill material comprised of gravels, sands, and silts (Cross Sections A-A’ and C-C’, Figures 10 and 12). The mixtures of gravels, sands, and silts indicate that fill depths in Area 2 are variable and as deep as 25 ft bgs (Cross Section A-A’, Figure 10). The fill depth estimated with GPR at the northern edge of Area 2 was 15 ft, which is consistent with shallower fill depths on the north side of this former burial area. </w:t>
      </w:r>
    </w:p>
    <w:p w14:paraId="3153B4C1" w14:textId="77777777" w:rsidR="007F768C" w:rsidRPr="00FD2F6D" w:rsidRDefault="007F768C" w:rsidP="006C0371">
      <w:pPr>
        <w:pStyle w:val="RptBodyText"/>
      </w:pPr>
      <w:r w:rsidRPr="00FD2F6D">
        <w:t>The former quarry area in Area 3 contains fill material comprised of silty sands and silty gravels (Cross Sections D-D’ and E-E’, Figures 13 and 14). Fill depths are variable across the former quarry area. GPR profile images of Area 3 indicate that fill depths in the northern portion of the former quarry area (</w:t>
      </w:r>
      <w:r w:rsidRPr="00FD2F6D">
        <w:rPr>
          <w:i/>
          <w:iCs/>
        </w:rPr>
        <w:t>N-S GPR Traverse, Section A</w:t>
      </w:r>
      <w:r w:rsidRPr="00FD2F6D">
        <w:t xml:space="preserve"> in Appendix </w:t>
      </w:r>
      <w:r>
        <w:t>B</w:t>
      </w:r>
      <w:r w:rsidRPr="00FD2F6D">
        <w:t>) are approximately 15 ft and fill depths in the eastern portion of the former quarry area (</w:t>
      </w:r>
      <w:r w:rsidRPr="00FD2F6D">
        <w:rPr>
          <w:i/>
          <w:iCs/>
        </w:rPr>
        <w:t xml:space="preserve">N-S GPR Traverse, Section B </w:t>
      </w:r>
      <w:r w:rsidRPr="00FD2F6D">
        <w:t xml:space="preserve">and </w:t>
      </w:r>
      <w:r w:rsidRPr="00FD2F6D">
        <w:rPr>
          <w:i/>
          <w:iCs/>
        </w:rPr>
        <w:t>W-E GPR Traverse, Sections A + B</w:t>
      </w:r>
      <w:r w:rsidRPr="00FD2F6D">
        <w:t xml:space="preserve"> in Appendix </w:t>
      </w:r>
      <w:r>
        <w:t>B</w:t>
      </w:r>
      <w:r w:rsidRPr="00FD2F6D">
        <w:t>) are between approximately 9 and 17 ft. Field observations of the gravel, sand, and silt mixtures indicate that fill depths in the former quarry area are as deep as 25 ft bgs (EX-B-42 shown in Cross Section E-E’, Figure 14). RI boring locations (field observations) and GPR survey areas were not co-located.</w:t>
      </w:r>
      <w:r w:rsidRPr="00FD2F6D" w:rsidDel="006510BB">
        <w:t xml:space="preserve"> </w:t>
      </w:r>
    </w:p>
    <w:p w14:paraId="734A162B" w14:textId="77777777" w:rsidR="007F768C" w:rsidRPr="00FD2F6D" w:rsidRDefault="007F768C" w:rsidP="006C0371">
      <w:pPr>
        <w:pStyle w:val="RptBodyText"/>
      </w:pPr>
      <w:r w:rsidRPr="00FD2F6D">
        <w:t>The eastern portion of Area 3, where landslide soil and debris were placed, is comprised of gravel, sand, and silt mixtures (Cross Sections B-B’ and D-D’, Figures 11 and 13). GPR profile images indicate that fill is present in the western and southeastern portions of the landslide soil and debris area from approximately 10 to 15 ft bgs (</w:t>
      </w:r>
      <w:r w:rsidRPr="00FD2F6D">
        <w:rPr>
          <w:i/>
          <w:iCs/>
        </w:rPr>
        <w:t>N-S GPR Traverse, Section A</w:t>
      </w:r>
      <w:r w:rsidRPr="00FD2F6D">
        <w:t xml:space="preserve"> and </w:t>
      </w:r>
      <w:r w:rsidRPr="00FD2F6D">
        <w:rPr>
          <w:i/>
          <w:iCs/>
        </w:rPr>
        <w:t>W-E GPR Traverse, Section C</w:t>
      </w:r>
      <w:r w:rsidRPr="00FD2F6D">
        <w:t xml:space="preserve"> in Appendix </w:t>
      </w:r>
      <w:r>
        <w:t>B</w:t>
      </w:r>
      <w:r w:rsidRPr="00FD2F6D">
        <w:t>). The fill depths estimated with GPR were consistent with field observations (Cross Sections B-B’ and D-D’, Figures 11 and 13).</w:t>
      </w:r>
    </w:p>
    <w:p w14:paraId="7C416973" w14:textId="77777777" w:rsidR="007F768C" w:rsidRPr="00FD2F6D" w:rsidRDefault="007F768C" w:rsidP="006C0371">
      <w:pPr>
        <w:pStyle w:val="RptHeading-Level3"/>
      </w:pPr>
      <w:bookmarkStart w:id="138" w:name="_Ref45199330"/>
      <w:bookmarkStart w:id="139" w:name="_Toc59019845"/>
      <w:bookmarkStart w:id="140" w:name="_Toc98847350"/>
      <w:r w:rsidRPr="00FD2F6D">
        <w:t>Nature and Extent of Soil Constituents of Interest</w:t>
      </w:r>
      <w:bookmarkEnd w:id="138"/>
      <w:bookmarkEnd w:id="139"/>
      <w:bookmarkEnd w:id="140"/>
    </w:p>
    <w:p w14:paraId="74776E77" w14:textId="77777777" w:rsidR="007F768C" w:rsidRPr="00FD2F6D" w:rsidRDefault="007F768C" w:rsidP="006C0371">
      <w:pPr>
        <w:pStyle w:val="RptBodyText"/>
      </w:pPr>
      <w:r w:rsidRPr="00FD2F6D">
        <w:t>A summary of RI soil sampling is presented in Table 7, including the count of detected and undetected results, and minimum and maximum concentrations. Comparisons of RI soil sample concentrations to soil screening levels are presented in Tables 9 through 15 and Figures 15 through 18. The nature and extent of soil COIs are discussed below by COI category, followed by a soil investigation summary.</w:t>
      </w:r>
    </w:p>
    <w:p w14:paraId="24D5B7A7" w14:textId="77777777" w:rsidR="007F768C" w:rsidRPr="00FD2F6D" w:rsidRDefault="007F768C" w:rsidP="006C0371">
      <w:pPr>
        <w:pStyle w:val="RptHeading-Level4"/>
      </w:pPr>
      <w:bookmarkStart w:id="141" w:name="_Ref44793271"/>
      <w:r w:rsidRPr="00FD2F6D">
        <w:t>Petroleum Hydrocarbons</w:t>
      </w:r>
      <w:bookmarkEnd w:id="141"/>
    </w:p>
    <w:p w14:paraId="35F35537" w14:textId="77777777" w:rsidR="007F768C" w:rsidRPr="00FD2F6D" w:rsidRDefault="007F768C" w:rsidP="006C0371">
      <w:pPr>
        <w:pStyle w:val="RptBodyText"/>
      </w:pPr>
      <w:r w:rsidRPr="00FD2F6D">
        <w:t xml:space="preserve">Petroleum hydrocarbon impacts attributable to historical activities were detected at various locations across Areas 1, 2, and 3 (Tables 7 and 9). Historical site evaluation and RI data indicate that potential petroleum sources are historical management of fluids used in vehicle maintenance including petroleum products stored in former USTs (Area 1), waste and material dumping (Area 2), fill (Areas 1, 2, and 3), and landslide debris brought onto the property (Area 3) (Figure 8). In these areas, </w:t>
      </w:r>
      <w:bookmarkStart w:id="142" w:name="_Hlk47437713"/>
      <w:r w:rsidRPr="00FD2F6D">
        <w:t xml:space="preserve">localized soil staining and petroleum hydrocarbon odors were observed at some locations (Appendix </w:t>
      </w:r>
      <w:r>
        <w:t>C</w:t>
      </w:r>
      <w:r w:rsidRPr="00FD2F6D">
        <w:t xml:space="preserve">), and elevated petroleum hydrocarbons were detected in soils </w:t>
      </w:r>
      <w:bookmarkEnd w:id="142"/>
      <w:r w:rsidRPr="00FD2F6D">
        <w:t xml:space="preserve">with GRO up to 440 mg/kg, DRO up to 2,500 mg/kg, and </w:t>
      </w:r>
      <w:r>
        <w:t xml:space="preserve">heavy oils </w:t>
      </w:r>
      <w:r w:rsidRPr="00FD2F6D">
        <w:t>up to 3,100 mg/kg (Table 9). The highest petroleum concentrations were identified in the waste dumping area in the western portion of Area 2, in the vicinity of the former Vehicle Maintenance Building in Area 1, and at locations on the north and south sides of Area 3 where fill and landslide debris were placed.</w:t>
      </w:r>
    </w:p>
    <w:p w14:paraId="5318E6C3" w14:textId="77777777" w:rsidR="007F768C" w:rsidRPr="00FD2F6D" w:rsidRDefault="007F768C" w:rsidP="006C0371">
      <w:pPr>
        <w:pStyle w:val="RptBodyText"/>
      </w:pPr>
      <w:r w:rsidRPr="00FD2F6D">
        <w:t>Many petroleum hydrocarbon detections across the Site are believed to be attributable to natural organics and anthropogenic debris observed in the soil matrix. Specifically, some low-level petroleum hydrocarbon concentrations (&lt;200 mg/kg) detected in the RI appear to be natural organics in soil as evidenced by the following:</w:t>
      </w:r>
    </w:p>
    <w:p w14:paraId="7D59A120" w14:textId="77777777" w:rsidR="007F768C" w:rsidRPr="00FD2F6D" w:rsidRDefault="007F768C" w:rsidP="006C0371">
      <w:pPr>
        <w:pStyle w:val="RptBullet-Level1"/>
      </w:pPr>
      <w:r w:rsidRPr="00FD2F6D">
        <w:t>Lack of field observations of TPH impact in soils (i.e., no staining or odor)</w:t>
      </w:r>
    </w:p>
    <w:p w14:paraId="7287441B" w14:textId="77777777" w:rsidR="007F768C" w:rsidRPr="00FD2F6D" w:rsidRDefault="007F768C" w:rsidP="006C0371">
      <w:pPr>
        <w:pStyle w:val="RptBullet-Level1"/>
      </w:pPr>
      <w:r w:rsidRPr="00FD2F6D">
        <w:t xml:space="preserve">Low petroleum hydrocarbon levels detected in soil samples collected in undeveloped, forested Area 4 (up to 7.9 mg/kg GRO, 25 mg/kg DRO, and 170 mg/kg </w:t>
      </w:r>
      <w:r>
        <w:t>heavy oils</w:t>
      </w:r>
      <w:r w:rsidRPr="00FD2F6D">
        <w:t xml:space="preserve">).  </w:t>
      </w:r>
    </w:p>
    <w:p w14:paraId="79A93049" w14:textId="60DAAF1C" w:rsidR="007F768C" w:rsidRPr="00FD2F6D" w:rsidRDefault="007F768C" w:rsidP="006C0371">
      <w:pPr>
        <w:pStyle w:val="RptBodyText"/>
      </w:pPr>
      <w:r w:rsidRPr="00FD2F6D">
        <w:t xml:space="preserve">Pieces of asphalt were encountered in soils across the Site (Appendix </w:t>
      </w:r>
      <w:r>
        <w:t>C</w:t>
      </w:r>
      <w:r w:rsidRPr="00FD2F6D">
        <w:t xml:space="preserve">). The sampling team made an effort to avoid this material during sample collection; however, small particles are expected to be present and entrained in the soil matrix. Petroleum in asphalt is released in solvent extraction and is quantified in the hydrocarbon analysis. As an example, asphalt was observed in one of the surface samples with </w:t>
      </w:r>
      <w:r>
        <w:t>heavy oils</w:t>
      </w:r>
      <w:r w:rsidRPr="00FD2F6D">
        <w:t xml:space="preserve"> detected at 1,300 mg/kg (sample EX</w:t>
      </w:r>
      <w:r w:rsidR="0090784B">
        <w:noBreakHyphen/>
      </w:r>
      <w:r w:rsidRPr="00FD2F6D">
        <w:t xml:space="preserve">B-34-0-1, Table 9), although no staining or odors were noted in the field (Appendix </w:t>
      </w:r>
      <w:r>
        <w:t>C</w:t>
      </w:r>
      <w:r w:rsidRPr="00FD2F6D">
        <w:t>).</w:t>
      </w:r>
    </w:p>
    <w:p w14:paraId="6AAE6AD6" w14:textId="2C8F23FA" w:rsidR="007F768C" w:rsidRPr="00FD2F6D" w:rsidRDefault="007F768C" w:rsidP="006C0371">
      <w:pPr>
        <w:pStyle w:val="RptBodyText"/>
      </w:pPr>
      <w:r w:rsidRPr="00FD2F6D">
        <w:t xml:space="preserve">Three samples exceed one or more GRO, DRO, and </w:t>
      </w:r>
      <w:r>
        <w:t>heavy oils</w:t>
      </w:r>
      <w:r w:rsidRPr="00FD2F6D">
        <w:t xml:space="preserve"> soil screening levels: EX</w:t>
      </w:r>
      <w:r w:rsidR="0090784B">
        <w:noBreakHyphen/>
      </w:r>
      <w:r w:rsidRPr="00FD2F6D">
        <w:t>B</w:t>
      </w:r>
      <w:r w:rsidR="0090784B">
        <w:noBreakHyphen/>
      </w:r>
      <w:r w:rsidRPr="00FD2F6D">
        <w:t>5</w:t>
      </w:r>
      <w:r w:rsidR="0090784B">
        <w:noBreakHyphen/>
      </w:r>
      <w:r w:rsidRPr="00FD2F6D">
        <w:t>0-1 in Area 1, EX-B-18-1-5 in Area 2, and EX-B-35-1-5 in Area 3. The soil screening level exceedances are summarized in Table 9, shown in Figure 15, and discussed below.</w:t>
      </w:r>
    </w:p>
    <w:p w14:paraId="40457992" w14:textId="77777777" w:rsidR="007F768C" w:rsidRPr="00FD2F6D" w:rsidRDefault="007F768C" w:rsidP="006C0371">
      <w:pPr>
        <w:pStyle w:val="RptBodyText"/>
      </w:pPr>
      <w:r w:rsidRPr="00FD2F6D">
        <w:t xml:space="preserve">Sample EX-B-5-0-1 from 0 to 1 ft bgs in Area 1 (Figure 15) was collected in the area of the former diesel dispenser and fill (Table 2 and Section </w:t>
      </w:r>
      <w:r w:rsidRPr="00FD2F6D">
        <w:fldChar w:fldCharType="begin"/>
      </w:r>
      <w:r w:rsidRPr="00FD2F6D">
        <w:instrText xml:space="preserve"> REF _Ref43041632 \r \h </w:instrText>
      </w:r>
      <w:r>
        <w:instrText xml:space="preserve"> \* MERGEFORMAT </w:instrText>
      </w:r>
      <w:r w:rsidRPr="00FD2F6D">
        <w:fldChar w:fldCharType="separate"/>
      </w:r>
      <w:r w:rsidRPr="00FD2F6D">
        <w:t>2.3.1</w:t>
      </w:r>
      <w:r w:rsidRPr="00FD2F6D">
        <w:fldChar w:fldCharType="end"/>
      </w:r>
      <w:r w:rsidRPr="00FD2F6D">
        <w:t xml:space="preserve">). Pieces of asphalt were observed on the ground surface at this location (Appendix </w:t>
      </w:r>
      <w:r>
        <w:t>C</w:t>
      </w:r>
      <w:r w:rsidRPr="00FD2F6D">
        <w:t xml:space="preserve">). Concentrations of GRO, DRO, and </w:t>
      </w:r>
      <w:r>
        <w:t>heavy oils</w:t>
      </w:r>
      <w:r w:rsidRPr="00FD2F6D">
        <w:t xml:space="preserve"> were quantified in this sample at 13 mg/kg, 510 mg/kg, and 3,100 mg/kg, respectively (Table 9).</w:t>
      </w:r>
    </w:p>
    <w:p w14:paraId="4455AA1C" w14:textId="77777777" w:rsidR="007F768C" w:rsidRPr="00FD2F6D" w:rsidRDefault="007F768C" w:rsidP="006C0371">
      <w:pPr>
        <w:pStyle w:val="RptBodyText"/>
      </w:pPr>
      <w:r w:rsidRPr="00FD2F6D">
        <w:t xml:space="preserve">Sample EX-B-18-1-5 from 1 to 5 ft bgs in Area 2 (Figure 15) was collected in a former waste dumping area for unused asphalt, where diesel was sprayed on truck beds to remove the asphalt (Table 2 and Section </w:t>
      </w:r>
      <w:r w:rsidRPr="00FD2F6D">
        <w:fldChar w:fldCharType="begin"/>
      </w:r>
      <w:r w:rsidRPr="00FD2F6D">
        <w:instrText xml:space="preserve"> REF _Ref43041340 \r \h </w:instrText>
      </w:r>
      <w:r>
        <w:instrText xml:space="preserve"> \* MERGEFORMAT </w:instrText>
      </w:r>
      <w:r w:rsidRPr="00FD2F6D">
        <w:fldChar w:fldCharType="separate"/>
      </w:r>
      <w:r w:rsidRPr="00FD2F6D">
        <w:t>2.3.2</w:t>
      </w:r>
      <w:r w:rsidRPr="00FD2F6D">
        <w:fldChar w:fldCharType="end"/>
      </w:r>
      <w:r w:rsidRPr="00FD2F6D">
        <w:t xml:space="preserve">). A tar-like material with a PID reading of 10.2 ppm and petroleum odor was observed in the boring at approximately 5 ft bgs (Appendix </w:t>
      </w:r>
      <w:r>
        <w:t>C</w:t>
      </w:r>
      <w:r w:rsidRPr="00FD2F6D">
        <w:t xml:space="preserve">). This boring location is at the periphery of an area that was remediated in 2014 (Exponent 2019), annotated as the “Drum Area 2 Excavation” on Figure 15. Concentrations of GRO, DRO, and </w:t>
      </w:r>
      <w:r>
        <w:t>heavy oils</w:t>
      </w:r>
      <w:r w:rsidRPr="00FD2F6D">
        <w:t xml:space="preserve"> were quantified in this sample at 440 mg/kg, 1,200 mg/kg, and 3,100 mg/kg, respectively (Table 9).</w:t>
      </w:r>
    </w:p>
    <w:p w14:paraId="256BC65F" w14:textId="77777777" w:rsidR="007F768C" w:rsidRPr="00FD2F6D" w:rsidRDefault="007F768C" w:rsidP="006C0371">
      <w:pPr>
        <w:pStyle w:val="RptBodyText"/>
      </w:pPr>
      <w:r w:rsidRPr="00FD2F6D">
        <w:t xml:space="preserve">Sample EX-B-35-5-10 from 5 to 10 ft bgs in Area 3 (Figure 15) was collected in a landslide debris dumping area (Section </w:t>
      </w:r>
      <w:r w:rsidRPr="00FD2F6D">
        <w:fldChar w:fldCharType="begin"/>
      </w:r>
      <w:r w:rsidRPr="00FD2F6D">
        <w:instrText xml:space="preserve"> REF _Ref43041414 \r \h  \* MERGEFORMAT </w:instrText>
      </w:r>
      <w:r w:rsidRPr="00FD2F6D">
        <w:fldChar w:fldCharType="separate"/>
      </w:r>
      <w:r w:rsidRPr="00FD2F6D">
        <w:t>2.3.3</w:t>
      </w:r>
      <w:r w:rsidRPr="00FD2F6D">
        <w:fldChar w:fldCharType="end"/>
      </w:r>
      <w:r w:rsidRPr="00FD2F6D">
        <w:t xml:space="preserve">) where fill material was encountered during the RI (Section </w:t>
      </w:r>
      <w:r w:rsidRPr="00FD2F6D">
        <w:fldChar w:fldCharType="begin"/>
      </w:r>
      <w:r w:rsidRPr="00FD2F6D">
        <w:instrText xml:space="preserve"> REF _Ref47345552 \r \h </w:instrText>
      </w:r>
      <w:r>
        <w:instrText xml:space="preserve"> \* MERGEFORMAT </w:instrText>
      </w:r>
      <w:r w:rsidRPr="00FD2F6D">
        <w:fldChar w:fldCharType="separate"/>
      </w:r>
      <w:r w:rsidRPr="00FD2F6D">
        <w:t>4.1.1</w:t>
      </w:r>
      <w:r w:rsidRPr="00FD2F6D">
        <w:fldChar w:fldCharType="end"/>
      </w:r>
      <w:r w:rsidRPr="00FD2F6D">
        <w:t xml:space="preserve">) and previous investigations (Table 2 and Exponent 2019). This sample had a PID reading of 131.6 ppm (see Table 2). A small piece (2 cm long) of rubbery material with a strong odor was observed in this soil core at 9 ft bgs (Appendix </w:t>
      </w:r>
      <w:r>
        <w:t>C</w:t>
      </w:r>
      <w:r w:rsidRPr="00FD2F6D">
        <w:t xml:space="preserve">). The effect of the small piece of rubbery material appeared to be limited to the soil immediately surrounding it given the sharp decrease in PID readings away from the material. This material was not observed at any other location during RI activities (Appendix </w:t>
      </w:r>
      <w:r>
        <w:t>C</w:t>
      </w:r>
      <w:r w:rsidRPr="00FD2F6D">
        <w:t xml:space="preserve">). Concentrations of GRO, DRO, and </w:t>
      </w:r>
      <w:r>
        <w:t>heavy oils</w:t>
      </w:r>
      <w:r w:rsidRPr="00FD2F6D">
        <w:t xml:space="preserve"> were quantified in this sample at 230 mg/kg, 2,500 mg/kg, and 1,700 mg/kg, respectively (Table 9). </w:t>
      </w:r>
    </w:p>
    <w:p w14:paraId="32A5E7F4" w14:textId="77777777" w:rsidR="007F768C" w:rsidRPr="00FD2F6D" w:rsidRDefault="007F768C" w:rsidP="006C0371">
      <w:pPr>
        <w:pStyle w:val="RptHeading-Level4"/>
      </w:pPr>
      <w:bookmarkStart w:id="143" w:name="_Ref44935241"/>
      <w:r w:rsidRPr="00FD2F6D">
        <w:t>Metals</w:t>
      </w:r>
      <w:bookmarkEnd w:id="143"/>
    </w:p>
    <w:p w14:paraId="21C05362" w14:textId="77777777" w:rsidR="007F768C" w:rsidRPr="00FD2F6D" w:rsidRDefault="007F768C" w:rsidP="006C0371">
      <w:pPr>
        <w:pStyle w:val="RptBodyText"/>
      </w:pPr>
      <w:r w:rsidRPr="00FD2F6D">
        <w:t xml:space="preserve">Metals were detected in soils across the Site (Tables 7 and 10). Arsenic, barium, cadmium, chromium, mercury, selenium, and silver concentrations were consistent with natural background values (Tables 5 and 10; Appendix </w:t>
      </w:r>
      <w:r>
        <w:t>G</w:t>
      </w:r>
      <w:r w:rsidRPr="00FD2F6D">
        <w:t xml:space="preserve">). Concentrations of these metals were generally similar across the Site, including in the undeveloped, forested Area 4 (Table 10). </w:t>
      </w:r>
    </w:p>
    <w:p w14:paraId="6A4BA4F9" w14:textId="77777777" w:rsidR="007F768C" w:rsidRPr="00FD2F6D" w:rsidRDefault="007F768C" w:rsidP="006C0371">
      <w:pPr>
        <w:pStyle w:val="RptBodyText"/>
      </w:pPr>
      <w:bookmarkStart w:id="144" w:name="_Hlk48566846"/>
      <w:r w:rsidRPr="00FD2F6D">
        <w:t>Lead was detected in all 193 samples collected at the Site with a range of concentrations from 1 to 120 mg/kg (Tables 7 and 10). Most sample results ranged from 1 to 17.1 mg/kg, which is the natural background value for Washington State (Table 5). The natural background for lead in Site soil was measured in samples collected from the undeveloped, forested Area 4 and ranged from 12 to 24 mg/kg (Table 10). Across the Site, 16 samples were greater than the natural background concentration of 24 mg/kg for lead measured in Area 4 (Table 10). Elevated lead in these soil samples is likely associated with waste and material dumping (Area 2), fill (Areas 1, 2, and 3), exterior lead-based paint on the former maintenance building demolished in 2001 (Area 1), and landslide debris brought onto the property (Area 3) (Figure 8). The highest lead concentrations were identified in the waste dumping area and access road in the western portion of Area 2 (up to 120 mg/kg). All detected lead concentrations are below the soil screening level of 250 mg/kg (Table 10).</w:t>
      </w:r>
    </w:p>
    <w:bookmarkEnd w:id="144"/>
    <w:p w14:paraId="7304E482" w14:textId="77777777" w:rsidR="007F768C" w:rsidRPr="00FD2F6D" w:rsidRDefault="007F768C" w:rsidP="006C0371">
      <w:pPr>
        <w:pStyle w:val="RptHeading-Level4"/>
      </w:pPr>
      <w:r w:rsidRPr="00FD2F6D">
        <w:t>Volatile Organic Compounds</w:t>
      </w:r>
    </w:p>
    <w:p w14:paraId="1DBF3954" w14:textId="77777777" w:rsidR="007F768C" w:rsidRPr="00FD2F6D" w:rsidRDefault="007F768C" w:rsidP="006C0371">
      <w:pPr>
        <w:pStyle w:val="RptBodyText"/>
      </w:pPr>
      <w:r w:rsidRPr="00FD2F6D">
        <w:t xml:space="preserve">VOCs were detected at trace and low-level concentrations at three locations in Area 2 and five locations in Area 3 (Tables 7 and 11). Trace concentrations were detected below laboratory reporting limits for </w:t>
      </w:r>
      <w:bookmarkStart w:id="145" w:name="_Hlk48221169"/>
      <w:r w:rsidRPr="00FD2F6D">
        <w:t>1,2,4</w:t>
      </w:r>
      <w:r w:rsidRPr="00FD2F6D">
        <w:noBreakHyphen/>
        <w:t>trimethylbenzene, 4-chlorotoluene, 4-isopropyltoluene, carbon disulfide, chlorobenzene, ethylbenzene, N-butylbenzene, N-propylbenzene, and naphthalene</w:t>
      </w:r>
      <w:bookmarkEnd w:id="145"/>
      <w:r w:rsidRPr="00FD2F6D">
        <w:t xml:space="preserve"> in the waste and material dumping and fill area (Area 2). Low-level concentrations of 4-isopropyltoluene, carbon disulfide, toluene, and trichlorofluoromethane were detected in the area where landslide debris was placed on the property (Area 3). None of the detected trace and low-level VOC concentrations exceed soil screening levels, where available (Table 11).</w:t>
      </w:r>
    </w:p>
    <w:p w14:paraId="4C0706C9" w14:textId="77777777" w:rsidR="007F768C" w:rsidRPr="00FD2F6D" w:rsidRDefault="007F768C" w:rsidP="006C0371">
      <w:pPr>
        <w:pStyle w:val="RptBodyText"/>
      </w:pPr>
      <w:r w:rsidRPr="00FD2F6D">
        <w:t xml:space="preserve">Acetone and 2-butanone were also detected at trace concentrations below laboratory reporting limits in several samples (Table 11). These constituents are common laboratory contaminants and the trace detections are likely attributable to laboratory contamination. </w:t>
      </w:r>
      <w:bookmarkStart w:id="146" w:name="_Ref45378594"/>
    </w:p>
    <w:p w14:paraId="449C1A7F" w14:textId="77777777" w:rsidR="007F768C" w:rsidRPr="00FD2F6D" w:rsidRDefault="007F768C" w:rsidP="006C0371">
      <w:pPr>
        <w:pStyle w:val="RptHeading-Level4"/>
      </w:pPr>
      <w:bookmarkStart w:id="147" w:name="_Ref48464851"/>
      <w:r w:rsidRPr="00FD2F6D">
        <w:t>Semivolatile Organic Compounds</w:t>
      </w:r>
      <w:bookmarkEnd w:id="146"/>
      <w:bookmarkEnd w:id="147"/>
    </w:p>
    <w:p w14:paraId="33B14CEF" w14:textId="77777777" w:rsidR="007F768C" w:rsidRPr="00FD2F6D" w:rsidRDefault="007F768C" w:rsidP="006C0371">
      <w:pPr>
        <w:pStyle w:val="RptBodyText"/>
      </w:pPr>
      <w:r w:rsidRPr="00FD2F6D">
        <w:t>SVOCs were detected at low concentrations at one location in Area 1, two locations in Area 2, and seven locations in Area 3 (Tables 7 and 12). Trace concentrations were detected below laboratory reporting limits for 1-methylnaphthalene, fluoranthene, N-nitrosodiphenylamine in fill near the former drywell (Area 1). Low-level concentrations (below reporting limits) of 2,4,5-trichlorophenol, anthracene, benz[a]anthracene, benzo[a]pyrene, benzo[b]fluoranthene, benzo[ghi]perylene, chrysene, fluoranthene, indeno[1,2,3-cd]pyrene, N-nitrosodiphenylamine, phenanthrene, and pyrene were detected in soils in the waste and material dumping area (Area 2). Low-level concentrations (below reporting limits) of 1-methylnaphthalene, 2</w:t>
      </w:r>
      <w:r w:rsidRPr="00FD2F6D">
        <w:noBreakHyphen/>
        <w:t xml:space="preserve">chloronaphthalene, 3- &amp; 4-methylphenol, aniline, anthracene, benz[a]anthracene, benzo[a]pyrene, benzo[b]fluoranthene, benzo[ghi]perylene, benzyl alcohol, bis (2-chloroethyl) ether, chrysene, di-n-butyl phthalate, di-n-octyl phthalate, fluoranthene, indeno[1,2,3-cd]pyrene, N-nitrosodiphenylamine, naphthalene, phenol, and pyrene were detected in areas where landslide debris was placed on the property (Area 3). Localized soil staining and odors were observed at some locations where SVOCs were detected (Appendix </w:t>
      </w:r>
      <w:r>
        <w:t>C</w:t>
      </w:r>
      <w:r w:rsidRPr="00FD2F6D">
        <w:t xml:space="preserve">). None of the detected trace and low level SVOC concentrations exceed soil screening levels, where available (Table 12), except bis(2-chloroethyl) ether in one soil sample (discussed below). </w:t>
      </w:r>
    </w:p>
    <w:p w14:paraId="33E13BA6" w14:textId="01D45C79" w:rsidR="007F768C" w:rsidRPr="00FD2F6D" w:rsidRDefault="007F768C" w:rsidP="006C0371">
      <w:pPr>
        <w:pStyle w:val="RptBodyText"/>
      </w:pPr>
      <w:r w:rsidRPr="00FD2F6D">
        <w:t>One SVOC, bis (2-chloroethyl) ether, was detected and exceeds the soil screening level in one soil sample</w:t>
      </w:r>
      <w:r w:rsidR="00C505A1">
        <w:t xml:space="preserve"> out of </w:t>
      </w:r>
      <w:r w:rsidR="008655B7">
        <w:t>33 analyzed</w:t>
      </w:r>
      <w:r w:rsidRPr="00FD2F6D">
        <w:t xml:space="preserve"> (</w:t>
      </w:r>
      <w:r w:rsidR="008655B7">
        <w:t>Table</w:t>
      </w:r>
      <w:r w:rsidR="001A63C2">
        <w:t>s</w:t>
      </w:r>
      <w:r w:rsidR="008655B7">
        <w:t xml:space="preserve"> 7</w:t>
      </w:r>
      <w:r w:rsidR="001A63C2">
        <w:t xml:space="preserve"> and 12</w:t>
      </w:r>
      <w:r w:rsidR="008655B7">
        <w:t xml:space="preserve">, </w:t>
      </w:r>
      <w:r w:rsidRPr="00FD2F6D">
        <w:t xml:space="preserve">Figure 16). Sample EX-B-35-5-10 from 5 to 10 ft bgs in Area 3 (Figure 16) was in a landslide soil and debris dumping area (Section </w:t>
      </w:r>
      <w:r w:rsidRPr="00FD2F6D">
        <w:fldChar w:fldCharType="begin"/>
      </w:r>
      <w:r w:rsidRPr="00FD2F6D">
        <w:instrText xml:space="preserve"> REF _Ref43041414 \r \h </w:instrText>
      </w:r>
      <w:r>
        <w:instrText xml:space="preserve"> \* MERGEFORMAT </w:instrText>
      </w:r>
      <w:r w:rsidRPr="00FD2F6D">
        <w:fldChar w:fldCharType="separate"/>
      </w:r>
      <w:r w:rsidRPr="00FD2F6D">
        <w:t>2.3.3</w:t>
      </w:r>
      <w:r w:rsidRPr="00FD2F6D">
        <w:fldChar w:fldCharType="end"/>
      </w:r>
      <w:r w:rsidRPr="00FD2F6D">
        <w:t xml:space="preserve">) where fill material </w:t>
      </w:r>
      <w:r w:rsidR="001A63C2">
        <w:t>was</w:t>
      </w:r>
      <w:r w:rsidR="001A63C2" w:rsidRPr="00FD2F6D">
        <w:t xml:space="preserve"> </w:t>
      </w:r>
      <w:r w:rsidRPr="00FD2F6D">
        <w:t xml:space="preserve">encountered during previous investigations (Table 2 and Exponent 2019) and during the RI. As discussed above in Section </w:t>
      </w:r>
      <w:r w:rsidRPr="00FD2F6D">
        <w:fldChar w:fldCharType="begin"/>
      </w:r>
      <w:r w:rsidRPr="00FD2F6D">
        <w:instrText xml:space="preserve"> REF _Ref44793271 \r \h </w:instrText>
      </w:r>
      <w:r>
        <w:instrText xml:space="preserve"> \* MERGEFORMAT </w:instrText>
      </w:r>
      <w:r w:rsidRPr="00FD2F6D">
        <w:fldChar w:fldCharType="separate"/>
      </w:r>
      <w:r w:rsidRPr="00FD2F6D">
        <w:t>4.1.2.1</w:t>
      </w:r>
      <w:r w:rsidRPr="00FD2F6D">
        <w:fldChar w:fldCharType="end"/>
      </w:r>
      <w:r w:rsidRPr="00FD2F6D">
        <w:t>, this sample had a PID reading of 131.6 ppm (Table 2)</w:t>
      </w:r>
      <w:r w:rsidR="0006528C">
        <w:t>,</w:t>
      </w:r>
      <w:r w:rsidRPr="00FD2F6D">
        <w:t xml:space="preserve"> and a small piece (2 cm long) of rubbery material with a strong odor was observed in the soil core at 9 ft bgs (Appendix </w:t>
      </w:r>
      <w:r>
        <w:t>C</w:t>
      </w:r>
      <w:r w:rsidRPr="00FD2F6D">
        <w:t xml:space="preserve">). </w:t>
      </w:r>
    </w:p>
    <w:p w14:paraId="62BA2C70" w14:textId="77777777" w:rsidR="007F768C" w:rsidRPr="00FD2F6D" w:rsidRDefault="007F768C" w:rsidP="006C0371">
      <w:pPr>
        <w:pStyle w:val="RptBodyText"/>
      </w:pPr>
      <w:r w:rsidRPr="00FD2F6D">
        <w:t>Bis (2-ethylhexyl) phthalate was detected at trace concentrations below laboratory reporting limits in several samples (Table 12). This constituent is a common laboratory contaminant and the trace detections are likely attributable to laboratory contamination.</w:t>
      </w:r>
    </w:p>
    <w:p w14:paraId="1B47BC6D" w14:textId="77777777" w:rsidR="007F768C" w:rsidRPr="00FD2F6D" w:rsidRDefault="007F768C" w:rsidP="006C0371">
      <w:pPr>
        <w:pStyle w:val="RptBodyText"/>
      </w:pPr>
      <w:r w:rsidRPr="00FD2F6D">
        <w:t>Note that PAHs were analyzed along with the SVOCs discussed above by EPA Method 8270D, and by EPA Method 8270D-SIM to achieve lower laboratory detection limits for analysis and comparison to soil screening levels. Elevated PAHs were detected in the SVOC analysis; however, a discussion of PAHs in Site soil is provided in the next section only.</w:t>
      </w:r>
    </w:p>
    <w:p w14:paraId="2A145F1E" w14:textId="77777777" w:rsidR="007F768C" w:rsidRPr="00FD2F6D" w:rsidRDefault="007F768C" w:rsidP="006C0371">
      <w:pPr>
        <w:pStyle w:val="RptHeading-Level4"/>
      </w:pPr>
      <w:r w:rsidRPr="00FD2F6D">
        <w:t>Polycyclic Aromatic Hydrocarbons</w:t>
      </w:r>
    </w:p>
    <w:p w14:paraId="6A91BA3E" w14:textId="77777777" w:rsidR="007F768C" w:rsidRPr="00FD2F6D" w:rsidRDefault="007F768C" w:rsidP="006C0371">
      <w:pPr>
        <w:pStyle w:val="RptBodyText"/>
      </w:pPr>
      <w:r w:rsidRPr="00FD2F6D">
        <w:t xml:space="preserve">PAHs analyzed by EPA Method 8270D-SIM were detected at locations in Areas 1, 2, and 3 (Tables 7 and 13). PAHs were detected in areas of waste and material dumping (Area 2), fill (Areas 1, 2, and 3), and landslide debris brought onto the property (Area 3). Localized soil staining and odors were also noted at some locations where PAH detections were observed. Most of the PAH detections appear to be present as a component of petroleum. Specifically, the PAH detections were observed near the former drywell in Area 1, in the waste dumping area and access road in the western portion of Area 2, and at locations on the north and south sides of Area 3 where fill and landslide debris were placed. </w:t>
      </w:r>
    </w:p>
    <w:p w14:paraId="73A2CD23" w14:textId="675E70AB" w:rsidR="007F768C" w:rsidRPr="00FD2F6D" w:rsidRDefault="007F768C" w:rsidP="006C0371">
      <w:pPr>
        <w:pStyle w:val="RptBodyText"/>
      </w:pPr>
      <w:r w:rsidRPr="00FD2F6D">
        <w:t>As required in MTCA</w:t>
      </w:r>
      <w:r w:rsidR="00063329">
        <w:t xml:space="preserve"> (</w:t>
      </w:r>
      <w:r w:rsidR="00063329" w:rsidRPr="00FD2F6D">
        <w:t>WAC 173-340-708(8)</w:t>
      </w:r>
      <w:r w:rsidR="00063329">
        <w:t>)</w:t>
      </w:r>
      <w:r w:rsidRPr="00FD2F6D">
        <w:t>, total toxicity equivalent concentrations (</w:t>
      </w:r>
      <w:r w:rsidR="008A4F22">
        <w:t>TEQ</w:t>
      </w:r>
      <w:r w:rsidRPr="00FD2F6D">
        <w:t>s) were calculated for carcinogenic PAHs (cPAHs) based on benzo[a]pyrene (Table 13).</w:t>
      </w:r>
      <w:r w:rsidRPr="00FD2F6D">
        <w:rPr>
          <w:rStyle w:val="FootnoteReference"/>
        </w:rPr>
        <w:footnoteReference w:id="14"/>
      </w:r>
      <w:r w:rsidRPr="00FD2F6D">
        <w:t xml:space="preserve"> One sample exceeds the soil screening level for cPAHs (Figure 17 and Table 13). The </w:t>
      </w:r>
      <w:r w:rsidR="00063329">
        <w:t>TEQ</w:t>
      </w:r>
      <w:r w:rsidRPr="00FD2F6D">
        <w:t xml:space="preserve"> for cPAHs in sample EX-B-18-1-5 was 0.215 mg/kg (Table 13). This sample was collected from 1 to 5 ft bgs in Area 2 (Figure 17), the former waste disposal area where unused asphalt was disposed and where diesel was used to spray truck beds down to remove asphalt (Table 2 and Section </w:t>
      </w:r>
      <w:r w:rsidRPr="00FD2F6D">
        <w:fldChar w:fldCharType="begin"/>
      </w:r>
      <w:r w:rsidRPr="00FD2F6D">
        <w:instrText xml:space="preserve"> REF _Ref43041340 \r \h </w:instrText>
      </w:r>
      <w:r>
        <w:instrText xml:space="preserve"> \* MERGEFORMAT </w:instrText>
      </w:r>
      <w:r w:rsidRPr="00FD2F6D">
        <w:fldChar w:fldCharType="separate"/>
      </w:r>
      <w:r w:rsidRPr="00FD2F6D">
        <w:t>2.3.2</w:t>
      </w:r>
      <w:r w:rsidRPr="00FD2F6D">
        <w:fldChar w:fldCharType="end"/>
      </w:r>
      <w:r w:rsidRPr="00FD2F6D">
        <w:t xml:space="preserve">). As discussed above in Section </w:t>
      </w:r>
      <w:r w:rsidRPr="00FD2F6D">
        <w:fldChar w:fldCharType="begin"/>
      </w:r>
      <w:r w:rsidRPr="00FD2F6D">
        <w:instrText xml:space="preserve"> REF _Ref44793271 \r \h </w:instrText>
      </w:r>
      <w:r>
        <w:instrText xml:space="preserve"> \* MERGEFORMAT </w:instrText>
      </w:r>
      <w:r w:rsidRPr="00FD2F6D">
        <w:fldChar w:fldCharType="separate"/>
      </w:r>
      <w:r w:rsidRPr="00FD2F6D">
        <w:t>4.1.2.1</w:t>
      </w:r>
      <w:r w:rsidRPr="00FD2F6D">
        <w:fldChar w:fldCharType="end"/>
      </w:r>
      <w:r w:rsidRPr="00FD2F6D">
        <w:t xml:space="preserve">, a tar-like material with a PID reading of 10.2 ppm and petroleum odor was observed in the boring at the bottom of this depth interval (approximately 5 ft bgs) (Appendix </w:t>
      </w:r>
      <w:r>
        <w:t>C</w:t>
      </w:r>
      <w:r w:rsidRPr="00FD2F6D">
        <w:t xml:space="preserve">). </w:t>
      </w:r>
    </w:p>
    <w:p w14:paraId="47A4B824" w14:textId="77777777" w:rsidR="007F768C" w:rsidRPr="00FD2F6D" w:rsidRDefault="007F768C" w:rsidP="006C0371">
      <w:pPr>
        <w:pStyle w:val="RptHeading-Level4"/>
      </w:pPr>
      <w:bookmarkStart w:id="148" w:name="_Ref45374059"/>
      <w:r w:rsidRPr="00FD2F6D">
        <w:t>Dioxins and Furans</w:t>
      </w:r>
      <w:bookmarkEnd w:id="148"/>
    </w:p>
    <w:p w14:paraId="153923CF" w14:textId="0AE1F7C5" w:rsidR="007F768C" w:rsidRPr="00FD2F6D" w:rsidRDefault="007F768C" w:rsidP="006C0371">
      <w:pPr>
        <w:pStyle w:val="RptBodyText"/>
      </w:pPr>
      <w:r w:rsidRPr="00FD2F6D">
        <w:t xml:space="preserve">Dioxins and furans were detected in soils across the Site (Tables 7 and 14) in areas of waste and material dumping (Area 2), fill (Areas 1, 2, and 3), and debris burning (Area 3). In these areas, ash and/or small pieces of charcoal were observed at many locations (Appendix </w:t>
      </w:r>
      <w:r>
        <w:t>C</w:t>
      </w:r>
      <w:r w:rsidRPr="00FD2F6D">
        <w:t>). As required by MTCA</w:t>
      </w:r>
      <w:r w:rsidR="00063329">
        <w:t xml:space="preserve"> (</w:t>
      </w:r>
      <w:r w:rsidR="00063329" w:rsidRPr="00FD2F6D">
        <w:t>WAC 173-340-708(8)</w:t>
      </w:r>
      <w:r w:rsidR="00063329">
        <w:t>)</w:t>
      </w:r>
      <w:r w:rsidRPr="00FD2F6D">
        <w:t xml:space="preserve">, </w:t>
      </w:r>
      <w:r w:rsidR="00063329">
        <w:t>TEQ</w:t>
      </w:r>
      <w:r w:rsidRPr="00FD2F6D">
        <w:t xml:space="preserve">s for dioxins/furans were calculated based on 2,3,7,8-tetrachlorodibenzo-p-dioxin (TCDD) (Table 15). </w:t>
      </w:r>
      <w:r w:rsidR="00063329">
        <w:t>TEQ</w:t>
      </w:r>
      <w:r w:rsidRPr="00FD2F6D">
        <w:t xml:space="preserve"> values for total dioxins/furans in Site soils were mostly below the published natural background value of 5.2 x 10</w:t>
      </w:r>
      <w:r w:rsidRPr="00FD2F6D">
        <w:rPr>
          <w:vertAlign w:val="superscript"/>
        </w:rPr>
        <w:t>-6</w:t>
      </w:r>
      <w:r w:rsidRPr="00FD2F6D" w:rsidDel="004724A3">
        <w:t xml:space="preserve"> </w:t>
      </w:r>
      <w:r w:rsidRPr="00FD2F6D">
        <w:t>(Ecology 2010) and the soil screening level of 1.3 x 10</w:t>
      </w:r>
      <w:r w:rsidRPr="00FD2F6D">
        <w:rPr>
          <w:vertAlign w:val="superscript"/>
        </w:rPr>
        <w:t>-5</w:t>
      </w:r>
      <w:r w:rsidRPr="00FD2F6D">
        <w:t xml:space="preserve"> (Table 15). The highest total dioxins/furans were present in fill near the former drywell in Area 1, in the waste dumping area in the eastern portion of Area 2, and at locations on the north side of Area 3 where debris was burned. </w:t>
      </w:r>
    </w:p>
    <w:p w14:paraId="4C1F70CC" w14:textId="77777777" w:rsidR="007F768C" w:rsidRPr="00FD2F6D" w:rsidRDefault="007F768C" w:rsidP="006C0371">
      <w:pPr>
        <w:pStyle w:val="RptBodyText"/>
      </w:pPr>
      <w:r w:rsidRPr="00FD2F6D">
        <w:t xml:space="preserve">Total dioxins/furans exceed the soil screening level in two samples (Table 15 and Figure 18). Sample EX-B-15-0-1 from 0 to 1 ft bgs was collected in Area 2, the former waste disposal area (Table 2 and Section </w:t>
      </w:r>
      <w:r w:rsidRPr="00FD2F6D">
        <w:fldChar w:fldCharType="begin"/>
      </w:r>
      <w:r w:rsidRPr="00FD2F6D">
        <w:instrText xml:space="preserve"> REF _Ref43041340 \r \h </w:instrText>
      </w:r>
      <w:r>
        <w:instrText xml:space="preserve"> \* MERGEFORMAT </w:instrText>
      </w:r>
      <w:r w:rsidRPr="00FD2F6D">
        <w:fldChar w:fldCharType="separate"/>
      </w:r>
      <w:r w:rsidRPr="00FD2F6D">
        <w:t>2.3.2</w:t>
      </w:r>
      <w:r w:rsidRPr="00FD2F6D">
        <w:fldChar w:fldCharType="end"/>
      </w:r>
      <w:r w:rsidRPr="00FD2F6D">
        <w:t xml:space="preserve">), and a 2-in interval of soil with ash/charcoal was observed in the sampling interval (Appendix </w:t>
      </w:r>
      <w:r>
        <w:t>C</w:t>
      </w:r>
      <w:r w:rsidRPr="00FD2F6D">
        <w:t xml:space="preserve">). Sample EX-B-41-0-1 from 0 to 1 ft bgs was collected in Area 3, the location of a former burn pile (Table 2 and Section </w:t>
      </w:r>
      <w:r w:rsidRPr="00FD2F6D">
        <w:fldChar w:fldCharType="begin"/>
      </w:r>
      <w:r w:rsidRPr="00FD2F6D">
        <w:instrText xml:space="preserve"> REF _Ref43041414 \r \h </w:instrText>
      </w:r>
      <w:r>
        <w:instrText xml:space="preserve"> \* MERGEFORMAT </w:instrText>
      </w:r>
      <w:r w:rsidRPr="00FD2F6D">
        <w:fldChar w:fldCharType="separate"/>
      </w:r>
      <w:r w:rsidRPr="00FD2F6D">
        <w:t>2.3.3</w:t>
      </w:r>
      <w:r w:rsidRPr="00FD2F6D">
        <w:fldChar w:fldCharType="end"/>
      </w:r>
      <w:r w:rsidRPr="00FD2F6D">
        <w:t>). Total dioxins/furans detected in these two samples are 8.0 x 10</w:t>
      </w:r>
      <w:r w:rsidRPr="00FD2F6D">
        <w:rPr>
          <w:vertAlign w:val="superscript"/>
        </w:rPr>
        <w:t>-5</w:t>
      </w:r>
      <w:r w:rsidRPr="00FD2F6D">
        <w:t xml:space="preserve"> mg/kg and 2.0 x 10</w:t>
      </w:r>
      <w:r w:rsidRPr="00FD2F6D">
        <w:rPr>
          <w:vertAlign w:val="superscript"/>
        </w:rPr>
        <w:t>-5</w:t>
      </w:r>
      <w:r w:rsidRPr="00FD2F6D">
        <w:t xml:space="preserve"> mg/kg, respectively (Table 15). </w:t>
      </w:r>
    </w:p>
    <w:p w14:paraId="6D372F94" w14:textId="264EEAF3" w:rsidR="007F768C" w:rsidRPr="00FD2F6D" w:rsidRDefault="007F768C" w:rsidP="006C0371">
      <w:pPr>
        <w:pStyle w:val="RptBodyText"/>
      </w:pPr>
      <w:r w:rsidRPr="00FD2F6D">
        <w:t xml:space="preserve">As discussed in Section </w:t>
      </w:r>
      <w:r w:rsidRPr="00FD2F6D">
        <w:fldChar w:fldCharType="begin"/>
      </w:r>
      <w:r w:rsidRPr="00FD2F6D">
        <w:instrText xml:space="preserve"> REF _Ref44792541 \r \h </w:instrText>
      </w:r>
      <w:r>
        <w:instrText xml:space="preserve"> \* MERGEFORMAT </w:instrText>
      </w:r>
      <w:r w:rsidRPr="00FD2F6D">
        <w:fldChar w:fldCharType="separate"/>
      </w:r>
      <w:r w:rsidRPr="00FD2F6D">
        <w:t>2.4</w:t>
      </w:r>
      <w:r w:rsidRPr="00FD2F6D">
        <w:fldChar w:fldCharType="end"/>
      </w:r>
      <w:r w:rsidRPr="00FD2F6D">
        <w:t>, some burn material with dioxin/furan detections remained in</w:t>
      </w:r>
      <w:r w:rsidR="0090784B">
        <w:noBreakHyphen/>
      </w:r>
      <w:r w:rsidRPr="00FD2F6D">
        <w:t>place after 2014 removal activities in Area 3, as shown on Figure 6. One past investigation sample from soil that remained in place, DT-2-1, located in Trench 2 at 8 ft bgs, is shown on Figure 6 because it exceeds the soil screening level for total dioxins/furans. The concentrations of dioxins/furans in other burn material remaining in-place (Figure 6) are below the published natural background value of 5.2 x 10</w:t>
      </w:r>
      <w:r w:rsidRPr="00FD2F6D">
        <w:rPr>
          <w:vertAlign w:val="superscript"/>
        </w:rPr>
        <w:t>-6</w:t>
      </w:r>
      <w:r w:rsidRPr="00FD2F6D" w:rsidDel="004724A3">
        <w:t xml:space="preserve"> </w:t>
      </w:r>
      <w:r w:rsidRPr="00FD2F6D">
        <w:t xml:space="preserve">(Ecology 2010). </w:t>
      </w:r>
    </w:p>
    <w:p w14:paraId="79292910" w14:textId="77777777" w:rsidR="007F768C" w:rsidRPr="00FD2F6D" w:rsidRDefault="007F768C" w:rsidP="006C0371">
      <w:pPr>
        <w:pStyle w:val="RptHeading-Level3"/>
      </w:pPr>
      <w:bookmarkStart w:id="149" w:name="_Ref45374156"/>
      <w:bookmarkStart w:id="150" w:name="_Ref45374191"/>
      <w:bookmarkStart w:id="151" w:name="_Toc59019846"/>
      <w:bookmarkStart w:id="152" w:name="_Toc98847351"/>
      <w:r w:rsidRPr="00FD2F6D">
        <w:t>Soil Investigation Summary</w:t>
      </w:r>
      <w:bookmarkEnd w:id="149"/>
      <w:bookmarkEnd w:id="150"/>
      <w:bookmarkEnd w:id="151"/>
      <w:bookmarkEnd w:id="152"/>
    </w:p>
    <w:p w14:paraId="3B194505" w14:textId="77777777" w:rsidR="007F768C" w:rsidRPr="00FD2F6D" w:rsidRDefault="007F768C" w:rsidP="006C0371">
      <w:pPr>
        <w:pStyle w:val="RptBodyText"/>
      </w:pPr>
      <w:r w:rsidRPr="00FD2F6D">
        <w:t xml:space="preserve">The nature and extent of COIs and COPCs in Site soil has been determined using the results of past investigations and the RI. </w:t>
      </w:r>
    </w:p>
    <w:p w14:paraId="5379B48C" w14:textId="77777777" w:rsidR="007F768C" w:rsidRPr="00FD2F6D" w:rsidRDefault="007F768C" w:rsidP="006C0371">
      <w:pPr>
        <w:pStyle w:val="RptBodyText"/>
      </w:pPr>
      <w:r w:rsidRPr="00FD2F6D">
        <w:t xml:space="preserve">Soils encountered during RI activities were primarily fill consisting of varying mixtures of gravels, sands, and silts (Figures 9 through 14 and Appendix </w:t>
      </w:r>
      <w:r>
        <w:t>C</w:t>
      </w:r>
      <w:r w:rsidRPr="00FD2F6D">
        <w:t xml:space="preserve">). Borings depths were between 5 and 45 ft bgs (Table 2), and the deepest soil sampled was 25 ft bgs (Figures 9 through 14 and Appendix </w:t>
      </w:r>
      <w:r>
        <w:t>C</w:t>
      </w:r>
      <w:r w:rsidRPr="00FD2F6D">
        <w:t xml:space="preserve">). The fill depths estimated with GPR (Appendix </w:t>
      </w:r>
      <w:r>
        <w:t>B</w:t>
      </w:r>
      <w:r w:rsidRPr="00FD2F6D">
        <w:t xml:space="preserve">) were consistent with field observations (Appendix </w:t>
      </w:r>
      <w:r>
        <w:t>C</w:t>
      </w:r>
      <w:r w:rsidRPr="00FD2F6D">
        <w:t xml:space="preserve">). </w:t>
      </w:r>
    </w:p>
    <w:p w14:paraId="7F102FA1" w14:textId="77777777" w:rsidR="007F768C" w:rsidRPr="00FD2F6D" w:rsidRDefault="007F768C" w:rsidP="006C0371">
      <w:pPr>
        <w:pStyle w:val="RptBodyText"/>
      </w:pPr>
      <w:r w:rsidRPr="00FD2F6D">
        <w:t xml:space="preserve">Petroleum hydrocarbons, lead, and dioxins/furans are the primary Site-related COIs in soil. Impacts attributable to historical activities were detected at various locations across Areas 1, 2, and 3. Historical site evaluation and RI data indicate that potential sources are historical management of fluids used in vehicle maintenance including petroleum products stored in former USTs (Area 1), waste and material dumping (Area 2), fill (Areas 1, 2, and 3), landslide debris brought onto the property (Area 3), and former debris burning (Area 3). </w:t>
      </w:r>
    </w:p>
    <w:p w14:paraId="2B002C59" w14:textId="77777777" w:rsidR="007F768C" w:rsidRPr="00FD2F6D" w:rsidRDefault="007F768C" w:rsidP="006C0371">
      <w:pPr>
        <w:pStyle w:val="RptBodyText"/>
      </w:pPr>
      <w:r w:rsidRPr="00FD2F6D">
        <w:t xml:space="preserve">Six COIs exceed a soil screening level: GRO, DRO, </w:t>
      </w:r>
      <w:r>
        <w:t>heavy oils</w:t>
      </w:r>
      <w:r w:rsidRPr="00FD2F6D">
        <w:t xml:space="preserve">, bis(2-chloroethyl) ether, cPAHs, and total dioxins/furans. Therefore, these COIs are identified as constituents of potential concern (COPCs) for further evaluation. One or more COPCs exceeds a soil screening level in five RI samples (Figures 15 through 18): </w:t>
      </w:r>
    </w:p>
    <w:p w14:paraId="40B22BB9" w14:textId="77777777" w:rsidR="007F768C" w:rsidRPr="00FD2F6D" w:rsidRDefault="007F768C" w:rsidP="006C0371">
      <w:pPr>
        <w:pStyle w:val="RptBullet-Level1"/>
      </w:pPr>
      <w:r w:rsidRPr="00FD2F6D">
        <w:t>Near the former diesel dispenser and in fill in Area 1:</w:t>
      </w:r>
    </w:p>
    <w:p w14:paraId="0E44266F" w14:textId="77777777" w:rsidR="007F768C" w:rsidRPr="00FD2F6D" w:rsidRDefault="007F768C" w:rsidP="006C0371">
      <w:pPr>
        <w:pStyle w:val="RptBullet-Level2"/>
      </w:pPr>
      <w:r w:rsidRPr="00FD2F6D">
        <w:t xml:space="preserve">Sample EX-B-5-0-1 from 0 to 1 ft bgs exceeded the soil screening level for </w:t>
      </w:r>
      <w:r>
        <w:t>heavy oils</w:t>
      </w:r>
    </w:p>
    <w:p w14:paraId="67833C13" w14:textId="77777777" w:rsidR="007F768C" w:rsidRPr="00FD2F6D" w:rsidRDefault="007F768C" w:rsidP="006C0371">
      <w:pPr>
        <w:pStyle w:val="RptBullet-Level1"/>
      </w:pPr>
      <w:r w:rsidRPr="00FD2F6D">
        <w:t>In the former waste dumping area in Area 2:</w:t>
      </w:r>
    </w:p>
    <w:p w14:paraId="30A4973F" w14:textId="77777777" w:rsidR="007F768C" w:rsidRPr="00FD2F6D" w:rsidRDefault="007F768C" w:rsidP="006C0371">
      <w:pPr>
        <w:pStyle w:val="RptBullet-Level2"/>
      </w:pPr>
      <w:r w:rsidRPr="00FD2F6D">
        <w:t>Sample EX-B-15-0-1 from 0 to 1 ft bgs exceeded the soil screening level for total dioxins/furans</w:t>
      </w:r>
    </w:p>
    <w:p w14:paraId="354B0668" w14:textId="77777777" w:rsidR="007F768C" w:rsidRPr="00FD2F6D" w:rsidRDefault="007F768C" w:rsidP="006C0371">
      <w:pPr>
        <w:pStyle w:val="RptBullet-Level2"/>
      </w:pPr>
      <w:r w:rsidRPr="00FD2F6D">
        <w:t>Sample EX-B-18-1-5 from 1 to 5 ft bgs exceeded the soil screening level for GRO,</w:t>
      </w:r>
      <w:r w:rsidRPr="00645302">
        <w:t xml:space="preserve"> </w:t>
      </w:r>
      <w:r>
        <w:t>heavy oils</w:t>
      </w:r>
      <w:r w:rsidRPr="00FD2F6D">
        <w:t xml:space="preserve">, and cPAHs </w:t>
      </w:r>
    </w:p>
    <w:p w14:paraId="1A41984E" w14:textId="77777777" w:rsidR="007F768C" w:rsidRPr="00FD2F6D" w:rsidRDefault="007F768C" w:rsidP="006C0371">
      <w:pPr>
        <w:pStyle w:val="RptBullet-Level1"/>
      </w:pPr>
      <w:r w:rsidRPr="00FD2F6D">
        <w:t xml:space="preserve">In the landslide debris dumping area in Area 3: </w:t>
      </w:r>
    </w:p>
    <w:p w14:paraId="617C979D" w14:textId="77777777" w:rsidR="007F768C" w:rsidRPr="00FD2F6D" w:rsidRDefault="007F768C" w:rsidP="006C0371">
      <w:pPr>
        <w:pStyle w:val="RptBullet-Level2"/>
      </w:pPr>
      <w:r w:rsidRPr="00FD2F6D">
        <w:t>Sample EX-B-35-5-10 from 5 to 10 ft bgs exceeded the soil screening levels for GRO, DRO, and bis (2-chloroethyl) ether</w:t>
      </w:r>
    </w:p>
    <w:p w14:paraId="03D1537B" w14:textId="77777777" w:rsidR="007F768C" w:rsidRPr="00FD2F6D" w:rsidRDefault="007F768C" w:rsidP="006C0371">
      <w:pPr>
        <w:pStyle w:val="RptBullet-Level1"/>
      </w:pPr>
      <w:r w:rsidRPr="00FD2F6D">
        <w:t xml:space="preserve">At the location of a former burn pile in Area 3: </w:t>
      </w:r>
    </w:p>
    <w:p w14:paraId="107C4950" w14:textId="77777777" w:rsidR="007F768C" w:rsidRPr="00FD2F6D" w:rsidRDefault="007F768C" w:rsidP="006C0371">
      <w:pPr>
        <w:pStyle w:val="RptBullet-Level2"/>
      </w:pPr>
      <w:r w:rsidRPr="00FD2F6D">
        <w:t xml:space="preserve">Sample EX-B-41-0-1 from 0 to 1 ft bgs exceeded the soil screening level for total dioxins/furans. </w:t>
      </w:r>
    </w:p>
    <w:p w14:paraId="489116D9" w14:textId="77777777" w:rsidR="007F768C" w:rsidRPr="00FD2F6D" w:rsidRDefault="007F768C" w:rsidP="006C0371">
      <w:pPr>
        <w:pStyle w:val="RptHeading-Level2"/>
      </w:pPr>
      <w:bookmarkStart w:id="153" w:name="_Toc45027973"/>
      <w:bookmarkStart w:id="154" w:name="_Toc45027974"/>
      <w:bookmarkStart w:id="155" w:name="_Toc45027975"/>
      <w:bookmarkStart w:id="156" w:name="_Toc59019847"/>
      <w:bookmarkStart w:id="157" w:name="_Toc98847352"/>
      <w:bookmarkEnd w:id="153"/>
      <w:bookmarkEnd w:id="154"/>
      <w:bookmarkEnd w:id="155"/>
      <w:r w:rsidRPr="00FD2F6D">
        <w:t>Groundwater Investigation</w:t>
      </w:r>
      <w:bookmarkEnd w:id="156"/>
      <w:bookmarkEnd w:id="157"/>
    </w:p>
    <w:p w14:paraId="012651D0" w14:textId="77777777" w:rsidR="007F768C" w:rsidRPr="00FD2F6D" w:rsidRDefault="007F768C" w:rsidP="006C0371">
      <w:pPr>
        <w:pStyle w:val="RptBodyText"/>
      </w:pPr>
      <w:r w:rsidRPr="00FD2F6D">
        <w:t>The following sections present findings for site hydrogeology and nature and extent of groundwater COIs, followed by a groundwater investigation summary.</w:t>
      </w:r>
    </w:p>
    <w:p w14:paraId="361D36E9" w14:textId="77777777" w:rsidR="007F768C" w:rsidRPr="00FD2F6D" w:rsidRDefault="007F768C" w:rsidP="006C0371">
      <w:pPr>
        <w:pStyle w:val="RptHeading-Level3"/>
      </w:pPr>
      <w:bookmarkStart w:id="158" w:name="_Toc59019848"/>
      <w:bookmarkStart w:id="159" w:name="_Toc98847353"/>
      <w:r w:rsidRPr="00FD2F6D">
        <w:t>Site Hydrogeology</w:t>
      </w:r>
      <w:bookmarkEnd w:id="158"/>
      <w:bookmarkEnd w:id="159"/>
    </w:p>
    <w:p w14:paraId="19D051C7" w14:textId="77777777" w:rsidR="007F768C" w:rsidRPr="00FD2F6D" w:rsidRDefault="007F768C" w:rsidP="006C0371">
      <w:pPr>
        <w:pStyle w:val="RptBodyText"/>
      </w:pPr>
      <w:r w:rsidRPr="00FD2F6D">
        <w:t xml:space="preserve">Groundwater was encountered on the Site at depths between about 19 and 36 ft bgs in permanent monitoring wells (Table 4). Water level measurements indicate that groundwater flows in an easterly to southeasterly direction (Figure 19), consistent with previous observations (Ecology 2000; HWA 2013, ESA 2013b). The groundwater at the Site is </w:t>
      </w:r>
      <w:r w:rsidRPr="00FD2F6D">
        <w:rPr>
          <w:rFonts w:cs="Arial"/>
        </w:rPr>
        <w:t>unconfined and influenced by precipitation and surface infiltration. T</w:t>
      </w:r>
      <w:r w:rsidRPr="00FD2F6D">
        <w:t>he horizontal gradient between SKOK-1, which is the western-most monitoring well at the Site, and SKOK-5, which is approximately 400 ft to the east near the Site boundary (Figure 19), was approximately 0.011 ft/ft during RI groundwater sampling.</w:t>
      </w:r>
    </w:p>
    <w:p w14:paraId="67DE0905" w14:textId="77777777" w:rsidR="007F768C" w:rsidRPr="00FD2F6D" w:rsidRDefault="007F768C" w:rsidP="006C0371">
      <w:pPr>
        <w:pStyle w:val="RptHeading-Level3"/>
      </w:pPr>
      <w:bookmarkStart w:id="160" w:name="_Ref45199435"/>
      <w:bookmarkStart w:id="161" w:name="_Toc59019849"/>
      <w:bookmarkStart w:id="162" w:name="_Toc98847354"/>
      <w:r w:rsidRPr="00FD2F6D">
        <w:t>Nature and Extent of Groundwater Constituents of Interest</w:t>
      </w:r>
      <w:bookmarkEnd w:id="160"/>
      <w:bookmarkEnd w:id="161"/>
      <w:bookmarkEnd w:id="162"/>
    </w:p>
    <w:p w14:paraId="4C0CFAD4" w14:textId="77777777" w:rsidR="007F768C" w:rsidRPr="00FD2F6D" w:rsidRDefault="007F768C" w:rsidP="006C0371">
      <w:pPr>
        <w:pStyle w:val="RptBodyText"/>
      </w:pPr>
      <w:r w:rsidRPr="00FD2F6D">
        <w:t xml:space="preserve">A summary of RI groundwater sampling is presented in Table 8, including the count of detected and undetected results, and minimum and maximum concentrations. Comparisons of RI groundwater sample concentrations to groundwater screening levels are presented in Tables 16 through 18. RI data indicate that Site groundwater appears to be minimally affected by historical activities at the Site. The nature and extent of groundwater COIs is discussed below by chemical category. </w:t>
      </w:r>
    </w:p>
    <w:p w14:paraId="28FF7414" w14:textId="77777777" w:rsidR="007F768C" w:rsidRPr="00FD2F6D" w:rsidRDefault="007F768C" w:rsidP="006C0371">
      <w:pPr>
        <w:pStyle w:val="RptHeading-Level4"/>
      </w:pPr>
      <w:r w:rsidRPr="00FD2F6D">
        <w:t xml:space="preserve">Petroleum Hydrocarbons </w:t>
      </w:r>
    </w:p>
    <w:p w14:paraId="6B14EDAB" w14:textId="77777777" w:rsidR="007F768C" w:rsidRPr="00FD2F6D" w:rsidRDefault="007F768C" w:rsidP="006C0371">
      <w:pPr>
        <w:pStyle w:val="RptBodyText"/>
      </w:pPr>
      <w:r w:rsidRPr="00FD2F6D">
        <w:t xml:space="preserve">Trace concentrations of DRO (110 to 150 µg/L) were detected below laboratory reporting limits in five locations in Area 1 and one location in Area 3 (Tables 8 and 16). Historical site evaluation and RI data indicate that potential petroleum sources are historical management of fluids used in vehicle maintenance (Area 1), fill (Areas 1 and 3), and landslide debris brought onto the property (Area 3) (Figure 8). Specifically, detections of DRO were observed in groundwater in the vicinity and downgradient of the former Vehicle Maintenance Building in Area 1, adjacent to the former shed in Area 1, and downgradient of where fill and landslide debris were placed in Area 3. As discussed in Section </w:t>
      </w:r>
      <w:r w:rsidRPr="00FD2F6D">
        <w:fldChar w:fldCharType="begin"/>
      </w:r>
      <w:r w:rsidRPr="00FD2F6D">
        <w:instrText xml:space="preserve"> REF _Ref44793271 \r \h  \* MERGEFORMAT </w:instrText>
      </w:r>
      <w:r w:rsidRPr="00FD2F6D">
        <w:fldChar w:fldCharType="separate"/>
      </w:r>
      <w:r w:rsidRPr="00FD2F6D">
        <w:t>4.1.2.1</w:t>
      </w:r>
      <w:r w:rsidRPr="00FD2F6D">
        <w:fldChar w:fldCharType="end"/>
      </w:r>
      <w:r w:rsidRPr="00FD2F6D">
        <w:t xml:space="preserve">, localized soil staining and petroleum hydrocarbon odors were observed at some locations (Appendix </w:t>
      </w:r>
      <w:r>
        <w:t>C</w:t>
      </w:r>
      <w:r w:rsidRPr="00FD2F6D">
        <w:t xml:space="preserve">), and elevated petroleum hydrocarbons were detected in soils across the Site (Table 9). Surface infiltration of water and desorption of petroleum hydrocarbons from soils could have resulted in the observed trace groundwater DRO detections, which are below the groundwater screening level of 500 µg/L (Table 16). </w:t>
      </w:r>
    </w:p>
    <w:p w14:paraId="1CEEA120" w14:textId="77777777" w:rsidR="007F768C" w:rsidRPr="00FD2F6D" w:rsidRDefault="007F768C" w:rsidP="006C0371">
      <w:pPr>
        <w:pStyle w:val="RptHeading-Level4"/>
      </w:pPr>
      <w:r w:rsidRPr="00FD2F6D">
        <w:t>Metals</w:t>
      </w:r>
    </w:p>
    <w:p w14:paraId="09A8009A" w14:textId="530F1670" w:rsidR="007F768C" w:rsidRPr="00FD2F6D" w:rsidRDefault="007F768C" w:rsidP="006C0371">
      <w:pPr>
        <w:pStyle w:val="RptBodyText"/>
      </w:pPr>
      <w:r w:rsidRPr="00FD2F6D">
        <w:t>Dissolved metals in groundwater across the Site were mostly undetected or detected at levels similar to or below laboratory reporting limits, and all detections are below Federal and Washington State MCLs (Table 17). There is a single exceedance of Method B cleanup levels, specifically for thallium at temporary well location EX-B-2 (Table 17). A review of past investigations during preparation of the RI Work Plan (Exponent 2019) demonstrated that turbidity in Site groundwater samples resulted in some elevated metals detections during past groundwater monitoring events. Therefore, sampling personnel implemented measures to reduce turbidity to the degree possible during the RI field program. As a result, turbidity was reduced (Table 4) and effects from soil particulates were minimized in samples collected from temporary wells. Effects from soil particulates resulting in groundwater screening level exceedances were observed in only one sample collected from temporary well location EX</w:t>
      </w:r>
      <w:r w:rsidRPr="00FD2F6D">
        <w:noBreakHyphen/>
        <w:t>B</w:t>
      </w:r>
      <w:r w:rsidR="0090784B">
        <w:noBreakHyphen/>
      </w:r>
      <w:r w:rsidRPr="00FD2F6D">
        <w:t xml:space="preserve">2 with thallium above the groundwater screening level (Table 17). This is not unexpected for temporary wells that are not permanently constructed and developed. Samples influenced by soil particulates entrained in groundwater are not representative of aquifer water quality. </w:t>
      </w:r>
    </w:p>
    <w:p w14:paraId="0D2BBB5C" w14:textId="77777777" w:rsidR="007F768C" w:rsidRPr="00FD2F6D" w:rsidRDefault="007F768C" w:rsidP="006C0371">
      <w:pPr>
        <w:pStyle w:val="RptHeading-Level4"/>
      </w:pPr>
      <w:r w:rsidRPr="00FD2F6D">
        <w:t xml:space="preserve">Volatile Organic Compounds </w:t>
      </w:r>
    </w:p>
    <w:p w14:paraId="61BF80BA" w14:textId="77777777" w:rsidR="007F768C" w:rsidRPr="00FD2F6D" w:rsidRDefault="007F768C" w:rsidP="006C0371">
      <w:pPr>
        <w:pStyle w:val="RptBodyText"/>
      </w:pPr>
      <w:r w:rsidRPr="00FD2F6D">
        <w:t xml:space="preserve">Trace concentrations of toluene and trichloroethene (TCE) were detected below laboratory reporting limits in groundwater at five locations in Area 1 (Table 18). Trace toluene was detected in one location downgradient of the former unleaded UST and is likely associated with historical fluids management in this area. Trace TCE was detected in two locations downgradient of the Vehicle Maintenance Building and in two locations near the former drywell; TCE is likely associated with historical parts washing/degreasing. Toluene was not detected in RI soil samples from Area 1 (Table 11); however, toluene has been detected in past investigations in soils near the former USTs (Exponent 2019). TCE has not been detected in Site soils (see Table 11 and Exponent 2019). Trace concentrations of toluene and TCE in groundwater are below laboratory reporting limits and orders of magnitude below groundwater screening levels (Table 18). </w:t>
      </w:r>
    </w:p>
    <w:p w14:paraId="0ABA4447" w14:textId="77777777" w:rsidR="007F768C" w:rsidRPr="00FD2F6D" w:rsidRDefault="007F768C" w:rsidP="006C0371">
      <w:pPr>
        <w:pStyle w:val="RptHeading-Level3"/>
      </w:pPr>
      <w:bookmarkStart w:id="163" w:name="_Toc59019850"/>
      <w:bookmarkStart w:id="164" w:name="_Toc98847355"/>
      <w:r w:rsidRPr="00FD2F6D">
        <w:t>Groundwater Investigation Summary</w:t>
      </w:r>
      <w:bookmarkEnd w:id="163"/>
      <w:bookmarkEnd w:id="164"/>
    </w:p>
    <w:p w14:paraId="26DA1011" w14:textId="77777777" w:rsidR="007F768C" w:rsidRPr="00FD2F6D" w:rsidRDefault="007F768C" w:rsidP="006C0371">
      <w:pPr>
        <w:pStyle w:val="RptBodyText"/>
      </w:pPr>
      <w:r w:rsidRPr="00FD2F6D">
        <w:t xml:space="preserve">Groundwater flows in an easterly to southeasterly direction generally toward Hood Canal, which is consistent with previously reported groundwater flow direction (Ecology 2000; HWA 2013, ESA 2013b) (Figure 19). The groundwater at the Site is </w:t>
      </w:r>
      <w:r w:rsidRPr="00FD2F6D">
        <w:rPr>
          <w:rFonts w:cs="Arial"/>
        </w:rPr>
        <w:t xml:space="preserve">unconfined and influenced by precipitation and surface infiltration. Trace concentrations of </w:t>
      </w:r>
      <w:r w:rsidRPr="00FD2F6D">
        <w:t xml:space="preserve">petroleum hydrocarbons (DRO) attributable to historical activities were detected below reporting limits in five locations in Area 1 and one location in Area 3. Potential petroleum hydrocarbon sources are historical management of fluids used in vehicle maintenance (Area 1) and fill (Area 1). </w:t>
      </w:r>
      <w:r w:rsidRPr="00FD2F6D">
        <w:rPr>
          <w:rFonts w:cs="Arial"/>
        </w:rPr>
        <w:t xml:space="preserve">Trace concentrations of </w:t>
      </w:r>
      <w:r w:rsidRPr="00FD2F6D">
        <w:t>VOCs attributable to historical activities were detected in five locations in Area 1. Likely sources of trace VOCs observed in groundwater are fluids previously managed and used in vehicle maintenance including petroleum products stored in former USTs (toluene) and solvents historically used for parts washing/degreasing (TCE). A single exceedance of Method B cleanup levels for thallium at temporary well EX-B-2 is attributable to soil particulates entrained in groundwater samples and is</w:t>
      </w:r>
      <w:r w:rsidRPr="00FD2F6D">
        <w:rPr>
          <w:b/>
        </w:rPr>
        <w:t xml:space="preserve"> </w:t>
      </w:r>
      <w:r w:rsidRPr="00FD2F6D">
        <w:t xml:space="preserve">not representative of aquifer water quality. Based on these RI findings, no COPCs are identified for groundwater. </w:t>
      </w:r>
    </w:p>
    <w:p w14:paraId="16A71F77" w14:textId="77777777" w:rsidR="007F768C" w:rsidRPr="00FD2F6D" w:rsidRDefault="007F768C" w:rsidP="006C0371">
      <w:pPr>
        <w:pStyle w:val="RptHeading-Level1"/>
      </w:pPr>
      <w:bookmarkStart w:id="165" w:name="_Ref45180888"/>
      <w:bookmarkStart w:id="166" w:name="_Toc59019851"/>
      <w:bookmarkStart w:id="167" w:name="_Toc98847356"/>
      <w:r w:rsidRPr="00FD2F6D">
        <w:t>Terrestrial Ecological Evaluation</w:t>
      </w:r>
      <w:bookmarkEnd w:id="165"/>
      <w:bookmarkEnd w:id="166"/>
      <w:bookmarkEnd w:id="167"/>
    </w:p>
    <w:p w14:paraId="246ED00E" w14:textId="77777777" w:rsidR="007F768C" w:rsidRPr="00FD2F6D" w:rsidRDefault="007F768C" w:rsidP="006C0371">
      <w:pPr>
        <w:pStyle w:val="RptBodyText"/>
      </w:pPr>
      <w:r w:rsidRPr="00FD2F6D">
        <w:t>This section presents the Site-specific TEE that has been prepared in accordance with WAC 173-340-7493 in consultation with Ecology (Ecology 2018). The purpose of this TEE is to determine whether a release of hazardous substances to soil may pose a threat to the terrestrial environment, to characterize existing or potential threats to terrestrial plants or animals exposed to hazardous substances in soil, and to establish site-specific cleanup standards for the protection of terrestrial plants and animals (WAC 173-340-7490).</w:t>
      </w:r>
    </w:p>
    <w:p w14:paraId="4A3068ED" w14:textId="77777777" w:rsidR="007F768C" w:rsidRPr="00FD2F6D" w:rsidRDefault="007F768C" w:rsidP="006C0371">
      <w:pPr>
        <w:pStyle w:val="RptHeading-Level2"/>
      </w:pPr>
      <w:bookmarkStart w:id="168" w:name="_Toc59019852"/>
      <w:bookmarkStart w:id="169" w:name="_Toc98847357"/>
      <w:r w:rsidRPr="00FD2F6D">
        <w:t>Regulatory Framework</w:t>
      </w:r>
      <w:bookmarkEnd w:id="168"/>
      <w:bookmarkEnd w:id="169"/>
    </w:p>
    <w:p w14:paraId="3E361CA5" w14:textId="77777777" w:rsidR="007F768C" w:rsidRPr="00FD2F6D" w:rsidRDefault="007F768C" w:rsidP="006C0371">
      <w:pPr>
        <w:pStyle w:val="RptBodyText"/>
      </w:pPr>
      <w:r w:rsidRPr="00FD2F6D">
        <w:t xml:space="preserve">MTCA’s TEE process provides the regulatory framework to evaluate potential threats from soil impacts to ecological receptors. This process must be completed at cleanup sites with formal Ecology oversight and sites in Ecology’s VCP seeking an NFA determination. The first steps in this process are to characterize the site and conduct an exclusion evaluation to determine if further TEE is warranted, and if so, select the evaluation method (i.e., simplified or site-specific). </w:t>
      </w:r>
    </w:p>
    <w:p w14:paraId="3CF5C9E5" w14:textId="77777777" w:rsidR="007F768C" w:rsidRPr="00FD2F6D" w:rsidRDefault="007F768C" w:rsidP="006C0371">
      <w:pPr>
        <w:pStyle w:val="RptBodyText"/>
      </w:pPr>
      <w:r w:rsidRPr="00FD2F6D">
        <w:t>MTCA’s TEE exclusionary criteria (WAC 173-340-7491) were reviewed against Site information and RI soil data and it was determined that none of the criteria apply to exclude the Site from further TEE. Further, the exclusion evaluation demonstrated that a site-specific TEE was required. A summary of the Site exclusion evaluation is presented below.</w:t>
      </w:r>
    </w:p>
    <w:p w14:paraId="3C4F3BDF" w14:textId="77777777" w:rsidR="007F768C" w:rsidRPr="00FD2F6D" w:rsidRDefault="007F768C" w:rsidP="006C0371">
      <w:pPr>
        <w:pStyle w:val="RptBodyText"/>
      </w:pPr>
      <w:r w:rsidRPr="00FD2F6D">
        <w:t>If a site meets any of the following MTCA four primary exclusion criterion, no further ecological evaluation is required (Ecology 2017):</w:t>
      </w:r>
    </w:p>
    <w:p w14:paraId="46B8A025" w14:textId="77777777" w:rsidR="007F768C" w:rsidRPr="00FD2F6D" w:rsidRDefault="007F768C" w:rsidP="006C0371">
      <w:pPr>
        <w:pStyle w:val="RptBullet-Level1"/>
      </w:pPr>
      <w:r w:rsidRPr="00FD2F6D">
        <w:t>Contamination below the point of compliance</w:t>
      </w:r>
    </w:p>
    <w:p w14:paraId="33E485E2" w14:textId="77777777" w:rsidR="007F768C" w:rsidRPr="00FD2F6D" w:rsidRDefault="007F768C" w:rsidP="006C0371">
      <w:pPr>
        <w:pStyle w:val="RptBullet-Level1"/>
      </w:pPr>
      <w:r w:rsidRPr="00FD2F6D">
        <w:t>Incomplete exposure pathway</w:t>
      </w:r>
    </w:p>
    <w:p w14:paraId="60F0EBCB" w14:textId="77777777" w:rsidR="007F768C" w:rsidRPr="00FD2F6D" w:rsidRDefault="007F768C" w:rsidP="006C0371">
      <w:pPr>
        <w:pStyle w:val="RptBullet-Level1"/>
      </w:pPr>
      <w:r w:rsidRPr="00FD2F6D">
        <w:t>Type of contamination and proximity to ecological receptors, and,</w:t>
      </w:r>
    </w:p>
    <w:p w14:paraId="1592A989" w14:textId="77777777" w:rsidR="007F768C" w:rsidRPr="00FD2F6D" w:rsidRDefault="007F768C" w:rsidP="006C0371">
      <w:pPr>
        <w:pStyle w:val="RptBullet-Level1"/>
      </w:pPr>
      <w:r w:rsidRPr="00FD2F6D">
        <w:t>Concentrations below background levels.</w:t>
      </w:r>
    </w:p>
    <w:p w14:paraId="367E97A1" w14:textId="15F322D2" w:rsidR="007F768C" w:rsidRPr="00FD2F6D" w:rsidRDefault="007F768C" w:rsidP="006C0371">
      <w:pPr>
        <w:pStyle w:val="RptBodyText"/>
      </w:pPr>
      <w:r w:rsidRPr="00FD2F6D">
        <w:t xml:space="preserve">The first exclusion criterion involves the determination that the contamination exists only below the point of compliance. MTCA’s standard point of compliance in soil for ecological evaluation is 15 ft, which is assumed to be “a reasonable estimate of the depth of soil that could be excavated and distributed at the soil surface as a result of site development activities, resulting in exposure by ecological receptors.” (WAC 172-340-7490(4)(b)). This exclusion criterion does not apply at the Site because soil contamination is present </w:t>
      </w:r>
      <w:r>
        <w:t xml:space="preserve">above </w:t>
      </w:r>
      <w:r w:rsidRPr="00FD2F6D">
        <w:t>15</w:t>
      </w:r>
      <w:r w:rsidR="0090784B">
        <w:t> </w:t>
      </w:r>
      <w:r w:rsidRPr="00FD2F6D">
        <w:t>ft in some areas of the Site.</w:t>
      </w:r>
    </w:p>
    <w:p w14:paraId="318BD16F" w14:textId="77777777" w:rsidR="007F768C" w:rsidRPr="00FD2F6D" w:rsidRDefault="007F768C" w:rsidP="006C0371">
      <w:pPr>
        <w:pStyle w:val="RptBodyText"/>
      </w:pPr>
      <w:r w:rsidRPr="00FD2F6D">
        <w:t>The second exclusion criterion applies in cases where there is an incomplete exposure pathway preventing exposure of ecological receptors to soil contamination. Exposure pathways may be rendered incomplete by the construction of physical barriers, buildings, paved areas, etc. Although there is gravel cover in the southern portion of the Site used for parking and the Site is partially fenced,</w:t>
      </w:r>
      <w:r w:rsidRPr="00FD2F6D" w:rsidDel="00914D20">
        <w:t xml:space="preserve"> </w:t>
      </w:r>
      <w:r w:rsidRPr="00FD2F6D">
        <w:t>this criterion does not apply because existing physical barriers do not prevent exposure of ecological receptors to soil contamination at the Site. Thus, the Site does not meet this exclusion criterion.</w:t>
      </w:r>
    </w:p>
    <w:p w14:paraId="5BEE4FE9" w14:textId="77777777" w:rsidR="007F768C" w:rsidRPr="00FD2F6D" w:rsidRDefault="007F768C" w:rsidP="006C0371">
      <w:pPr>
        <w:pStyle w:val="RptBodyText"/>
      </w:pPr>
      <w:r w:rsidRPr="00FD2F6D">
        <w:t xml:space="preserve">The third exclusion may apply when a site is located on or near a limited area of undeveloped land. For this exclusion to apply, sites with soil impacts must have contiguous undeveloped land less than the allowable area (0.25 or 1.5 acres, depending on the contaminant(s) present) or within 500 ft of any area on the site. The Site does not meet this exclusion criterion because the Site contains and is located adjacent to a greenbelt with a Douglas fir forest (Figure 2) that is larger than 1.5 acres (Section </w:t>
      </w:r>
      <w:r w:rsidRPr="00FD2F6D">
        <w:fldChar w:fldCharType="begin"/>
      </w:r>
      <w:r w:rsidRPr="00FD2F6D">
        <w:instrText xml:space="preserve"> REF _Ref44935263 \r \h </w:instrText>
      </w:r>
      <w:r>
        <w:instrText xml:space="preserve"> \* MERGEFORMAT </w:instrText>
      </w:r>
      <w:r w:rsidRPr="00FD2F6D">
        <w:fldChar w:fldCharType="separate"/>
      </w:r>
      <w:r w:rsidRPr="00FD2F6D">
        <w:t>2.1</w:t>
      </w:r>
      <w:r w:rsidRPr="00FD2F6D">
        <w:fldChar w:fldCharType="end"/>
      </w:r>
      <w:r w:rsidRPr="00FD2F6D">
        <w:t xml:space="preserve">). </w:t>
      </w:r>
    </w:p>
    <w:p w14:paraId="607C8D83" w14:textId="77777777" w:rsidR="007F768C" w:rsidRPr="00FD2F6D" w:rsidRDefault="007F768C" w:rsidP="006C0371">
      <w:pPr>
        <w:pStyle w:val="RptBodyText"/>
      </w:pPr>
      <w:r w:rsidRPr="00FD2F6D">
        <w:t xml:space="preserve">The fourth exclusion criterion applies if all contaminant soil concentrations are below natural background levels. The Site does not meet this exclusion criterion because contaminant concentrations were measured above natural background concentrations during the RI (Section </w:t>
      </w:r>
      <w:r w:rsidRPr="00FD2F6D">
        <w:fldChar w:fldCharType="begin"/>
      </w:r>
      <w:r w:rsidRPr="00FD2F6D">
        <w:instrText xml:space="preserve"> REF _Ref44935241 \r \h </w:instrText>
      </w:r>
      <w:r>
        <w:instrText xml:space="preserve"> \* MERGEFORMAT </w:instrText>
      </w:r>
      <w:r w:rsidRPr="00FD2F6D">
        <w:fldChar w:fldCharType="separate"/>
      </w:r>
      <w:r w:rsidRPr="00FD2F6D">
        <w:t>4.1.2.2</w:t>
      </w:r>
      <w:r w:rsidRPr="00FD2F6D">
        <w:fldChar w:fldCharType="end"/>
      </w:r>
      <w:r w:rsidRPr="00FD2F6D">
        <w:t xml:space="preserve">). </w:t>
      </w:r>
    </w:p>
    <w:p w14:paraId="254DBBB3" w14:textId="200F4174" w:rsidR="007F768C" w:rsidRPr="00FD2F6D" w:rsidRDefault="007F768C" w:rsidP="006C0371">
      <w:pPr>
        <w:pStyle w:val="RptBodyText"/>
      </w:pPr>
      <w:r w:rsidRPr="00FD2F6D">
        <w:t>The Site does not qualify for an exclusion from a TEE under WAC 173-340-7491; therefore, the next step is to select the TEE method, simple or site-specific. The process for determining the required method is provided in WAC 173-340-7492. According to procedures outlined in WAC 173-340-7491(2), either the presence of threatened, endangered, or otherwise protected species, or proximity to native vegetation, trigger the need for a site</w:t>
      </w:r>
      <w:r w:rsidR="0090784B">
        <w:noBreakHyphen/>
      </w:r>
      <w:r w:rsidRPr="00FD2F6D">
        <w:t>specific TEE. The presence of undeveloped land on and connected to the western portion of the Site (Douglas fir forestland, Figure 2) necessitates a site-specific TEE.</w:t>
      </w:r>
    </w:p>
    <w:p w14:paraId="32268517" w14:textId="77777777" w:rsidR="007F768C" w:rsidRPr="00FD2F6D" w:rsidRDefault="007F768C" w:rsidP="006C0371">
      <w:pPr>
        <w:pStyle w:val="RptBodyText"/>
      </w:pPr>
      <w:r w:rsidRPr="00FD2F6D">
        <w:t>A site-specific TEE consists of two steps: 1) completing the problem formulation step to define the site-specific evaluation and identify issues that will be addressed to determine if further evaluation is necessary (chemicals of ecological concern, receptors, exposure pathways, and toxicological assessment), and 2) selecting appropriate terrestrial ecological evaluation methods, if warranted. These two steps are discussed in the following sections.</w:t>
      </w:r>
    </w:p>
    <w:p w14:paraId="0ACC8CA4" w14:textId="77777777" w:rsidR="007F768C" w:rsidRPr="00FD2F6D" w:rsidRDefault="007F768C" w:rsidP="006C0371">
      <w:pPr>
        <w:pStyle w:val="RptHeading-Level2"/>
      </w:pPr>
      <w:bookmarkStart w:id="170" w:name="_Ref45199373"/>
      <w:bookmarkStart w:id="171" w:name="_Toc59019853"/>
      <w:bookmarkStart w:id="172" w:name="_Toc98847358"/>
      <w:r w:rsidRPr="00FD2F6D">
        <w:t>Chemicals of Ecological Concern</w:t>
      </w:r>
      <w:bookmarkEnd w:id="170"/>
      <w:bookmarkEnd w:id="171"/>
      <w:bookmarkEnd w:id="172"/>
    </w:p>
    <w:p w14:paraId="643C156A" w14:textId="658ECBC1" w:rsidR="007F768C" w:rsidRPr="00FD2F6D" w:rsidRDefault="007F768C" w:rsidP="006C0371">
      <w:pPr>
        <w:pStyle w:val="RptBodyText"/>
      </w:pPr>
      <w:r w:rsidRPr="00FD2F6D">
        <w:t xml:space="preserve">To identify COECs, COI concentrations were compared to EISCs published in WAC Table 749-3. </w:t>
      </w:r>
      <w:bookmarkStart w:id="173" w:name="_Hlk45198592"/>
      <w:r w:rsidRPr="00FD2F6D">
        <w:t>The EISCs are expected to be protective at any MTCA site. Natural background concentrations for dioxins/furans (Ecology 2010), and chromium, mercury, and selenium (Appendix </w:t>
      </w:r>
      <w:r>
        <w:t>G</w:t>
      </w:r>
      <w:r w:rsidRPr="00FD2F6D">
        <w:t>) were substituted for EISCs as permitted in MTCA.</w:t>
      </w:r>
      <w:r w:rsidRPr="00FD2F6D">
        <w:rPr>
          <w:rStyle w:val="FootnoteReference"/>
        </w:rPr>
        <w:footnoteReference w:id="15"/>
      </w:r>
      <w:r w:rsidRPr="00FD2F6D">
        <w:rPr>
          <w:szCs w:val="24"/>
        </w:rPr>
        <w:t xml:space="preserve"> </w:t>
      </w:r>
      <w:bookmarkEnd w:id="173"/>
      <w:r w:rsidRPr="00FD2F6D">
        <w:t xml:space="preserve">The EISCs are summarized in Table 5. Sample by sample comparison of COIs to their respective EISCs, where available, are presented in Tables 9 through 15. </w:t>
      </w:r>
    </w:p>
    <w:p w14:paraId="700E794B" w14:textId="77777777" w:rsidR="007F768C" w:rsidRPr="00FD2F6D" w:rsidRDefault="007F768C" w:rsidP="006C0371">
      <w:pPr>
        <w:pStyle w:val="RptBodyText"/>
      </w:pPr>
      <w:r w:rsidRPr="00FD2F6D">
        <w:t>As specified in MTCA, a COI is identified as a COEC where the maximum or 95% UCL</w:t>
      </w:r>
      <w:r w:rsidRPr="00FD2F6D">
        <w:rPr>
          <w:rStyle w:val="FootnoteReference"/>
        </w:rPr>
        <w:footnoteReference w:id="16"/>
      </w:r>
      <w:r w:rsidRPr="00FD2F6D">
        <w:t xml:space="preserve"> soil concentration at the Site exceeds applicable EISCs. The statistical method was used to identify COECs rather than direct comparison using the maximum sample concentration. Using the statistical method, four COIs exceed an EISC and are identified as COECs: GRO, DRO, lead, and total dioxins/furans (Table 19 and Appendix </w:t>
      </w:r>
      <w:r>
        <w:t>G</w:t>
      </w:r>
      <w:r w:rsidRPr="00FD2F6D">
        <w:t>).</w:t>
      </w:r>
    </w:p>
    <w:p w14:paraId="765020C3" w14:textId="77777777" w:rsidR="007F768C" w:rsidRPr="00FD2F6D" w:rsidRDefault="007F768C" w:rsidP="006C0371">
      <w:pPr>
        <w:pStyle w:val="RptHeading-Level2"/>
      </w:pPr>
      <w:bookmarkStart w:id="174" w:name="_Toc59019854"/>
      <w:bookmarkStart w:id="175" w:name="_Toc98847359"/>
      <w:r w:rsidRPr="00FD2F6D">
        <w:t>Terrestrial Ecological Receptors of Concern</w:t>
      </w:r>
      <w:bookmarkEnd w:id="174"/>
      <w:bookmarkEnd w:id="175"/>
    </w:p>
    <w:p w14:paraId="7B05D60B" w14:textId="19EAE8A8" w:rsidR="007F768C" w:rsidRPr="00FD2F6D" w:rsidRDefault="007F768C" w:rsidP="00B905DF">
      <w:pPr>
        <w:pStyle w:val="RptBodyText"/>
      </w:pPr>
      <w:r w:rsidRPr="00FD2F6D">
        <w:t xml:space="preserve">A portion of the Site is covered with Douglas fir forest that abuts a larger greenbelt area to the west (Figure 2). This area likely acts as habitat for wildlife species in the general Site area. Terrestrial species that may be present on and in the vicinity of the Site include herbivorous, invertivorous and carnivorous birds and mammals, as well as small terrestrial reptiles and amphibians (snakes and toads). A list of protected species in Mason County is provided in the RI Work Plan (Exponent 2019; Appendix E, therein). Terrestrial ecological receptors also include soil or soil-dwelling invertebrates that may be in contact with or ingested by terrestrial species. The group of terrestrial ecological receptors of concern considered for the Site includes vascular plants, soil-dwelling invertebrates, ground-feeding birds, and ground-feeding small mammals. </w:t>
      </w:r>
    </w:p>
    <w:p w14:paraId="29F151EB" w14:textId="77777777" w:rsidR="007F768C" w:rsidRPr="00FD2F6D" w:rsidRDefault="007F768C" w:rsidP="006C0371">
      <w:pPr>
        <w:pStyle w:val="RptBodyText"/>
      </w:pPr>
      <w:r w:rsidRPr="00FD2F6D">
        <w:t>According to Ecology (2017), appropriate surrogate receptors for determination of risk to these categories of terrestrial ecological receptors are shrew (ground-feeding mammalian predator), robin (ground-feeding avian predator), and earthworm (soil biota). Toxicological models based on these representative species provide the basis for Ecology’s published EISCs published in WAC Table 749-3.</w:t>
      </w:r>
    </w:p>
    <w:p w14:paraId="29E069D5" w14:textId="77777777" w:rsidR="007F768C" w:rsidRPr="00FD2F6D" w:rsidRDefault="007F768C" w:rsidP="006C0371">
      <w:pPr>
        <w:pStyle w:val="RptHeading-Level2"/>
      </w:pPr>
      <w:bookmarkStart w:id="176" w:name="_Toc59019855"/>
      <w:bookmarkStart w:id="177" w:name="_Toc98847360"/>
      <w:r w:rsidRPr="00FD2F6D">
        <w:t>Exposure Pathways</w:t>
      </w:r>
      <w:bookmarkEnd w:id="176"/>
      <w:bookmarkEnd w:id="177"/>
    </w:p>
    <w:p w14:paraId="2148D278" w14:textId="52F32A6E" w:rsidR="007F768C" w:rsidRPr="00FD2F6D" w:rsidRDefault="007F768C" w:rsidP="006C0371">
      <w:pPr>
        <w:pStyle w:val="RptBodyText"/>
      </w:pPr>
      <w:r w:rsidRPr="00FD2F6D">
        <w:t>Potentially complete exposure pathways that exist at the Site include contact with soil and/or ingestion of soil. As discussed above, terrestrial species may ingest impacted soil or soil</w:t>
      </w:r>
      <w:r w:rsidR="0090784B">
        <w:noBreakHyphen/>
      </w:r>
      <w:r w:rsidRPr="00FD2F6D">
        <w:t xml:space="preserve">dwelling invertebrates. In addition, plants may also take up contaminants in the soil. The exposure routes include direct contact and direct ingestion for soil invertebrates, uptake by plants, and ingestion of soil and dietary items for wildlife. </w:t>
      </w:r>
    </w:p>
    <w:p w14:paraId="01BF0104" w14:textId="77777777" w:rsidR="007F768C" w:rsidRPr="00FD2F6D" w:rsidRDefault="007F768C" w:rsidP="006C0371">
      <w:pPr>
        <w:pStyle w:val="RptHeading-Level2"/>
      </w:pPr>
      <w:bookmarkStart w:id="178" w:name="_Toc59019856"/>
      <w:bookmarkStart w:id="179" w:name="_Toc98847361"/>
      <w:r w:rsidRPr="00FD2F6D">
        <w:t>Toxicological Assessment</w:t>
      </w:r>
      <w:bookmarkEnd w:id="178"/>
      <w:bookmarkEnd w:id="179"/>
    </w:p>
    <w:p w14:paraId="1796AB81" w14:textId="2042770A" w:rsidR="007F768C" w:rsidRPr="001725AD" w:rsidRDefault="007F768C" w:rsidP="006C0371">
      <w:pPr>
        <w:pStyle w:val="RptBodyText"/>
      </w:pPr>
      <w:r w:rsidRPr="00FD2F6D">
        <w:t>A site-specific toxicological assessment can be conducted, or the EISCs listed in WAC Table 749-3 based on accepted Ecology toxicity data may be used as the cleanup level (WAC</w:t>
      </w:r>
      <w:r w:rsidR="008C08A4">
        <w:t> </w:t>
      </w:r>
      <w:r w:rsidRPr="00FD2F6D">
        <w:t>173</w:t>
      </w:r>
      <w:r w:rsidR="0090784B">
        <w:noBreakHyphen/>
      </w:r>
      <w:r w:rsidRPr="00FD2F6D">
        <w:t>340-7493(3)) when terrestrial ecological risk is the driver (Ecology 2017). For this Site, the latter approach was used, and is expected to be protective of plants, soil biota, and wildlife at the Site (see the EISCs listed in Table 5). The following sections discuss COEC exceedances of EISCs by constituent category.</w:t>
      </w:r>
    </w:p>
    <w:p w14:paraId="0A3E3E6C" w14:textId="77777777" w:rsidR="007F768C" w:rsidRDefault="007F768C" w:rsidP="006C0371">
      <w:pPr>
        <w:pStyle w:val="RptHeading-Level3"/>
      </w:pPr>
      <w:bookmarkStart w:id="180" w:name="_Toc59019857"/>
      <w:bookmarkStart w:id="181" w:name="_Toc98847362"/>
      <w:r>
        <w:t>Petroleum Hydrocarbons</w:t>
      </w:r>
      <w:bookmarkEnd w:id="180"/>
      <w:bookmarkEnd w:id="181"/>
      <w:r>
        <w:t xml:space="preserve"> </w:t>
      </w:r>
    </w:p>
    <w:p w14:paraId="10ED7573" w14:textId="4A7ED61C" w:rsidR="007F768C" w:rsidRDefault="007F768C" w:rsidP="006C0371">
      <w:pPr>
        <w:pStyle w:val="RptBodyText"/>
      </w:pPr>
      <w:r>
        <w:t xml:space="preserve">As discussed in Section </w:t>
      </w:r>
      <w:r>
        <w:fldChar w:fldCharType="begin"/>
      </w:r>
      <w:r>
        <w:instrText xml:space="preserve"> REF _Ref44793271 \r \h </w:instrText>
      </w:r>
      <w:r w:rsidR="006C0371">
        <w:instrText xml:space="preserve"> \* MERGEFORMAT </w:instrText>
      </w:r>
      <w:r>
        <w:fldChar w:fldCharType="separate"/>
      </w:r>
      <w:r>
        <w:t>4.1.2.1</w:t>
      </w:r>
      <w:r>
        <w:fldChar w:fldCharType="end"/>
      </w:r>
      <w:r>
        <w:t>, petroleum hydrocarbon impacts attributable to historical activities were detected at various locations in Areas 1, 2, and 3 (Tables 7 and 9). Four locations exceed at least one petroleum hydrocarbon EISC: one in Area 1, two in Area 2, and one in Area 3 (Figure 20, Tables 5 and 9). Elevated petroleum hydrocarbons in these locations (GRO up to 440 mg/kg and DRO up to 2,500</w:t>
      </w:r>
      <w:r w:rsidRPr="00921F4E">
        <w:t xml:space="preserve"> </w:t>
      </w:r>
      <w:r>
        <w:t>mg/kg, Table 9) exceed EISCs for the protection of soil biota (100 mg/kg for GRO, 200 mg/kg for DRO). These exceedances are in</w:t>
      </w:r>
      <w:r w:rsidRPr="003E3AAF">
        <w:t xml:space="preserve"> </w:t>
      </w:r>
      <w:r>
        <w:t xml:space="preserve">the vicinity of the former USTs in Area 1 (DRO), in the waste dumping area in the western portion of Area 2 (GRO and DRO), and where fill and landslide debris were placed in Area 3 (GRO and DRO). All petroleum hydrocarbon concentrations are below EISCs for the protection of wildlife (5,000 mg/kg for GRO, 6,000 mg/kg for DRO) (Tables 5 and 9). </w:t>
      </w:r>
      <w:r w:rsidRPr="00691EA6">
        <w:t xml:space="preserve">Petroleum hydrocarbon EISCs for the protection of plants are not </w:t>
      </w:r>
      <w:r>
        <w:t>published in MTCA</w:t>
      </w:r>
      <w:r w:rsidRPr="00691EA6">
        <w:t xml:space="preserve"> (Table</w:t>
      </w:r>
      <w:r w:rsidR="00B905DF">
        <w:t> </w:t>
      </w:r>
      <w:r w:rsidRPr="00691EA6">
        <w:t>5).</w:t>
      </w:r>
    </w:p>
    <w:p w14:paraId="00BF89CF" w14:textId="77777777" w:rsidR="007F768C" w:rsidRDefault="007F768C" w:rsidP="006C0371">
      <w:pPr>
        <w:pStyle w:val="RptHeading-Level3"/>
      </w:pPr>
      <w:bookmarkStart w:id="182" w:name="_Toc59019858"/>
      <w:bookmarkStart w:id="183" w:name="_Toc98847363"/>
      <w:r>
        <w:t>Lead</w:t>
      </w:r>
      <w:bookmarkEnd w:id="182"/>
      <w:bookmarkEnd w:id="183"/>
    </w:p>
    <w:p w14:paraId="4F16732F" w14:textId="5641D1AC" w:rsidR="007F768C" w:rsidRDefault="007F768C" w:rsidP="006C0371">
      <w:pPr>
        <w:pStyle w:val="RptBodyText"/>
      </w:pPr>
      <w:r>
        <w:t xml:space="preserve">As discussed in Section </w:t>
      </w:r>
      <w:r>
        <w:fldChar w:fldCharType="begin"/>
      </w:r>
      <w:r>
        <w:instrText xml:space="preserve"> REF _Ref44935241 \r \h </w:instrText>
      </w:r>
      <w:r w:rsidR="006C0371">
        <w:instrText xml:space="preserve"> \* MERGEFORMAT </w:instrText>
      </w:r>
      <w:r>
        <w:fldChar w:fldCharType="separate"/>
      </w:r>
      <w:r>
        <w:t>4.1.2.2</w:t>
      </w:r>
      <w:r>
        <w:fldChar w:fldCharType="end"/>
      </w:r>
      <w:r>
        <w:t>, elevated lead (above 24 mg/kg, the natural background concentration in undeveloped, forested Area 4) was detected at various locations in Areas 1, 2, and 3 (Tables 7 and 10). Three locations in Area 2 exceed at least one EISC (Figure 21, Tables 5 and 10). Elevated lead in these locations (up to 120 mg/kg) exceed the EISC for the protection of plants (50 mg/kg) in the waste and material dumping Area 2. Lead at one of these locations also exceeds the EISC for the protection of wildlife (118 mg/kg). All lead concentrations are below the EISC for the protection of soil biota (500 mg/kg) (Tables 5 and 9).</w:t>
      </w:r>
    </w:p>
    <w:p w14:paraId="2B4DB9A1" w14:textId="77777777" w:rsidR="007F768C" w:rsidRDefault="007F768C" w:rsidP="006C0371">
      <w:pPr>
        <w:pStyle w:val="RptHeading-Level3"/>
      </w:pPr>
      <w:bookmarkStart w:id="184" w:name="_Toc59019859"/>
      <w:bookmarkStart w:id="185" w:name="_Toc98847364"/>
      <w:r>
        <w:t>Dioxins and Furans</w:t>
      </w:r>
      <w:bookmarkEnd w:id="184"/>
      <w:bookmarkEnd w:id="185"/>
    </w:p>
    <w:p w14:paraId="5FD7157A" w14:textId="63EC2F53" w:rsidR="007F768C" w:rsidRDefault="007F768C" w:rsidP="006C0371">
      <w:pPr>
        <w:pStyle w:val="RptBodyText"/>
      </w:pPr>
      <w:r>
        <w:t xml:space="preserve">As discussed in Section </w:t>
      </w:r>
      <w:r>
        <w:fldChar w:fldCharType="begin"/>
      </w:r>
      <w:r>
        <w:instrText xml:space="preserve"> REF _Ref45374059 \r \h </w:instrText>
      </w:r>
      <w:r w:rsidR="006C0371">
        <w:instrText xml:space="preserve"> \* MERGEFORMAT </w:instrText>
      </w:r>
      <w:r>
        <w:fldChar w:fldCharType="separate"/>
      </w:r>
      <w:r>
        <w:t>4.1.2.6</w:t>
      </w:r>
      <w:r>
        <w:fldChar w:fldCharType="end"/>
      </w:r>
      <w:r>
        <w:t>, dioxins and furans were detected in soils across the Site (Tables 7 and 15</w:t>
      </w:r>
      <w:r w:rsidRPr="009B7EFC">
        <w:t xml:space="preserve">) in areas of waste and material dumping (Area 2), fill (Areas 1, 2, and 3), and debris burning (Area 3). </w:t>
      </w:r>
      <w:r w:rsidR="00063329">
        <w:t>TEQ</w:t>
      </w:r>
      <w:r>
        <w:t xml:space="preserve"> values for total dioxins/furans in Site soils are mostly below the EISC for total dioxins/furans, which is the natural background value of </w:t>
      </w:r>
      <w:r w:rsidRPr="004724A3">
        <w:t>5.2</w:t>
      </w:r>
      <w:r>
        <w:t xml:space="preserve"> x 10</w:t>
      </w:r>
      <w:r w:rsidRPr="004724A3">
        <w:rPr>
          <w:vertAlign w:val="superscript"/>
        </w:rPr>
        <w:t>-6</w:t>
      </w:r>
      <w:r w:rsidRPr="004724A3" w:rsidDel="004724A3">
        <w:t xml:space="preserve"> </w:t>
      </w:r>
      <w:r>
        <w:t>for Washington State soils (Ecology 2010) (Table 15). Total dioxins and furans exceed this natural background value at four locations: one in Area 1, one in Area 2, and two in Area 3 (Figure 22, Table 15). Total dioxins/furans are present above this natural background value in fill near the former drywell in Area 1, in fill near the former shed in Area 2, and at locations on the northern side of Area 3 where debris was burned.</w:t>
      </w:r>
    </w:p>
    <w:p w14:paraId="595FC7CE" w14:textId="77777777" w:rsidR="007F768C" w:rsidRDefault="007F768C" w:rsidP="006C0371">
      <w:pPr>
        <w:pStyle w:val="RptHeading-Level2"/>
      </w:pPr>
      <w:bookmarkStart w:id="186" w:name="_Toc59019860"/>
      <w:bookmarkStart w:id="187" w:name="_Toc98847365"/>
      <w:r>
        <w:t>TEE Summary</w:t>
      </w:r>
      <w:bookmarkEnd w:id="186"/>
      <w:bookmarkEnd w:id="187"/>
      <w:r>
        <w:t xml:space="preserve"> </w:t>
      </w:r>
    </w:p>
    <w:p w14:paraId="4A81058C" w14:textId="4D990C6F" w:rsidR="007F768C" w:rsidRDefault="007F768C" w:rsidP="006C0371">
      <w:pPr>
        <w:pStyle w:val="RptBodyText"/>
      </w:pPr>
      <w:r>
        <w:t xml:space="preserve">A site-specific TEE was performed for the Site. </w:t>
      </w:r>
      <w:r w:rsidRPr="0082101B">
        <w:t>Petroleum hydrocarbons</w:t>
      </w:r>
      <w:r>
        <w:t xml:space="preserve"> (GRO and DRO), lead,</w:t>
      </w:r>
      <w:r w:rsidRPr="0082101B">
        <w:t xml:space="preserve"> and dioxins/furans </w:t>
      </w:r>
      <w:r>
        <w:t>were identified as COECs in soil</w:t>
      </w:r>
      <w:r w:rsidRPr="0082101B">
        <w:t xml:space="preserve">. </w:t>
      </w:r>
      <w:r>
        <w:t>T</w:t>
      </w:r>
      <w:r w:rsidRPr="00601ACA">
        <w:t>he terrestrial ecological receptor groups of concern include vascular plants, soil-dwelling invertebrates, ground-feeding birds</w:t>
      </w:r>
      <w:r>
        <w:t>,</w:t>
      </w:r>
      <w:r w:rsidRPr="00601ACA">
        <w:t xml:space="preserve"> and ground-feeding small mammals.</w:t>
      </w:r>
      <w:r>
        <w:t xml:space="preserve"> Potentially complete exposure pathways that exist at the Site include terrestrial species contact with soil and/or ingestion of soil or soil-dwelling invertebrates. Ecology’s </w:t>
      </w:r>
      <w:r w:rsidRPr="00B2391C">
        <w:t xml:space="preserve">published EISCs for surrogate ecological receptors were selected (WAC Table 749-3; surrogates discussed in Section 5.3) as </w:t>
      </w:r>
      <w:r w:rsidRPr="00275AA0">
        <w:t xml:space="preserve">protective of </w:t>
      </w:r>
      <w:r>
        <w:t xml:space="preserve">plants, soil biota, and </w:t>
      </w:r>
      <w:r w:rsidRPr="00275AA0">
        <w:t>wildlife</w:t>
      </w:r>
      <w:r w:rsidRPr="00B2391C" w:rsidDel="00667BA9">
        <w:t xml:space="preserve"> </w:t>
      </w:r>
      <w:r w:rsidRPr="00B2391C">
        <w:t>at the Site</w:t>
      </w:r>
      <w:r>
        <w:t xml:space="preserve">. </w:t>
      </w:r>
    </w:p>
    <w:p w14:paraId="52BEB249" w14:textId="1B235D45" w:rsidR="007F768C" w:rsidRDefault="007F768C" w:rsidP="006C0371">
      <w:pPr>
        <w:pStyle w:val="RptBodyText"/>
      </w:pPr>
      <w:r>
        <w:t>One or more COECs exceeds an EISC for protection of plants, soil biota, and/or wildlife in 11</w:t>
      </w:r>
      <w:r w:rsidR="0090784B">
        <w:t> </w:t>
      </w:r>
      <w:r>
        <w:t xml:space="preserve">RI soil samples </w:t>
      </w:r>
      <w:r w:rsidRPr="001764DF">
        <w:t xml:space="preserve">(Figures </w:t>
      </w:r>
      <w:r>
        <w:t>20</w:t>
      </w:r>
      <w:r w:rsidRPr="001764DF">
        <w:t xml:space="preserve"> through </w:t>
      </w:r>
      <w:r>
        <w:t>22</w:t>
      </w:r>
      <w:r w:rsidRPr="001764DF">
        <w:t>):</w:t>
      </w:r>
    </w:p>
    <w:p w14:paraId="78CA7FF8" w14:textId="77777777" w:rsidR="007F768C" w:rsidRDefault="007F768C" w:rsidP="006C0371">
      <w:pPr>
        <w:pStyle w:val="RptBullet-Level1"/>
      </w:pPr>
      <w:r>
        <w:t>Near the former diesel dispenser and fill in Area 1:</w:t>
      </w:r>
    </w:p>
    <w:p w14:paraId="0B9C4B0D" w14:textId="77777777" w:rsidR="007F768C" w:rsidRDefault="007F768C" w:rsidP="006C0371">
      <w:pPr>
        <w:pStyle w:val="RptBullet-Level2"/>
      </w:pPr>
      <w:r>
        <w:t>Sample EX-B-5-0-1 from 0 to 1 ft bgs exceeded an EISC (soil biota) for DRO</w:t>
      </w:r>
    </w:p>
    <w:p w14:paraId="05F7F23D" w14:textId="77777777" w:rsidR="007F768C" w:rsidRDefault="007F768C" w:rsidP="006C0371">
      <w:pPr>
        <w:pStyle w:val="RptBullet-Level1"/>
      </w:pPr>
      <w:r>
        <w:t>Near the former drywell in Area 1:</w:t>
      </w:r>
    </w:p>
    <w:p w14:paraId="1414D0B3" w14:textId="77777777" w:rsidR="007F768C" w:rsidRDefault="007F768C" w:rsidP="006C0371">
      <w:pPr>
        <w:pStyle w:val="RptBullet-Level2"/>
      </w:pPr>
      <w:r>
        <w:t xml:space="preserve">Sample EX-B-49-1-5 (which </w:t>
      </w:r>
      <w:r w:rsidRPr="00311054">
        <w:t>is a field duplicate of EX-B-7-1-5</w:t>
      </w:r>
      <w:r>
        <w:t>) from 1 to 5 ft bgs exceeded the EISC (defined at the natural background value) for total dioxins/furans</w:t>
      </w:r>
    </w:p>
    <w:p w14:paraId="7D9721E4" w14:textId="77777777" w:rsidR="007F768C" w:rsidRDefault="007F768C" w:rsidP="006C0371">
      <w:pPr>
        <w:pStyle w:val="RptBullet-Level1"/>
      </w:pPr>
      <w:r>
        <w:t xml:space="preserve">In fill in Area 2: </w:t>
      </w:r>
    </w:p>
    <w:p w14:paraId="29FC10E1" w14:textId="77777777" w:rsidR="007F768C" w:rsidRDefault="007F768C" w:rsidP="006C0371">
      <w:pPr>
        <w:pStyle w:val="RptBullet-Level2"/>
      </w:pPr>
      <w:r>
        <w:t xml:space="preserve">Sample EX-B-15-0-1 from 0 to 1 ft bgs exceeded the EISC (defined at the natural background value) for total dioxins/furans (this sample also exceeds human health soil screening levels for total dioxins/furans, see Section </w:t>
      </w:r>
      <w:r>
        <w:fldChar w:fldCharType="begin"/>
      </w:r>
      <w:r>
        <w:instrText xml:space="preserve"> REF _Ref45374156 \r \h </w:instrText>
      </w:r>
      <w:r>
        <w:fldChar w:fldCharType="separate"/>
      </w:r>
      <w:r>
        <w:t>4.1.3</w:t>
      </w:r>
      <w:r>
        <w:fldChar w:fldCharType="end"/>
      </w:r>
      <w:r>
        <w:t>)</w:t>
      </w:r>
    </w:p>
    <w:p w14:paraId="462054B1" w14:textId="77777777" w:rsidR="007F768C" w:rsidRDefault="007F768C" w:rsidP="006C0371">
      <w:pPr>
        <w:pStyle w:val="RptBullet-Level1"/>
      </w:pPr>
      <w:r>
        <w:t xml:space="preserve">In the former </w:t>
      </w:r>
      <w:r w:rsidRPr="00F16AEE">
        <w:t xml:space="preserve">waste </w:t>
      </w:r>
      <w:r>
        <w:t>dumping</w:t>
      </w:r>
      <w:r w:rsidRPr="00F16AEE">
        <w:t xml:space="preserve"> area</w:t>
      </w:r>
      <w:r>
        <w:t xml:space="preserve"> in Area 2:</w:t>
      </w:r>
    </w:p>
    <w:p w14:paraId="615DD2AE" w14:textId="77777777" w:rsidR="007F768C" w:rsidRDefault="007F768C" w:rsidP="006C0371">
      <w:pPr>
        <w:pStyle w:val="RptBullet-Level2"/>
      </w:pPr>
      <w:r>
        <w:t xml:space="preserve">Sample EX-B-18-1-5 from 1 to 5 ft bgs exceeded an EISC (soil biota and plants) for GRO, DRO, and lead (this sample also exceeds human health soil screening levels for GRO, heavy oils, and cPAHs, see Section </w:t>
      </w:r>
      <w:r>
        <w:fldChar w:fldCharType="begin"/>
      </w:r>
      <w:r>
        <w:instrText xml:space="preserve"> REF _Ref45374191 \r \h </w:instrText>
      </w:r>
      <w:r>
        <w:fldChar w:fldCharType="separate"/>
      </w:r>
      <w:r>
        <w:t>4.1.3</w:t>
      </w:r>
      <w:r>
        <w:fldChar w:fldCharType="end"/>
      </w:r>
      <w:r>
        <w:t>)</w:t>
      </w:r>
    </w:p>
    <w:p w14:paraId="676848E1" w14:textId="77777777" w:rsidR="007F768C" w:rsidRDefault="007F768C" w:rsidP="006C0371">
      <w:pPr>
        <w:pStyle w:val="RptBullet-Level2"/>
      </w:pPr>
      <w:r>
        <w:t>Sample EX-B-18-1-5 from 5 to 10 ft bgs in exceeded an EISC (plants) for lead</w:t>
      </w:r>
    </w:p>
    <w:p w14:paraId="26C0E09E" w14:textId="77777777" w:rsidR="007F768C" w:rsidRDefault="007F768C" w:rsidP="006C0371">
      <w:pPr>
        <w:pStyle w:val="RptBullet-Level2"/>
      </w:pPr>
      <w:r>
        <w:t>Sample EX-B-22-5-10 from 5 to 10 ft bgs exceeded an EISC (soil biota) for DRO</w:t>
      </w:r>
    </w:p>
    <w:p w14:paraId="5075D10F" w14:textId="77777777" w:rsidR="007F768C" w:rsidRDefault="007F768C" w:rsidP="006C0371">
      <w:pPr>
        <w:pStyle w:val="RptBullet-Level2"/>
      </w:pPr>
      <w:r>
        <w:t>Sample EX-SS-25 from 0 to 0.5 ft bgs exceeded an EISC (plants) for lead</w:t>
      </w:r>
    </w:p>
    <w:p w14:paraId="52E2071D" w14:textId="77777777" w:rsidR="007F768C" w:rsidRDefault="007F768C" w:rsidP="006C0371">
      <w:pPr>
        <w:pStyle w:val="RptBullet-Level2"/>
      </w:pPr>
      <w:r>
        <w:t>Sample EX-B-23-10-15 from 10 to 15 ft bgs in Area 2 exceeded two EISCs (plants and wildlife) for lead</w:t>
      </w:r>
    </w:p>
    <w:p w14:paraId="4437B522" w14:textId="77777777" w:rsidR="007F768C" w:rsidRDefault="007F768C" w:rsidP="006C0371">
      <w:pPr>
        <w:pStyle w:val="RptBullet-Level1"/>
      </w:pPr>
      <w:r>
        <w:t>In the l</w:t>
      </w:r>
      <w:r w:rsidRPr="007C53F9">
        <w:t>andslide debris dumping area</w:t>
      </w:r>
      <w:r>
        <w:t xml:space="preserve"> in Area 3: </w:t>
      </w:r>
    </w:p>
    <w:p w14:paraId="282CABC6" w14:textId="77777777" w:rsidR="007F768C" w:rsidRDefault="007F768C" w:rsidP="006C0371">
      <w:pPr>
        <w:pStyle w:val="RptBullet-Level2"/>
      </w:pPr>
      <w:r>
        <w:t xml:space="preserve">Sample EX-B-35-5-10 from 5 to 10 ft bgs exceeded an EISC (soil biota) for GRO and DRO (this sample also exceeds human health soil screening levels for GRO and DRO, see Section </w:t>
      </w:r>
      <w:r>
        <w:fldChar w:fldCharType="begin"/>
      </w:r>
      <w:r>
        <w:instrText xml:space="preserve"> REF _Ref45374191 \r \h </w:instrText>
      </w:r>
      <w:r>
        <w:fldChar w:fldCharType="separate"/>
      </w:r>
      <w:r>
        <w:t>4.1.3</w:t>
      </w:r>
      <w:r>
        <w:fldChar w:fldCharType="end"/>
      </w:r>
      <w:r>
        <w:t>)</w:t>
      </w:r>
    </w:p>
    <w:p w14:paraId="54C69D46" w14:textId="77777777" w:rsidR="007F768C" w:rsidRDefault="007F768C" w:rsidP="006C0371">
      <w:pPr>
        <w:pStyle w:val="RptBullet-Level1"/>
      </w:pPr>
      <w:r>
        <w:t xml:space="preserve">At the location of former burn piles in Area 3: </w:t>
      </w:r>
    </w:p>
    <w:p w14:paraId="628C782B" w14:textId="77777777" w:rsidR="007F768C" w:rsidRDefault="007F768C" w:rsidP="006C0371">
      <w:pPr>
        <w:pStyle w:val="RptBullet-Level2"/>
      </w:pPr>
      <w:r>
        <w:t>Sample EX-B-32-0-1 from 0 to 1 ft bgs exceeded the EISC (defined at the natural background value) for total dioxins/furans</w:t>
      </w:r>
    </w:p>
    <w:p w14:paraId="41EAFF7C" w14:textId="23514A5A" w:rsidR="007F768C" w:rsidRDefault="007F768C" w:rsidP="006C0371">
      <w:pPr>
        <w:pStyle w:val="RptBullet-Level2"/>
      </w:pPr>
      <w:r>
        <w:t xml:space="preserve">Sample EX-B-41-0-1 from 0 to 1 ft bgs exceeded the EISC (defined at the natural background value) for total dioxins/furans (this sample also exceeds human health soil screening levels for total dioxins/furans, see Section </w:t>
      </w:r>
      <w:r>
        <w:fldChar w:fldCharType="begin"/>
      </w:r>
      <w:r>
        <w:instrText xml:space="preserve"> REF _Ref45374156 \r \h </w:instrText>
      </w:r>
      <w:r w:rsidR="006C0371">
        <w:instrText xml:space="preserve"> \* MERGEFORMAT </w:instrText>
      </w:r>
      <w:r>
        <w:fldChar w:fldCharType="separate"/>
      </w:r>
      <w:r>
        <w:t>4.1.3</w:t>
      </w:r>
      <w:r>
        <w:fldChar w:fldCharType="end"/>
      </w:r>
      <w:r>
        <w:t>).</w:t>
      </w:r>
    </w:p>
    <w:p w14:paraId="1F17F5A2" w14:textId="77777777" w:rsidR="007F768C" w:rsidRPr="00F7698F" w:rsidRDefault="007F768C" w:rsidP="006C0371">
      <w:pPr>
        <w:pStyle w:val="RptBodyText"/>
      </w:pPr>
      <w:r w:rsidRPr="00F965A1">
        <w:t>The EISCs are proposed as Site cleanup levels for COECs (</w:t>
      </w:r>
      <w:r w:rsidRPr="001725AD">
        <w:t xml:space="preserve">WAC </w:t>
      </w:r>
      <w:r w:rsidRPr="00CC455D">
        <w:t>173-340-7493(3) and Ecology 2017)</w:t>
      </w:r>
      <w:r w:rsidRPr="009551F1">
        <w:t xml:space="preserve"> as further </w:t>
      </w:r>
      <w:r w:rsidRPr="00F46593">
        <w:t xml:space="preserve">discussed in Section 7. </w:t>
      </w:r>
    </w:p>
    <w:p w14:paraId="753708D0" w14:textId="77777777" w:rsidR="007F768C" w:rsidRDefault="007F768C" w:rsidP="006C0371">
      <w:pPr>
        <w:pStyle w:val="RptHeading-Level1"/>
      </w:pPr>
      <w:bookmarkStart w:id="188" w:name="_Ref45269050"/>
      <w:bookmarkStart w:id="189" w:name="_Ref45271951"/>
      <w:bookmarkStart w:id="190" w:name="_Toc59019861"/>
      <w:bookmarkStart w:id="191" w:name="_Toc98847366"/>
      <w:r>
        <w:t>Conceptual Site Model</w:t>
      </w:r>
      <w:bookmarkEnd w:id="188"/>
      <w:bookmarkEnd w:id="189"/>
      <w:bookmarkEnd w:id="190"/>
      <w:bookmarkEnd w:id="191"/>
      <w:r>
        <w:t xml:space="preserve"> </w:t>
      </w:r>
    </w:p>
    <w:p w14:paraId="5B59FFE8" w14:textId="322B9DAE" w:rsidR="007F768C" w:rsidRDefault="007F768C" w:rsidP="006C0371">
      <w:pPr>
        <w:pStyle w:val="RptBodyText"/>
      </w:pPr>
      <w:r>
        <w:t xml:space="preserve">This section presents a CSM for the Site based on the information and data collected during the RI and prior investigations (Exponent 2019). The Site is currently undeveloped in the western forested portion (Area 4), and largely cleared in the eastern portion (Areas 1, 2, and 3). Areas 1, 2, and 3 were cleared of smaller vegetation in 2019 in preparation for the RI field work. In the southern portion of the Site, a gravel lot is present along the southern property boundary and is used for overflow parking for the Skokomish Tribe Community Center. </w:t>
      </w:r>
      <w:r w:rsidRPr="00A048E0">
        <w:t xml:space="preserve">The </w:t>
      </w:r>
      <w:r w:rsidR="00DC7C07">
        <w:t>Skokomish Tribe</w:t>
      </w:r>
      <w:r w:rsidRPr="00A048E0">
        <w:t xml:space="preserve"> intends to develop the Site as part of a master plan that includes construction of </w:t>
      </w:r>
      <w:r>
        <w:t xml:space="preserve">a skate park, basketball court, workout facility, and accompanying </w:t>
      </w:r>
      <w:r w:rsidRPr="00A048E0">
        <w:t>roads, parking lots, and paths</w:t>
      </w:r>
      <w:r>
        <w:t xml:space="preserve"> (</w:t>
      </w:r>
      <w:r w:rsidRPr="00A048E0">
        <w:t xml:space="preserve">Figure </w:t>
      </w:r>
      <w:r>
        <w:t>5)</w:t>
      </w:r>
      <w:r w:rsidRPr="00A048E0">
        <w:t xml:space="preserve">. </w:t>
      </w:r>
      <w:r>
        <w:t>Surrounding properties are residential (mobile home park) to the north, commercial (the Skokomish Tribe Community Center) to the south, and undeveloped partially forested land to the west. Highway 101 borders the Site to the east. These land uses are expected to continue for the foreseeable future.</w:t>
      </w:r>
    </w:p>
    <w:p w14:paraId="26BB5A4C" w14:textId="77777777" w:rsidR="007F768C" w:rsidRPr="00664534" w:rsidRDefault="007F768C" w:rsidP="006C0371">
      <w:pPr>
        <w:pStyle w:val="RptBodyText"/>
      </w:pPr>
      <w:r>
        <w:t>B</w:t>
      </w:r>
      <w:r w:rsidRPr="00664534">
        <w:t xml:space="preserve">ased </w:t>
      </w:r>
      <w:r>
        <w:t xml:space="preserve">on these current and potential future </w:t>
      </w:r>
      <w:r w:rsidRPr="00664534">
        <w:t>use</w:t>
      </w:r>
      <w:r>
        <w:t>s, this RI evaluates unrestricted land use and beneficial use of groundwater as a drinking water source</w:t>
      </w:r>
      <w:r w:rsidRPr="0055739B">
        <w:t xml:space="preserve">. </w:t>
      </w:r>
      <w:r>
        <w:t>The following sections discuss contaminant sources, receptors, and p</w:t>
      </w:r>
      <w:r w:rsidRPr="00664534">
        <w:t xml:space="preserve">otentially complete </w:t>
      </w:r>
      <w:r>
        <w:t xml:space="preserve">human health </w:t>
      </w:r>
      <w:r w:rsidRPr="00664534">
        <w:t>exposure pathways that have been identified for Site-related contaminants.</w:t>
      </w:r>
      <w:r>
        <w:t xml:space="preserve"> A discussion of potential ecological receptors and exposure pathways is presented in the TEE (Section 5). </w:t>
      </w:r>
    </w:p>
    <w:p w14:paraId="7C83E87A" w14:textId="77777777" w:rsidR="007F768C" w:rsidRDefault="007F768C" w:rsidP="006C0371">
      <w:pPr>
        <w:pStyle w:val="RptHeading-Level2"/>
      </w:pPr>
      <w:bookmarkStart w:id="192" w:name="_Toc59019862"/>
      <w:bookmarkStart w:id="193" w:name="_Toc98847367"/>
      <w:bookmarkStart w:id="194" w:name="_Toc303238284"/>
      <w:r>
        <w:t>Soil Contaminant Sources</w:t>
      </w:r>
      <w:bookmarkEnd w:id="192"/>
      <w:bookmarkEnd w:id="193"/>
    </w:p>
    <w:p w14:paraId="6B7A8C79" w14:textId="77777777" w:rsidR="007F768C" w:rsidRDefault="007F768C" w:rsidP="006C0371">
      <w:pPr>
        <w:pStyle w:val="RptBodyText"/>
      </w:pPr>
      <w:r w:rsidRPr="0082101B">
        <w:t>Petroleum hydrocarbons</w:t>
      </w:r>
      <w:r>
        <w:t>, lead,</w:t>
      </w:r>
      <w:r w:rsidRPr="0082101B">
        <w:t xml:space="preserve"> and dioxins/furans are the primary Site-related CO</w:t>
      </w:r>
      <w:r>
        <w:t>I</w:t>
      </w:r>
      <w:r w:rsidRPr="0082101B">
        <w:t>s</w:t>
      </w:r>
      <w:r>
        <w:t xml:space="preserve"> in soil (Section 4.1.3)</w:t>
      </w:r>
      <w:r w:rsidRPr="0082101B">
        <w:t xml:space="preserve">. </w:t>
      </w:r>
      <w:r>
        <w:t xml:space="preserve">Impacts attributable to historical activities were detected at various locations in Areas 1, 2, and 3. Historical site evaluation and RI data </w:t>
      </w:r>
      <w:r w:rsidRPr="009B7EFC">
        <w:t xml:space="preserve">indicate that potential sources are </w:t>
      </w:r>
      <w:r>
        <w:t xml:space="preserve">historical management of </w:t>
      </w:r>
      <w:r w:rsidRPr="009B7EFC">
        <w:t xml:space="preserve">fluids used in vehicle maintenance including </w:t>
      </w:r>
      <w:r>
        <w:t xml:space="preserve">petroleum products stored in former USTs (Area 1), waste and material dumping (Area 2), fill (Areas 1, 2, and 3), exterior lead-based paint on the former maintenance building demolished in 2001 (Area 1), landslide debris brought onto the property (Area 3), and former debris burning (Area 3). </w:t>
      </w:r>
    </w:p>
    <w:p w14:paraId="576BFD69" w14:textId="77777777" w:rsidR="007F768C" w:rsidRDefault="007F768C" w:rsidP="006C0371">
      <w:pPr>
        <w:pStyle w:val="RptHeading-Level2"/>
      </w:pPr>
      <w:bookmarkStart w:id="195" w:name="_Toc59019863"/>
      <w:bookmarkStart w:id="196" w:name="_Toc98847368"/>
      <w:r>
        <w:t>Groundwater Contaminant Sources</w:t>
      </w:r>
      <w:bookmarkEnd w:id="195"/>
      <w:bookmarkEnd w:id="196"/>
    </w:p>
    <w:p w14:paraId="64E57DEF" w14:textId="77777777" w:rsidR="007F768C" w:rsidRDefault="007F768C" w:rsidP="006C0371">
      <w:pPr>
        <w:pStyle w:val="RptBodyText"/>
      </w:pPr>
      <w:bookmarkStart w:id="197" w:name="_Toc303238285"/>
      <w:bookmarkEnd w:id="194"/>
      <w:r w:rsidRPr="00C84DE1">
        <w:t xml:space="preserve">Groundwater </w:t>
      </w:r>
      <w:r>
        <w:t>is present at</w:t>
      </w:r>
      <w:r w:rsidRPr="00C84DE1">
        <w:t xml:space="preserve"> the Site at depths between </w:t>
      </w:r>
      <w:r>
        <w:t>about 19</w:t>
      </w:r>
      <w:r w:rsidRPr="00F15AD3">
        <w:t xml:space="preserve"> and </w:t>
      </w:r>
      <w:r>
        <w:t>36</w:t>
      </w:r>
      <w:r w:rsidRPr="00F15AD3">
        <w:t xml:space="preserve"> ft bgs</w:t>
      </w:r>
      <w:r>
        <w:t>, and w</w:t>
      </w:r>
      <w:r w:rsidRPr="00F15AD3">
        <w:t>ater level measurements indicate that groundwater flows in an easterly to southeasterly direction</w:t>
      </w:r>
      <w:r>
        <w:t xml:space="preserve"> (Section 4.2.1). Groundwater within a 1-mile radius of the Site is used for domestic purposes, which may include drinking water, irrigation, and animal watering. Private wells on and in the vicinity of the Site include a well in the mobile home park to the north and upgradient of the Site installed in 1970, and a well to the south of the Site installed as part of the Tribe’s Community Center development in 2016 (Section 2.2). RI results demonstrate that trace concentrations of Site-related constituents (petroleum hydrocarbons and VOCs in the area of historical WSDOT operations in the vicinity of the former vehicle maintenance building) are substantially below drinking water standards, are limited to a localized area on Site, and are not migrating off of the property (Section 4.2.3). Site groundwater ultimately discharges to Hood Canal less than 1 mile east of the Site, and this beneficial use is similarly unaffected given the trace concentrations that are localized onsite.</w:t>
      </w:r>
    </w:p>
    <w:p w14:paraId="531D1D07" w14:textId="77777777" w:rsidR="007F768C" w:rsidRDefault="007F768C" w:rsidP="006C0371">
      <w:pPr>
        <w:pStyle w:val="RptHeading-Level2"/>
      </w:pPr>
      <w:bookmarkStart w:id="198" w:name="_Toc59019864"/>
      <w:bookmarkStart w:id="199" w:name="_Toc98847369"/>
      <w:r>
        <w:t>Receptors</w:t>
      </w:r>
      <w:bookmarkEnd w:id="197"/>
      <w:bookmarkEnd w:id="198"/>
      <w:bookmarkEnd w:id="199"/>
    </w:p>
    <w:p w14:paraId="1EEF8244" w14:textId="77777777" w:rsidR="007F768C" w:rsidRDefault="007F768C" w:rsidP="006C0371">
      <w:pPr>
        <w:pStyle w:val="RptBodyText"/>
      </w:pPr>
      <w:r>
        <w:rPr>
          <w:b/>
          <w:bCs/>
        </w:rPr>
        <w:t xml:space="preserve">Soil. </w:t>
      </w:r>
      <w:r>
        <w:t>In the Site’s current state, po</w:t>
      </w:r>
      <w:r w:rsidRPr="00664534">
        <w:t xml:space="preserve">tential receptors for Site-related contaminants </w:t>
      </w:r>
      <w:r>
        <w:t xml:space="preserve">in soil include visitors using overflow parking for the Community Center, commercial workers who maintain and utilize the Site for storage, and construction workers who are expected to redevelop the Site in the future. In addition, trespassers may enter the Site since access is not fully restricted and the Site borders residential areas. Residents are also considered to be potential future receptors. Although Site development plans involve continued use of the property, residential use is not prohibited. </w:t>
      </w:r>
    </w:p>
    <w:p w14:paraId="656533AE" w14:textId="77777777" w:rsidR="007F768C" w:rsidRDefault="007F768C" w:rsidP="006C0371">
      <w:pPr>
        <w:pStyle w:val="RptBodyText"/>
      </w:pPr>
      <w:r>
        <w:rPr>
          <w:b/>
          <w:bCs/>
        </w:rPr>
        <w:t xml:space="preserve">Groundwater. </w:t>
      </w:r>
      <w:r>
        <w:t xml:space="preserve">In the Site’s current state, potential receptors for Site-related contaminants in groundwater include Site commercial workers (if a new well is constructed on Site) and potential future Site residents. </w:t>
      </w:r>
      <w:r w:rsidRPr="006B3385">
        <w:t xml:space="preserve">Construction worker </w:t>
      </w:r>
      <w:r>
        <w:t xml:space="preserve">exposure </w:t>
      </w:r>
      <w:r w:rsidRPr="006B3385">
        <w:t>to groundwater is not expected to occur since groundwater is encountered greater than 15 ft bgs</w:t>
      </w:r>
      <w:r>
        <w:t>. Off-site residents and visitors at the Community Center using extracted water for domestic purposes are not considered to be potential receptors because only trace groundwater impacts were observed in a localized area on-Site and no off-Site impacts as evidenced by water quality in downgradient Site wells. Trace concentrations include petroleum hydrocarbons (DRO) and VOCs (toluene and TCE) detected in groundwater on Site at very low levels below analytical laboratory reporting limits and substantially below health-based drinking water standards.</w:t>
      </w:r>
    </w:p>
    <w:p w14:paraId="767C9743" w14:textId="77777777" w:rsidR="007F768C" w:rsidRDefault="007F768C" w:rsidP="006C0371">
      <w:pPr>
        <w:pStyle w:val="RptBodyText"/>
      </w:pPr>
      <w:r w:rsidRPr="00664534">
        <w:t xml:space="preserve">This identification of </w:t>
      </w:r>
      <w:r>
        <w:t xml:space="preserve">current and potential future </w:t>
      </w:r>
      <w:r w:rsidRPr="00664534">
        <w:t xml:space="preserve">receptors is based on the land </w:t>
      </w:r>
      <w:r>
        <w:t xml:space="preserve">and water </w:t>
      </w:r>
      <w:r w:rsidRPr="00664534">
        <w:t>use</w:t>
      </w:r>
      <w:r>
        <w:t>s</w:t>
      </w:r>
      <w:r w:rsidRPr="00664534">
        <w:t xml:space="preserve"> described above</w:t>
      </w:r>
      <w:r>
        <w:t xml:space="preserve"> and Site reconnaissance during the RI</w:t>
      </w:r>
      <w:r w:rsidRPr="00664534">
        <w:t xml:space="preserve">. </w:t>
      </w:r>
    </w:p>
    <w:p w14:paraId="24C3EB9D" w14:textId="77777777" w:rsidR="007F768C" w:rsidRDefault="007F768C" w:rsidP="006C0371">
      <w:pPr>
        <w:pStyle w:val="RptHeading-Level2"/>
      </w:pPr>
      <w:bookmarkStart w:id="200" w:name="_Toc303238286"/>
      <w:bookmarkStart w:id="201" w:name="_Toc59019865"/>
      <w:bookmarkStart w:id="202" w:name="_Toc98847370"/>
      <w:r>
        <w:t>Potentially Complete Exposure Pathways</w:t>
      </w:r>
      <w:bookmarkEnd w:id="200"/>
      <w:bookmarkEnd w:id="201"/>
      <w:bookmarkEnd w:id="202"/>
    </w:p>
    <w:p w14:paraId="0B32ACB2" w14:textId="77777777" w:rsidR="007F768C" w:rsidRPr="001172F8" w:rsidRDefault="007F768C" w:rsidP="006C0371">
      <w:pPr>
        <w:pStyle w:val="RptBodyText"/>
      </w:pPr>
      <w:r w:rsidRPr="001172F8">
        <w:t xml:space="preserve">An exposure pathway is defined by four elements: </w:t>
      </w:r>
    </w:p>
    <w:p w14:paraId="3217E728" w14:textId="77777777" w:rsidR="007F768C" w:rsidRPr="001172F8" w:rsidRDefault="007F768C" w:rsidP="006C0371">
      <w:pPr>
        <w:pStyle w:val="RptBullet-Level1"/>
      </w:pPr>
      <w:r w:rsidRPr="001172F8">
        <w:t>A source and mechanism of constit</w:t>
      </w:r>
      <w:r>
        <w:t>uent release to the environment</w:t>
      </w:r>
    </w:p>
    <w:p w14:paraId="5A0BAFBD" w14:textId="77777777" w:rsidR="007F768C" w:rsidRPr="001172F8" w:rsidRDefault="007F768C" w:rsidP="006C0371">
      <w:pPr>
        <w:pStyle w:val="RptBullet-Level1"/>
      </w:pPr>
      <w:r w:rsidRPr="001172F8">
        <w:t>An environmental transport medi</w:t>
      </w:r>
      <w:r>
        <w:t>um for the released constituent</w:t>
      </w:r>
    </w:p>
    <w:p w14:paraId="0D61C712" w14:textId="77777777" w:rsidR="007F768C" w:rsidRPr="001172F8" w:rsidRDefault="007F768C" w:rsidP="006C0371">
      <w:pPr>
        <w:pStyle w:val="RptBullet-Level1"/>
      </w:pPr>
      <w:r w:rsidRPr="001172F8">
        <w:t xml:space="preserve">A point of potential contact with the impacted </w:t>
      </w:r>
      <w:r>
        <w:t>medium (the exposure point)</w:t>
      </w:r>
    </w:p>
    <w:p w14:paraId="7B1EB61B" w14:textId="77777777" w:rsidR="007F768C" w:rsidRPr="001172F8" w:rsidRDefault="007F768C" w:rsidP="006C0371">
      <w:pPr>
        <w:pStyle w:val="RptBullet-Level1"/>
      </w:pPr>
      <w:r w:rsidRPr="001172F8">
        <w:t>An exposure route at the exposure point.</w:t>
      </w:r>
    </w:p>
    <w:p w14:paraId="1A4D9DBB" w14:textId="77777777" w:rsidR="007F768C" w:rsidRDefault="007F768C" w:rsidP="006C0371">
      <w:pPr>
        <w:pStyle w:val="RptBodyText"/>
      </w:pPr>
      <w:r w:rsidRPr="001172F8">
        <w:t xml:space="preserve">The objective of the exposure assessment is to estimate the types and magnitudes of </w:t>
      </w:r>
      <w:r>
        <w:t>hypothetical</w:t>
      </w:r>
      <w:r w:rsidRPr="001172F8">
        <w:t xml:space="preserve"> exposures to impacted media at the Site. Exposure occurs when released constituents are transported to and contact a receptor. Without exposure, there is no risk</w:t>
      </w:r>
      <w:r>
        <w:t xml:space="preserve">.  </w:t>
      </w:r>
    </w:p>
    <w:p w14:paraId="2EA8DE36" w14:textId="77777777" w:rsidR="007F768C" w:rsidRDefault="007F768C" w:rsidP="006C0371">
      <w:pPr>
        <w:pStyle w:val="RptBodyText"/>
      </w:pPr>
      <w:r>
        <w:t>The following potentially complete exposure pathways have been identified for Site-related constituents and potential receptors:</w:t>
      </w:r>
    </w:p>
    <w:p w14:paraId="1F6177D7" w14:textId="77777777" w:rsidR="007F768C" w:rsidRDefault="007F768C" w:rsidP="006C0371">
      <w:pPr>
        <w:pStyle w:val="RptBullet-Level1"/>
      </w:pPr>
      <w:r>
        <w:t xml:space="preserve">Incidental ingestion of and </w:t>
      </w:r>
      <w:r w:rsidRPr="00465D3D">
        <w:t>dermal contact with constituents in</w:t>
      </w:r>
      <w:r>
        <w:t xml:space="preserve"> Site</w:t>
      </w:r>
      <w:r w:rsidRPr="00465D3D">
        <w:t xml:space="preserve"> </w:t>
      </w:r>
      <w:r>
        <w:t xml:space="preserve">soil </w:t>
      </w:r>
      <w:r w:rsidRPr="00465D3D">
        <w:t>by current and f</w:t>
      </w:r>
      <w:r>
        <w:t>uture commercial workers, construction workers, and trespassers</w:t>
      </w:r>
    </w:p>
    <w:p w14:paraId="793F2BC0" w14:textId="77777777" w:rsidR="007F768C" w:rsidRDefault="007F768C" w:rsidP="006C0371">
      <w:pPr>
        <w:pStyle w:val="RptBullet-Level1"/>
      </w:pPr>
      <w:r>
        <w:t>Ingestion</w:t>
      </w:r>
      <w:r w:rsidRPr="009B6A13">
        <w:t xml:space="preserve"> of</w:t>
      </w:r>
      <w:r>
        <w:t xml:space="preserve"> and</w:t>
      </w:r>
      <w:r w:rsidRPr="009B6A13">
        <w:t xml:space="preserve"> dermal contact with</w:t>
      </w:r>
      <w:r>
        <w:t xml:space="preserve"> constituents in Site groundwater </w:t>
      </w:r>
      <w:r w:rsidRPr="009B6A13">
        <w:t>by</w:t>
      </w:r>
      <w:r>
        <w:t xml:space="preserve"> future commercial workers, and potential future adult and child residents. </w:t>
      </w:r>
    </w:p>
    <w:p w14:paraId="130B6365" w14:textId="77777777" w:rsidR="007F768C" w:rsidRDefault="007F768C" w:rsidP="006C0371">
      <w:pPr>
        <w:pStyle w:val="RptBodyText"/>
      </w:pPr>
      <w:r>
        <w:t xml:space="preserve">Inhalation is not included as an exposure route for groundwater and soil based on characterization findings presented in this RI. Only two volatile chemicals were detected at low and trace levels below analytical laboratory reporting limits in groundwater in a localized area of the Site. Soil impacts are primarily non-volatile, aged heavy petroleum, PAHs, and dioxins/furans. </w:t>
      </w:r>
    </w:p>
    <w:p w14:paraId="36F0E25F" w14:textId="77777777" w:rsidR="007F768C" w:rsidRDefault="007F768C" w:rsidP="007E27F5">
      <w:pPr>
        <w:pStyle w:val="RptHeading-Level1"/>
      </w:pPr>
      <w:bookmarkStart w:id="203" w:name="_Toc59019866"/>
      <w:bookmarkStart w:id="204" w:name="_Toc98847371"/>
      <w:r w:rsidRPr="00267823">
        <w:t>Proposed Cleanup Standards</w:t>
      </w:r>
      <w:bookmarkEnd w:id="203"/>
      <w:bookmarkEnd w:id="204"/>
    </w:p>
    <w:p w14:paraId="522937B1" w14:textId="773D609F" w:rsidR="007F768C" w:rsidRDefault="007F768C" w:rsidP="007E27F5">
      <w:pPr>
        <w:pStyle w:val="RptBodyText"/>
      </w:pPr>
      <w:r>
        <w:t>This section identifies proposed soil cleanup standards for the Site protective of human health and ecological receptors. Note that no groundwater COPCs were identified (Section</w:t>
      </w:r>
      <w:r w:rsidR="0090784B">
        <w:t> </w:t>
      </w:r>
      <w:r>
        <w:t xml:space="preserve">4.2.3), therefore cleanup standards are not proposed for groundwater. </w:t>
      </w:r>
    </w:p>
    <w:p w14:paraId="124A71B2" w14:textId="77777777" w:rsidR="007F768C" w:rsidRPr="002F6F56" w:rsidRDefault="007F768C" w:rsidP="007E27F5">
      <w:pPr>
        <w:pStyle w:val="RptBodyText"/>
      </w:pPr>
      <w:r>
        <w:t xml:space="preserve">The proposed cleanup standards for soil are consistent with the requirements of MTCA and </w:t>
      </w:r>
      <w:r w:rsidRPr="002F6F56">
        <w:t>WAC 173-340-700(3), which states that cleanup standards “…consist of the following: (a) cleanup levels for hazardous substances present at the site; (b) the location where these cleanup levels must be met (point of compliance); and (c) other regulatory requirements that apply to the site because of the type of action and/or location of the site (‘applicable state and federal laws’).” The elements of the proposed cleanup standards are discussed below.</w:t>
      </w:r>
    </w:p>
    <w:p w14:paraId="4CF87ED3" w14:textId="77777777" w:rsidR="007F768C" w:rsidRPr="002B1349" w:rsidRDefault="007F768C" w:rsidP="007E27F5">
      <w:pPr>
        <w:pStyle w:val="RptHeading-Level2"/>
      </w:pPr>
      <w:bookmarkStart w:id="205" w:name="_Toc59019867"/>
      <w:bookmarkStart w:id="206" w:name="_Toc98847372"/>
      <w:r>
        <w:t>Cleanup Levels</w:t>
      </w:r>
      <w:bookmarkEnd w:id="205"/>
      <w:bookmarkEnd w:id="206"/>
    </w:p>
    <w:p w14:paraId="7426313A" w14:textId="7CCE20E1" w:rsidR="007F768C" w:rsidRDefault="007F768C" w:rsidP="007E27F5">
      <w:pPr>
        <w:pStyle w:val="RptBodyText"/>
      </w:pPr>
      <w:r>
        <w:t xml:space="preserve">Proposed soil cleanup levels are based on the current and potential future receptors and exposure pathways for human health and the environment presented in Sections 5 and </w:t>
      </w:r>
      <w:r>
        <w:fldChar w:fldCharType="begin"/>
      </w:r>
      <w:r>
        <w:instrText xml:space="preserve"> REF _Ref45269050 \r \h  \* MERGEFORMAT </w:instrText>
      </w:r>
      <w:r>
        <w:fldChar w:fldCharType="separate"/>
      </w:r>
      <w:r>
        <w:t>6</w:t>
      </w:r>
      <w:r>
        <w:fldChar w:fldCharType="end"/>
      </w:r>
      <w:r>
        <w:t xml:space="preserve">, and ARARs discussed below. Proposed soil cleanup levels are conservative (protective), representing the most stringent of the potentially relevant and appropriate criteria for the Site. For each COPC, the proposed cleanup level is selected as the lowest of the human health soil screening level described in Section 3.7.1 and the EISC for ecological receptors. Proposed cleanup levels are summarized in Table 21. </w:t>
      </w:r>
    </w:p>
    <w:p w14:paraId="783B7055" w14:textId="77777777" w:rsidR="007F768C" w:rsidRDefault="007F768C" w:rsidP="007E27F5">
      <w:pPr>
        <w:pStyle w:val="RptHeading-Level2"/>
      </w:pPr>
      <w:bookmarkStart w:id="207" w:name="_Toc59019868"/>
      <w:bookmarkStart w:id="208" w:name="_Toc98847373"/>
      <w:r>
        <w:t>Point of Compliance</w:t>
      </w:r>
      <w:bookmarkEnd w:id="207"/>
      <w:bookmarkEnd w:id="208"/>
    </w:p>
    <w:p w14:paraId="1B516D3C" w14:textId="77777777" w:rsidR="007F768C" w:rsidRPr="00892944" w:rsidRDefault="007F768C" w:rsidP="007E27F5">
      <w:pPr>
        <w:pStyle w:val="RptBodyText"/>
      </w:pPr>
      <w:r>
        <w:t>MTCA’s standard point of compliance is proposed for soil, which is throughout the Site from ground surface to a depth of 15 feet bgs in accordance with WAC 173-340-740(6)(d) and WAC 173-340-7490(4)(b). According to MTCA, this represents</w:t>
      </w:r>
      <w:r w:rsidRPr="008C369C">
        <w:t xml:space="preserve"> a reasonable estimate of the depth of soil that could be excavated and distributed at the soil surface as a result of site development activities.</w:t>
      </w:r>
    </w:p>
    <w:p w14:paraId="1DD8501F" w14:textId="77777777" w:rsidR="007F768C" w:rsidRDefault="007F768C" w:rsidP="007E27F5">
      <w:pPr>
        <w:pStyle w:val="RptHeading-Level2"/>
      </w:pPr>
      <w:bookmarkStart w:id="209" w:name="_Toc59019869"/>
      <w:bookmarkStart w:id="210" w:name="_Toc98847374"/>
      <w:r w:rsidRPr="00F965A1">
        <w:t>Potentially Applicable</w:t>
      </w:r>
      <w:r>
        <w:t xml:space="preserve"> or Relevant and Appropriate Requirements</w:t>
      </w:r>
      <w:bookmarkEnd w:id="209"/>
      <w:bookmarkEnd w:id="210"/>
    </w:p>
    <w:p w14:paraId="0E866704" w14:textId="6AF939C2" w:rsidR="007F768C" w:rsidRDefault="007F768C" w:rsidP="007E27F5">
      <w:pPr>
        <w:pStyle w:val="RptBodyText"/>
      </w:pPr>
      <w:r>
        <w:t xml:space="preserve">A preliminary list of ARARs is provided in Table 20. These ARARs address regulatory cleanup standards, standards of control, and other environmental requirements, criteria, or limitations established under state or federal law that specifically address a contaminant, remedial action, location, or other circumstances at a site. These potential ARARs were considered in selecting screening levels and cleanup levels for the Site. In addition, cleanup levels (Method B) incorporate ARARs.  </w:t>
      </w:r>
    </w:p>
    <w:p w14:paraId="552ACF4E" w14:textId="77777777" w:rsidR="007F768C" w:rsidRDefault="007F768C" w:rsidP="007E27F5">
      <w:pPr>
        <w:pStyle w:val="RptHeading-Level1"/>
      </w:pPr>
      <w:bookmarkStart w:id="211" w:name="_Toc59019870"/>
      <w:bookmarkStart w:id="212" w:name="_Toc98847375"/>
      <w:r>
        <w:t>Evaluation of Compliance with Proposed Cleanup Standards</w:t>
      </w:r>
      <w:bookmarkEnd w:id="211"/>
      <w:bookmarkEnd w:id="212"/>
    </w:p>
    <w:p w14:paraId="665FCEC8" w14:textId="514D88BB" w:rsidR="007F768C" w:rsidRDefault="007F768C" w:rsidP="007E27F5">
      <w:pPr>
        <w:pStyle w:val="RptBodyText"/>
      </w:pPr>
      <w:r>
        <w:t>This section presents an evaluation of RI</w:t>
      </w:r>
      <w:r w:rsidR="00BE5905">
        <w:t xml:space="preserve"> and</w:t>
      </w:r>
      <w:r w:rsidRPr="00A426A1">
        <w:rPr>
          <w:szCs w:val="24"/>
        </w:rPr>
        <w:t xml:space="preserve"> </w:t>
      </w:r>
      <w:r w:rsidR="007A3F87">
        <w:rPr>
          <w:szCs w:val="24"/>
        </w:rPr>
        <w:t>pre-RI</w:t>
      </w:r>
      <w:r w:rsidR="006809DE">
        <w:rPr>
          <w:rStyle w:val="FootnoteReference"/>
          <w:szCs w:val="24"/>
        </w:rPr>
        <w:footnoteReference w:id="17"/>
      </w:r>
      <w:r w:rsidR="007A3F87">
        <w:rPr>
          <w:szCs w:val="24"/>
        </w:rPr>
        <w:t xml:space="preserve"> </w:t>
      </w:r>
      <w:r>
        <w:rPr>
          <w:szCs w:val="24"/>
        </w:rPr>
        <w:t>soil concentrations</w:t>
      </w:r>
      <w:r w:rsidR="00BE5905">
        <w:rPr>
          <w:szCs w:val="24"/>
        </w:rPr>
        <w:t>,</w:t>
      </w:r>
      <w:r>
        <w:rPr>
          <w:szCs w:val="24"/>
        </w:rPr>
        <w:t xml:space="preserve"> and compliance </w:t>
      </w:r>
      <w:r>
        <w:t xml:space="preserve">with the proposed soil cleanup standards discussed in Section 7. These cleanup standards include proposed soil cleanup levels, MTCA’s standard point of compliance for soil, and consideration of potential ARARs. </w:t>
      </w:r>
      <w:r>
        <w:rPr>
          <w:spacing w:val="-2"/>
        </w:rPr>
        <w:t>No groundwater COPCs were identified (Section 4.2.3); therefore, cleanup standards are not proposed for groundwater.</w:t>
      </w:r>
    </w:p>
    <w:p w14:paraId="048CBAA2" w14:textId="479B20A4" w:rsidR="007F768C" w:rsidRDefault="007F768C" w:rsidP="007E27F5">
      <w:pPr>
        <w:pStyle w:val="RptBodyText"/>
      </w:pPr>
      <w:r>
        <w:t xml:space="preserve">Compliance with proposed Site soil cleanup levels is evaluated by direct sample comparison (maximum concentrations) and by MTCA’s statistical method specified in </w:t>
      </w:r>
      <w:r w:rsidRPr="00EE2B65">
        <w:t>WAC</w:t>
      </w:r>
      <w:r w:rsidR="008C08A4">
        <w:t> </w:t>
      </w:r>
      <w:r w:rsidRPr="00EE2B65">
        <w:t>173</w:t>
      </w:r>
      <w:r w:rsidR="0090784B">
        <w:noBreakHyphen/>
      </w:r>
      <w:r w:rsidRPr="00EE2B65">
        <w:t>340</w:t>
      </w:r>
      <w:r w:rsidR="0090784B">
        <w:noBreakHyphen/>
      </w:r>
      <w:r w:rsidRPr="00EE2B65">
        <w:t xml:space="preserve">740(7) </w:t>
      </w:r>
      <w:r>
        <w:t xml:space="preserve">and described in </w:t>
      </w:r>
      <w:r w:rsidRPr="00FE1762">
        <w:t>Ecology</w:t>
      </w:r>
      <w:r>
        <w:t>’s</w:t>
      </w:r>
      <w:r w:rsidRPr="00FE1762">
        <w:t xml:space="preserve"> statistical guidance (Ecology 1992)</w:t>
      </w:r>
      <w:r>
        <w:t xml:space="preserve">. First, direct comparison of sample concentrations to soil cleanup levels was completed for samples collected across the Site to a depth of 15 ft bgs (the standard point of compliance). For COPCs with maximum concentrations that exceed a proposed soil cleanup level, MTCA’s statistical method was employed to evaluate compliance. The statistical compliance evaluation is described below for COPCs that exceeded screening levels as </w:t>
      </w:r>
      <w:r w:rsidRPr="00AC4CC1">
        <w:t>discussed in Section</w:t>
      </w:r>
      <w:r w:rsidRPr="00F965A1">
        <w:t>s</w:t>
      </w:r>
      <w:r w:rsidRPr="00AC4CC1">
        <w:t xml:space="preserve"> 4 and 5.</w:t>
      </w:r>
    </w:p>
    <w:p w14:paraId="25E08283" w14:textId="0C7D6559" w:rsidR="007F768C" w:rsidRPr="007E27F5" w:rsidRDefault="007F768C" w:rsidP="007E27F5">
      <w:pPr>
        <w:pStyle w:val="RptBodyText"/>
      </w:pPr>
      <w:r w:rsidRPr="007E27F5">
        <w:rPr>
          <w:b/>
          <w:bCs/>
        </w:rPr>
        <w:t>COPCs in Compliance with Cleanup Standards</w:t>
      </w:r>
      <w:r w:rsidRPr="007E27F5">
        <w:t>. By direct comparison, heavy oils concentrations exceed soil cleanup levels in two locations (Areas 1 and 2, Figure 15) and</w:t>
      </w:r>
      <w:r w:rsidR="004F1854">
        <w:t xml:space="preserve"> </w:t>
      </w:r>
      <w:r w:rsidRPr="007E27F5">
        <w:t xml:space="preserve">cPAH concentrations exceed soil cleanup levels in one location (Area 1, Figure 17). </w:t>
      </w:r>
      <w:r w:rsidR="006B30C1">
        <w:t>A</w:t>
      </w:r>
      <w:r w:rsidR="00A07B57">
        <w:t xml:space="preserve">rsenic had </w:t>
      </w:r>
      <w:r w:rsidR="004E1963">
        <w:t>a</w:t>
      </w:r>
      <w:r w:rsidR="00A07B57">
        <w:t xml:space="preserve"> detection above soil cleanup level</w:t>
      </w:r>
      <w:r w:rsidR="004E1963">
        <w:t xml:space="preserve"> at one location (Area </w:t>
      </w:r>
      <w:r w:rsidR="002E2440">
        <w:t>3</w:t>
      </w:r>
      <w:r w:rsidR="004E1963">
        <w:t xml:space="preserve">, Figure </w:t>
      </w:r>
      <w:r w:rsidR="002E2440">
        <w:t>23</w:t>
      </w:r>
      <w:r w:rsidR="004E1963">
        <w:t>)</w:t>
      </w:r>
      <w:r w:rsidR="00A07B57">
        <w:t xml:space="preserve">. </w:t>
      </w:r>
      <w:r w:rsidRPr="007E27F5">
        <w:t>Using MTCA’s statistical method, heavy oils</w:t>
      </w:r>
      <w:r w:rsidR="00A07B57">
        <w:t xml:space="preserve">, </w:t>
      </w:r>
      <w:r w:rsidRPr="007E27F5">
        <w:t>cPAH</w:t>
      </w:r>
      <w:r w:rsidR="00AB36C9">
        <w:t>s</w:t>
      </w:r>
      <w:r w:rsidR="00A07B57">
        <w:t>, and arsenic</w:t>
      </w:r>
      <w:r w:rsidRPr="007E27F5">
        <w:t xml:space="preserve"> soil concentrations across the Site are in compliance with the proposed soil cleanup levels summarized in Table 22. </w:t>
      </w:r>
    </w:p>
    <w:p w14:paraId="30FBB521" w14:textId="27500C67" w:rsidR="007F768C" w:rsidRPr="007E27F5" w:rsidRDefault="007F768C" w:rsidP="007E27F5">
      <w:pPr>
        <w:pStyle w:val="RptBodyText"/>
      </w:pPr>
      <w:r w:rsidRPr="007E27F5">
        <w:rPr>
          <w:b/>
          <w:bCs/>
        </w:rPr>
        <w:t>COPCs Not in Compliance with Cleanup Standards.</w:t>
      </w:r>
      <w:r w:rsidRPr="007E27F5">
        <w:t xml:space="preserve"> Using direct comparison and MTCA’s statistical method, the following COPCs are not in compliance with the proposed soil cleanup levels as summarized in Table 22: GRO, DRO, lead, bis(2-chloroethyl) ether, and total dioxins/furans. Individual sampling locations that exceed one or more proposed cleanup level are shown in Figure 23.</w:t>
      </w:r>
      <w:r w:rsidRPr="002F24DF">
        <w:rPr>
          <w:vertAlign w:val="superscript"/>
        </w:rPr>
        <w:t xml:space="preserve"> </w:t>
      </w:r>
      <w:r w:rsidRPr="007E27F5">
        <w:t xml:space="preserve">As discussed in Section </w:t>
      </w:r>
      <w:r w:rsidRPr="007E27F5">
        <w:fldChar w:fldCharType="begin"/>
      </w:r>
      <w:r w:rsidRPr="007E27F5">
        <w:instrText xml:space="preserve"> REF _Ref45374156 \r \h </w:instrText>
      </w:r>
      <w:r w:rsidR="007E27F5" w:rsidRPr="007E27F5">
        <w:instrText xml:space="preserve"> \* MERGEFORMAT </w:instrText>
      </w:r>
      <w:r w:rsidRPr="007E27F5">
        <w:fldChar w:fldCharType="separate"/>
      </w:r>
      <w:r w:rsidRPr="007E27F5">
        <w:t>4.1.3</w:t>
      </w:r>
      <w:r w:rsidRPr="007E27F5">
        <w:fldChar w:fldCharType="end"/>
      </w:r>
      <w:r w:rsidRPr="007E27F5">
        <w:t>, these impacts are attributable to historical activities at various locations across Areas 1, 2, and 3 (Figure 23). Historical site evaluation and RI data indicate that potential sources are historical management of fluids used in vehicle maintenance including petroleum products stored in former USTs (Area 1), waste and material dumping (Area 2), fill (Areas 1, 2, and 3), exterior lead-based paint on the former maintenance building demolished in 2001 (Area 1), landslide debris brought onto the property (Area 3), and former debris burning (Area 3).</w:t>
      </w:r>
    </w:p>
    <w:p w14:paraId="5B3E53DC" w14:textId="77777777" w:rsidR="007E27F5" w:rsidRDefault="007E27F5" w:rsidP="00816396">
      <w:pPr>
        <w:pStyle w:val="RptBodyText"/>
        <w:sectPr w:rsidR="007E27F5" w:rsidSect="00142657">
          <w:headerReference w:type="even" r:id="rId30"/>
          <w:footerReference w:type="default" r:id="rId31"/>
          <w:headerReference w:type="first" r:id="rId32"/>
          <w:pgSz w:w="12240" w:h="15840" w:code="1"/>
          <w:pgMar w:top="1440" w:right="1440" w:bottom="1440" w:left="1440" w:header="720" w:footer="720" w:gutter="0"/>
          <w:pgNumType w:start="1"/>
          <w:cols w:space="708"/>
          <w:docGrid w:linePitch="360"/>
        </w:sectPr>
      </w:pPr>
    </w:p>
    <w:p w14:paraId="3A2FA4DC" w14:textId="7AE6CE0D" w:rsidR="003E07D6" w:rsidRDefault="007E27F5" w:rsidP="007E27F5">
      <w:pPr>
        <w:pStyle w:val="RptHeading-Level1"/>
      </w:pPr>
      <w:bookmarkStart w:id="213" w:name="_Toc98847376"/>
      <w:r w:rsidRPr="007E27F5">
        <w:t>Feasibility Study</w:t>
      </w:r>
      <w:bookmarkEnd w:id="213"/>
    </w:p>
    <w:p w14:paraId="45D4BBE3" w14:textId="3C2F7284" w:rsidR="00001269" w:rsidRDefault="00001269" w:rsidP="00001269">
      <w:pPr>
        <w:pStyle w:val="RptBodyText"/>
      </w:pPr>
      <w:r>
        <w:t xml:space="preserve">The remedial investigation identified exceedances of proposed cleanup levels for soil at the </w:t>
      </w:r>
      <w:r w:rsidR="00C1159D">
        <w:t xml:space="preserve">Site </w:t>
      </w:r>
      <w:r>
        <w:t xml:space="preserve">(Figure 23 through Figure 27, Table 23). Figure 23 depicts exploration locations where a constituent exceeds the MTCA CULs. Figures 24 through 27 depict exceedances by depth interval. </w:t>
      </w:r>
    </w:p>
    <w:p w14:paraId="3C264D68" w14:textId="223F3643" w:rsidR="00001269" w:rsidRPr="00001269" w:rsidRDefault="00176550" w:rsidP="00001269">
      <w:pPr>
        <w:pStyle w:val="RptBodyText"/>
      </w:pPr>
      <w:r>
        <w:t xml:space="preserve">The following sections present the </w:t>
      </w:r>
      <w:r w:rsidR="00C1159D">
        <w:t>FS</w:t>
      </w:r>
      <w:r>
        <w:t xml:space="preserve">, including </w:t>
      </w:r>
      <w:r w:rsidR="004422F7">
        <w:t>remedial action objectives</w:t>
      </w:r>
      <w:r w:rsidR="00995325">
        <w:t xml:space="preserve"> (RAOs)</w:t>
      </w:r>
      <w:r w:rsidR="004422F7">
        <w:t xml:space="preserve">, </w:t>
      </w:r>
      <w:r w:rsidR="00945599">
        <w:t>identification of remedial technologies and cleanup action alternatives, detailed evaluation of alternatives, and selection of a preferred alternative</w:t>
      </w:r>
      <w:r w:rsidR="007E772D">
        <w:t xml:space="preserve"> remedy for addressing CUL exceedances at the Site</w:t>
      </w:r>
      <w:r w:rsidR="00945599">
        <w:t>.</w:t>
      </w:r>
    </w:p>
    <w:p w14:paraId="0F9ACC1F" w14:textId="0211A64E" w:rsidR="00F10E0E" w:rsidRDefault="00F10E0E" w:rsidP="001D006C">
      <w:pPr>
        <w:pStyle w:val="RptHeading-Level2"/>
      </w:pPr>
      <w:bookmarkStart w:id="214" w:name="_Toc98847377"/>
      <w:r>
        <w:t>Remedial Action Objectives</w:t>
      </w:r>
      <w:bookmarkEnd w:id="214"/>
    </w:p>
    <w:p w14:paraId="7A25AE83" w14:textId="372A418E" w:rsidR="002A7C4A" w:rsidRDefault="00510B42" w:rsidP="009B0590">
      <w:pPr>
        <w:pStyle w:val="RptBodyText"/>
      </w:pPr>
      <w:r>
        <w:t xml:space="preserve">The remedial action </w:t>
      </w:r>
      <w:r w:rsidR="00AF3FC9">
        <w:t xml:space="preserve">objectives (RAOs) </w:t>
      </w:r>
      <w:r w:rsidR="009964AA">
        <w:t xml:space="preserve">at the Site </w:t>
      </w:r>
      <w:r w:rsidR="00AF3FC9">
        <w:t>are</w:t>
      </w:r>
      <w:r w:rsidR="009964AA">
        <w:t xml:space="preserve"> t</w:t>
      </w:r>
      <w:r w:rsidR="009471F5">
        <w:t xml:space="preserve">o achieve compliance with </w:t>
      </w:r>
      <w:r w:rsidR="001F1206">
        <w:t xml:space="preserve">soil </w:t>
      </w:r>
      <w:r w:rsidR="009471F5">
        <w:t>cleanup levels to</w:t>
      </w:r>
      <w:r w:rsidR="00A30A75">
        <w:t xml:space="preserve"> be</w:t>
      </w:r>
      <w:r w:rsidR="009471F5">
        <w:t xml:space="preserve"> protect</w:t>
      </w:r>
      <w:r w:rsidR="00A30A75">
        <w:t>ive of</w:t>
      </w:r>
      <w:r w:rsidR="009471F5">
        <w:t xml:space="preserve"> human health and the environment</w:t>
      </w:r>
      <w:r w:rsidR="00A30A75">
        <w:t>.</w:t>
      </w:r>
    </w:p>
    <w:p w14:paraId="167BC386" w14:textId="39555893" w:rsidR="00AE111F" w:rsidRDefault="00AE111F" w:rsidP="001D006C">
      <w:pPr>
        <w:pStyle w:val="RptHeading-Level2"/>
      </w:pPr>
      <w:bookmarkStart w:id="215" w:name="_Toc98847378"/>
      <w:r>
        <w:t>Identification of Remedial Technologies</w:t>
      </w:r>
      <w:bookmarkEnd w:id="215"/>
    </w:p>
    <w:p w14:paraId="6740CD41" w14:textId="4B5E55B6" w:rsidR="00E84ABC" w:rsidRDefault="00A42690" w:rsidP="001D006C">
      <w:pPr>
        <w:pStyle w:val="RptBodyText"/>
      </w:pPr>
      <w:r w:rsidRPr="00B1483D">
        <w:t>The following</w:t>
      </w:r>
      <w:r w:rsidR="000F382F" w:rsidRPr="00B1483D">
        <w:t xml:space="preserve"> active and passive</w:t>
      </w:r>
      <w:r w:rsidRPr="00B1483D">
        <w:t xml:space="preserve"> </w:t>
      </w:r>
      <w:r w:rsidR="00E87ECF" w:rsidRPr="00B1483D">
        <w:t xml:space="preserve">remedial </w:t>
      </w:r>
      <w:r w:rsidR="000D2AC8" w:rsidRPr="00B1483D">
        <w:t>tech</w:t>
      </w:r>
      <w:r w:rsidR="00BB1543" w:rsidRPr="00B1483D">
        <w:t>nologies have been identified as</w:t>
      </w:r>
      <w:r w:rsidR="000F382F" w:rsidRPr="00B1483D">
        <w:t xml:space="preserve"> potential</w:t>
      </w:r>
      <w:r w:rsidR="00A874DB" w:rsidRPr="00B1483D">
        <w:t>ly suitable</w:t>
      </w:r>
      <w:r w:rsidR="00F81457" w:rsidRPr="00B1483D">
        <w:t xml:space="preserve"> </w:t>
      </w:r>
      <w:r w:rsidR="00056695" w:rsidRPr="00B1483D">
        <w:t>technologies</w:t>
      </w:r>
      <w:r w:rsidR="005870C6" w:rsidRPr="00B1483D">
        <w:t xml:space="preserve"> </w:t>
      </w:r>
      <w:r w:rsidR="00D739D2" w:rsidRPr="00B1483D">
        <w:t xml:space="preserve">for use at the </w:t>
      </w:r>
      <w:r w:rsidR="00567C3A">
        <w:t>S</w:t>
      </w:r>
      <w:r w:rsidR="00D739D2" w:rsidRPr="00B1483D">
        <w:t xml:space="preserve">ite. </w:t>
      </w:r>
    </w:p>
    <w:p w14:paraId="5906BE36" w14:textId="127C3221" w:rsidR="008A733E" w:rsidRPr="00B1483D" w:rsidRDefault="008A733E" w:rsidP="001D006C">
      <w:pPr>
        <w:pStyle w:val="RptBullet-Level1"/>
        <w:rPr>
          <w:rFonts w:asciiTheme="minorHAnsi" w:hAnsiTheme="minorHAnsi"/>
        </w:rPr>
      </w:pPr>
      <w:r w:rsidRPr="00CE400B">
        <w:rPr>
          <w:b/>
          <w:bCs/>
        </w:rPr>
        <w:t>Removal.</w:t>
      </w:r>
      <w:r w:rsidRPr="00B1483D">
        <w:rPr>
          <w:rFonts w:asciiTheme="minorHAnsi" w:hAnsiTheme="minorHAnsi"/>
        </w:rPr>
        <w:t xml:space="preserve"> </w:t>
      </w:r>
      <w:r w:rsidR="00A5024B">
        <w:rPr>
          <w:rFonts w:asciiTheme="minorHAnsi" w:hAnsiTheme="minorHAnsi"/>
        </w:rPr>
        <w:t>E</w:t>
      </w:r>
      <w:r w:rsidRPr="00B1483D">
        <w:rPr>
          <w:rFonts w:asciiTheme="minorHAnsi" w:hAnsiTheme="minorHAnsi"/>
        </w:rPr>
        <w:t xml:space="preserve">xcavation </w:t>
      </w:r>
      <w:r w:rsidR="00A5024B">
        <w:rPr>
          <w:rFonts w:asciiTheme="minorHAnsi" w:hAnsiTheme="minorHAnsi"/>
        </w:rPr>
        <w:t>can be used for removal</w:t>
      </w:r>
      <w:r w:rsidRPr="00B1483D">
        <w:rPr>
          <w:rFonts w:asciiTheme="minorHAnsi" w:hAnsiTheme="minorHAnsi"/>
        </w:rPr>
        <w:t xml:space="preserve"> of soils exceeding cleanup levels. </w:t>
      </w:r>
    </w:p>
    <w:p w14:paraId="2D636EB4" w14:textId="614A1753" w:rsidR="00234FD4" w:rsidRPr="00B1483D" w:rsidRDefault="00234FD4" w:rsidP="001D006C">
      <w:pPr>
        <w:pStyle w:val="RptBullet-Level1"/>
        <w:rPr>
          <w:rFonts w:asciiTheme="minorHAnsi" w:hAnsiTheme="minorHAnsi"/>
        </w:rPr>
      </w:pPr>
      <w:r w:rsidRPr="00CE400B">
        <w:rPr>
          <w:b/>
          <w:bCs/>
        </w:rPr>
        <w:t>Disposal</w:t>
      </w:r>
      <w:r w:rsidR="009536D8" w:rsidRPr="00CE400B">
        <w:rPr>
          <w:rFonts w:asciiTheme="minorHAnsi" w:hAnsiTheme="minorHAnsi"/>
          <w:b/>
        </w:rPr>
        <w:t>.</w:t>
      </w:r>
      <w:r w:rsidR="009536D8" w:rsidRPr="00B1483D">
        <w:rPr>
          <w:rFonts w:asciiTheme="minorHAnsi" w:hAnsiTheme="minorHAnsi"/>
        </w:rPr>
        <w:t xml:space="preserve"> </w:t>
      </w:r>
      <w:r w:rsidR="001F757D" w:rsidRPr="00B1483D">
        <w:rPr>
          <w:rFonts w:asciiTheme="minorHAnsi" w:hAnsiTheme="minorHAnsi"/>
        </w:rPr>
        <w:t xml:space="preserve">Excavated contaminated soil </w:t>
      </w:r>
      <w:r w:rsidR="00EC0AD3">
        <w:rPr>
          <w:rFonts w:asciiTheme="minorHAnsi" w:hAnsiTheme="minorHAnsi"/>
        </w:rPr>
        <w:t>can</w:t>
      </w:r>
      <w:r w:rsidR="001F757D" w:rsidRPr="00B1483D">
        <w:rPr>
          <w:rFonts w:asciiTheme="minorHAnsi" w:hAnsiTheme="minorHAnsi"/>
        </w:rPr>
        <w:t xml:space="preserve"> be </w:t>
      </w:r>
      <w:r w:rsidR="007F426A" w:rsidRPr="00B1483D">
        <w:rPr>
          <w:rFonts w:asciiTheme="minorHAnsi" w:hAnsiTheme="minorHAnsi"/>
        </w:rPr>
        <w:t>transported to a regional landfill for disposal</w:t>
      </w:r>
      <w:r w:rsidR="005A5642" w:rsidRPr="00B1483D">
        <w:rPr>
          <w:rFonts w:asciiTheme="minorHAnsi" w:hAnsiTheme="minorHAnsi"/>
        </w:rPr>
        <w:t xml:space="preserve">. </w:t>
      </w:r>
    </w:p>
    <w:p w14:paraId="785395F8" w14:textId="331E0098" w:rsidR="00E84ABC" w:rsidRPr="00B1483D" w:rsidRDefault="004E7EF0" w:rsidP="001D006C">
      <w:pPr>
        <w:pStyle w:val="RptBullet-Level1"/>
        <w:rPr>
          <w:rFonts w:asciiTheme="minorHAnsi" w:hAnsiTheme="minorHAnsi"/>
        </w:rPr>
      </w:pPr>
      <w:r w:rsidRPr="00CE400B">
        <w:rPr>
          <w:b/>
          <w:bCs/>
        </w:rPr>
        <w:t>Containment</w:t>
      </w:r>
      <w:r w:rsidR="00A133E5" w:rsidRPr="00CE400B">
        <w:rPr>
          <w:rFonts w:asciiTheme="minorHAnsi" w:hAnsiTheme="minorHAnsi"/>
          <w:b/>
        </w:rPr>
        <w:t>.</w:t>
      </w:r>
      <w:r w:rsidR="00B51043" w:rsidRPr="00B1483D">
        <w:rPr>
          <w:rFonts w:asciiTheme="minorHAnsi" w:hAnsiTheme="minorHAnsi"/>
        </w:rPr>
        <w:t xml:space="preserve"> </w:t>
      </w:r>
      <w:r w:rsidR="00EC0AD3">
        <w:rPr>
          <w:rFonts w:asciiTheme="minorHAnsi" w:hAnsiTheme="minorHAnsi"/>
        </w:rPr>
        <w:t>P</w:t>
      </w:r>
      <w:r w:rsidR="003A4012" w:rsidRPr="00B1483D">
        <w:rPr>
          <w:rFonts w:asciiTheme="minorHAnsi" w:hAnsiTheme="minorHAnsi"/>
        </w:rPr>
        <w:t xml:space="preserve">hysical barriers or other deterrents </w:t>
      </w:r>
      <w:r w:rsidR="00EC0AD3">
        <w:rPr>
          <w:rFonts w:asciiTheme="minorHAnsi" w:hAnsiTheme="minorHAnsi"/>
        </w:rPr>
        <w:t xml:space="preserve">can be used </w:t>
      </w:r>
      <w:r w:rsidR="00C51ECC" w:rsidRPr="00B1483D">
        <w:rPr>
          <w:rFonts w:asciiTheme="minorHAnsi" w:hAnsiTheme="minorHAnsi"/>
        </w:rPr>
        <w:t xml:space="preserve">to </w:t>
      </w:r>
      <w:r w:rsidR="00CA2E18" w:rsidRPr="00B1483D">
        <w:rPr>
          <w:rFonts w:asciiTheme="minorHAnsi" w:hAnsiTheme="minorHAnsi"/>
        </w:rPr>
        <w:t>prevent or minimize potential exposure</w:t>
      </w:r>
      <w:r w:rsidR="00953C49" w:rsidRPr="00B1483D">
        <w:rPr>
          <w:rFonts w:asciiTheme="minorHAnsi" w:hAnsiTheme="minorHAnsi"/>
        </w:rPr>
        <w:t xml:space="preserve">. </w:t>
      </w:r>
      <w:r w:rsidRPr="00B1483D">
        <w:rPr>
          <w:rFonts w:asciiTheme="minorHAnsi" w:hAnsiTheme="minorHAnsi"/>
        </w:rPr>
        <w:t xml:space="preserve">An example is </w:t>
      </w:r>
      <w:r w:rsidR="00F25202" w:rsidRPr="00B1483D">
        <w:rPr>
          <w:rFonts w:asciiTheme="minorHAnsi" w:hAnsiTheme="minorHAnsi"/>
        </w:rPr>
        <w:t>the use of c</w:t>
      </w:r>
      <w:r w:rsidRPr="00B1483D">
        <w:rPr>
          <w:rFonts w:asciiTheme="minorHAnsi" w:hAnsiTheme="minorHAnsi"/>
        </w:rPr>
        <w:t xml:space="preserve">aps and </w:t>
      </w:r>
      <w:r w:rsidR="00F25202" w:rsidRPr="00B1483D">
        <w:rPr>
          <w:rFonts w:asciiTheme="minorHAnsi" w:hAnsiTheme="minorHAnsi"/>
        </w:rPr>
        <w:t>c</w:t>
      </w:r>
      <w:r w:rsidRPr="00B1483D">
        <w:rPr>
          <w:rFonts w:asciiTheme="minorHAnsi" w:hAnsiTheme="minorHAnsi"/>
        </w:rPr>
        <w:t>overs</w:t>
      </w:r>
      <w:r w:rsidR="000C1CC8">
        <w:rPr>
          <w:rFonts w:asciiTheme="minorHAnsi" w:hAnsiTheme="minorHAnsi"/>
        </w:rPr>
        <w:t xml:space="preserve">, such as </w:t>
      </w:r>
      <w:r w:rsidRPr="00B1483D">
        <w:rPr>
          <w:rFonts w:asciiTheme="minorHAnsi" w:hAnsiTheme="minorHAnsi"/>
        </w:rPr>
        <w:t xml:space="preserve">engineered soil covers, pavement, and structures to </w:t>
      </w:r>
      <w:r w:rsidR="002006DB">
        <w:rPr>
          <w:rFonts w:asciiTheme="minorHAnsi" w:hAnsiTheme="minorHAnsi"/>
        </w:rPr>
        <w:t>isolate</w:t>
      </w:r>
      <w:r w:rsidRPr="00B1483D">
        <w:rPr>
          <w:rFonts w:asciiTheme="minorHAnsi" w:hAnsiTheme="minorHAnsi"/>
        </w:rPr>
        <w:t xml:space="preserve"> </w:t>
      </w:r>
      <w:r w:rsidR="002006DB">
        <w:rPr>
          <w:rFonts w:asciiTheme="minorHAnsi" w:hAnsiTheme="minorHAnsi"/>
        </w:rPr>
        <w:t>contaminants</w:t>
      </w:r>
      <w:r w:rsidRPr="00B1483D">
        <w:rPr>
          <w:rFonts w:asciiTheme="minorHAnsi" w:hAnsiTheme="minorHAnsi"/>
        </w:rPr>
        <w:t xml:space="preserve"> </w:t>
      </w:r>
      <w:r w:rsidR="00ED1C1A">
        <w:rPr>
          <w:rFonts w:asciiTheme="minorHAnsi" w:hAnsiTheme="minorHAnsi"/>
        </w:rPr>
        <w:t xml:space="preserve">remaining </w:t>
      </w:r>
      <w:r w:rsidRPr="00B1483D">
        <w:rPr>
          <w:rFonts w:asciiTheme="minorHAnsi" w:hAnsiTheme="minorHAnsi"/>
        </w:rPr>
        <w:t xml:space="preserve">on </w:t>
      </w:r>
      <w:r w:rsidR="00E77DAB">
        <w:rPr>
          <w:rFonts w:asciiTheme="minorHAnsi" w:hAnsiTheme="minorHAnsi"/>
        </w:rPr>
        <w:t xml:space="preserve">the </w:t>
      </w:r>
      <w:r w:rsidR="00567C3A">
        <w:rPr>
          <w:rFonts w:asciiTheme="minorHAnsi" w:hAnsiTheme="minorHAnsi"/>
        </w:rPr>
        <w:t>S</w:t>
      </w:r>
      <w:r w:rsidRPr="00B1483D">
        <w:rPr>
          <w:rFonts w:asciiTheme="minorHAnsi" w:hAnsiTheme="minorHAnsi"/>
        </w:rPr>
        <w:t xml:space="preserve">ite. </w:t>
      </w:r>
    </w:p>
    <w:p w14:paraId="7CE5D5A5" w14:textId="6F233A9F" w:rsidR="00634A56" w:rsidRPr="00F11F37" w:rsidRDefault="008A733E" w:rsidP="001D006C">
      <w:pPr>
        <w:pStyle w:val="RptBullet-Level1"/>
        <w:rPr>
          <w:rFonts w:asciiTheme="minorHAnsi" w:hAnsiTheme="minorHAnsi"/>
        </w:rPr>
      </w:pPr>
      <w:r w:rsidRPr="00CE400B">
        <w:rPr>
          <w:b/>
          <w:bCs/>
        </w:rPr>
        <w:t>Institutional</w:t>
      </w:r>
      <w:r w:rsidRPr="00CE400B">
        <w:rPr>
          <w:rFonts w:asciiTheme="minorHAnsi" w:hAnsiTheme="minorHAnsi"/>
          <w:b/>
        </w:rPr>
        <w:t xml:space="preserve"> Controls.</w:t>
      </w:r>
      <w:r w:rsidRPr="00B1483D">
        <w:rPr>
          <w:rFonts w:asciiTheme="minorHAnsi" w:hAnsiTheme="minorHAnsi"/>
        </w:rPr>
        <w:t xml:space="preserve"> </w:t>
      </w:r>
      <w:r w:rsidR="0042136E" w:rsidRPr="00B1483D">
        <w:rPr>
          <w:rFonts w:asciiTheme="minorHAnsi" w:hAnsiTheme="minorHAnsi"/>
        </w:rPr>
        <w:t xml:space="preserve">Includes the use of deed restrictions through the use of a restrictive </w:t>
      </w:r>
      <w:r w:rsidR="00E77DAB">
        <w:rPr>
          <w:rFonts w:asciiTheme="minorHAnsi" w:hAnsiTheme="minorHAnsi"/>
        </w:rPr>
        <w:t xml:space="preserve">environmental </w:t>
      </w:r>
      <w:r w:rsidR="0042136E" w:rsidRPr="00B1483D">
        <w:rPr>
          <w:rFonts w:asciiTheme="minorHAnsi" w:hAnsiTheme="minorHAnsi"/>
        </w:rPr>
        <w:t>covenant</w:t>
      </w:r>
      <w:r w:rsidR="00CE400B">
        <w:rPr>
          <w:rFonts w:asciiTheme="minorHAnsi" w:hAnsiTheme="minorHAnsi"/>
        </w:rPr>
        <w:t>.</w:t>
      </w:r>
    </w:p>
    <w:p w14:paraId="466A15CB" w14:textId="77777777" w:rsidR="00F10E0E" w:rsidRDefault="00F10E0E" w:rsidP="001D006C">
      <w:pPr>
        <w:pStyle w:val="RptHeading-Level2"/>
      </w:pPr>
      <w:bookmarkStart w:id="216" w:name="_Toc98847379"/>
      <w:r>
        <w:t>Identification of Cleanup Action Alternatives</w:t>
      </w:r>
      <w:bookmarkEnd w:id="216"/>
    </w:p>
    <w:p w14:paraId="1C3F9AB7" w14:textId="38AEA398" w:rsidR="00BE6F0C" w:rsidRDefault="003E73B7" w:rsidP="00F479FA">
      <w:pPr>
        <w:pStyle w:val="RptBodyText"/>
      </w:pPr>
      <w:r>
        <w:t xml:space="preserve">The remedial technologies </w:t>
      </w:r>
      <w:r w:rsidR="002A1266">
        <w:t>identified</w:t>
      </w:r>
      <w:r>
        <w:t xml:space="preserve"> i</w:t>
      </w:r>
      <w:r w:rsidR="0069072F">
        <w:t>n</w:t>
      </w:r>
      <w:r>
        <w:t xml:space="preserve"> </w:t>
      </w:r>
      <w:r w:rsidR="002A1266">
        <w:t>S</w:t>
      </w:r>
      <w:r>
        <w:t>ection 9.</w:t>
      </w:r>
      <w:r w:rsidR="00224929">
        <w:t>2</w:t>
      </w:r>
      <w:r>
        <w:t xml:space="preserve"> </w:t>
      </w:r>
      <w:r w:rsidR="00E5339A">
        <w:t xml:space="preserve">are </w:t>
      </w:r>
      <w:r w:rsidR="00610E95">
        <w:t xml:space="preserve">combined </w:t>
      </w:r>
      <w:r w:rsidR="00EA7708">
        <w:t xml:space="preserve">into various remedial alternatives to achieve </w:t>
      </w:r>
      <w:r w:rsidR="00F74916">
        <w:t xml:space="preserve">the </w:t>
      </w:r>
      <w:r w:rsidR="008C6710">
        <w:t>RAOs</w:t>
      </w:r>
      <w:r w:rsidR="00EA7708">
        <w:t xml:space="preserve"> for the </w:t>
      </w:r>
      <w:r w:rsidR="00567C3A">
        <w:t>S</w:t>
      </w:r>
      <w:r w:rsidR="00EA7708">
        <w:t>ite</w:t>
      </w:r>
      <w:r w:rsidR="002E1212">
        <w:t>, as discussed below</w:t>
      </w:r>
      <w:r w:rsidR="00EA7708">
        <w:t>.</w:t>
      </w:r>
      <w:r w:rsidR="00FA0F68">
        <w:t xml:space="preserve"> </w:t>
      </w:r>
    </w:p>
    <w:p w14:paraId="6ED2F305" w14:textId="03002927" w:rsidR="00F10E0E" w:rsidRDefault="00F10E0E" w:rsidP="001D006C">
      <w:pPr>
        <w:pStyle w:val="RptHeading-Level3"/>
      </w:pPr>
      <w:bookmarkStart w:id="217" w:name="_Toc98847380"/>
      <w:r>
        <w:t xml:space="preserve">Alternative 1 – </w:t>
      </w:r>
      <w:r w:rsidR="000067B2">
        <w:t xml:space="preserve">Complete </w:t>
      </w:r>
      <w:r w:rsidRPr="00777ADE">
        <w:t xml:space="preserve">Removal </w:t>
      </w:r>
      <w:r w:rsidR="008F7A29">
        <w:t>of Cleanup Level Exceedances</w:t>
      </w:r>
      <w:bookmarkEnd w:id="217"/>
    </w:p>
    <w:p w14:paraId="2DC204B3" w14:textId="74803509" w:rsidR="00F10E0E" w:rsidRPr="001D006C" w:rsidRDefault="0087650F" w:rsidP="001D006C">
      <w:pPr>
        <w:pStyle w:val="RptBodyText"/>
      </w:pPr>
      <w:r w:rsidRPr="001D006C">
        <w:t>Alternative 1</w:t>
      </w:r>
      <w:r w:rsidR="00F10E0E" w:rsidRPr="001D006C">
        <w:t xml:space="preserve"> would involve excavation and disposal of soils exceeding cleanup levels at </w:t>
      </w:r>
      <w:r w:rsidR="003E19B0">
        <w:t>each of the exceedance</w:t>
      </w:r>
      <w:r w:rsidR="00F10E0E" w:rsidRPr="001D006C">
        <w:t xml:space="preserve"> locations</w:t>
      </w:r>
      <w:r w:rsidR="00AA3B52" w:rsidRPr="001D006C">
        <w:t xml:space="preserve">, </w:t>
      </w:r>
      <w:r w:rsidR="005733DF">
        <w:t>down</w:t>
      </w:r>
      <w:r w:rsidR="005733DF" w:rsidRPr="001D006C">
        <w:t xml:space="preserve"> </w:t>
      </w:r>
      <w:r w:rsidR="00F10E0E" w:rsidRPr="001D006C">
        <w:t>to the 15 ft point of compliance</w:t>
      </w:r>
      <w:r w:rsidR="005D41AF" w:rsidRPr="001D006C">
        <w:t>.</w:t>
      </w:r>
      <w:r w:rsidR="00F10E0E" w:rsidRPr="001D006C">
        <w:t xml:space="preserve"> </w:t>
      </w:r>
      <w:r w:rsidR="00FD4F32" w:rsidRPr="001D006C">
        <w:t>Complete removal of exceedances</w:t>
      </w:r>
      <w:r w:rsidR="00030E6E" w:rsidRPr="001D006C">
        <w:t xml:space="preserve"> shallower than the 15 ft point of compliance</w:t>
      </w:r>
      <w:r w:rsidR="00FD4F32" w:rsidRPr="001D006C">
        <w:t xml:space="preserve"> would </w:t>
      </w:r>
      <w:r w:rsidR="00F10E0E" w:rsidRPr="001D006C">
        <w:t xml:space="preserve">allow for unconditional closure. </w:t>
      </w:r>
      <w:r w:rsidR="0067299C" w:rsidRPr="001D006C">
        <w:t>Co</w:t>
      </w:r>
      <w:r w:rsidR="00EB6B04" w:rsidRPr="001D006C">
        <w:t>nfirmation</w:t>
      </w:r>
      <w:r w:rsidR="0067299C" w:rsidRPr="001D006C">
        <w:t xml:space="preserve"> sampling </w:t>
      </w:r>
      <w:r w:rsidR="000B2AAF">
        <w:t>would</w:t>
      </w:r>
      <w:r w:rsidR="000B2AAF" w:rsidRPr="001D006C">
        <w:t xml:space="preserve"> </w:t>
      </w:r>
      <w:r w:rsidR="00EB6B04" w:rsidRPr="001D006C">
        <w:t xml:space="preserve">be completed </w:t>
      </w:r>
      <w:r w:rsidR="00495920" w:rsidRPr="001D006C">
        <w:t xml:space="preserve">following the excavation to determine </w:t>
      </w:r>
      <w:r w:rsidR="001B1F9F" w:rsidRPr="001D006C">
        <w:t>if the cleanup levels have been achieved</w:t>
      </w:r>
      <w:r w:rsidR="00EB6B04" w:rsidRPr="001D006C">
        <w:t>.</w:t>
      </w:r>
      <w:r w:rsidR="001B1F9F" w:rsidRPr="001D006C">
        <w:t xml:space="preserve"> </w:t>
      </w:r>
      <w:r w:rsidR="00054088" w:rsidRPr="001D006C">
        <w:t xml:space="preserve">Confirmation samples </w:t>
      </w:r>
      <w:r w:rsidR="002D2545">
        <w:t>would</w:t>
      </w:r>
      <w:r w:rsidR="002D2545" w:rsidRPr="001D006C">
        <w:t xml:space="preserve"> </w:t>
      </w:r>
      <w:r w:rsidR="00054088" w:rsidRPr="001D006C">
        <w:t xml:space="preserve">be analyzed for pertinent constituents based on the RI data for each area. One sidewall sample </w:t>
      </w:r>
      <w:r w:rsidR="002D2545">
        <w:t>would</w:t>
      </w:r>
      <w:r w:rsidR="002D2545" w:rsidRPr="001D006C">
        <w:t xml:space="preserve"> </w:t>
      </w:r>
      <w:r w:rsidR="00054088" w:rsidRPr="001D006C">
        <w:t xml:space="preserve">be collected every 20 linear feet, approximately halfway between the top and bottom of the excavation. One base sample </w:t>
      </w:r>
      <w:r w:rsidR="002D2545">
        <w:t>would</w:t>
      </w:r>
      <w:r w:rsidR="002D2545" w:rsidRPr="001D006C">
        <w:t xml:space="preserve"> </w:t>
      </w:r>
      <w:r w:rsidR="00054088" w:rsidRPr="001D006C">
        <w:t>be collected for every 400 ft</w:t>
      </w:r>
      <w:r w:rsidR="00054088" w:rsidRPr="002C70B2">
        <w:rPr>
          <w:vertAlign w:val="superscript"/>
        </w:rPr>
        <w:t>2</w:t>
      </w:r>
      <w:r w:rsidR="00054088" w:rsidRPr="001D006C">
        <w:t xml:space="preserve"> or at a minimum, one sample per excavation area. </w:t>
      </w:r>
      <w:r w:rsidR="00AD7B12" w:rsidRPr="001D006C">
        <w:t xml:space="preserve">If samples exceed the </w:t>
      </w:r>
      <w:r w:rsidR="00B744E0" w:rsidRPr="001D006C">
        <w:t xml:space="preserve">cleanup level for a particular constituent, additional excavation and </w:t>
      </w:r>
      <w:r w:rsidR="00091AFC" w:rsidRPr="001D006C">
        <w:t xml:space="preserve">confirmation sampling </w:t>
      </w:r>
      <w:r w:rsidR="00165381">
        <w:t>would</w:t>
      </w:r>
      <w:r w:rsidR="00165381" w:rsidRPr="001D006C">
        <w:t xml:space="preserve"> </w:t>
      </w:r>
      <w:r w:rsidR="00091AFC" w:rsidRPr="001D006C">
        <w:t>be completed</w:t>
      </w:r>
      <w:r w:rsidR="002C6691" w:rsidRPr="001D006C">
        <w:t xml:space="preserve"> in that area</w:t>
      </w:r>
      <w:r w:rsidR="00761C3F" w:rsidRPr="001D006C">
        <w:t>.</w:t>
      </w:r>
      <w:r w:rsidR="00091AFC" w:rsidRPr="001D006C">
        <w:t xml:space="preserve"> </w:t>
      </w:r>
      <w:r w:rsidR="003B62B5" w:rsidRPr="001D006C">
        <w:t xml:space="preserve">Excavation </w:t>
      </w:r>
      <w:r w:rsidR="00165381">
        <w:t>would</w:t>
      </w:r>
      <w:r w:rsidR="00165381" w:rsidRPr="001D006C">
        <w:t xml:space="preserve"> </w:t>
      </w:r>
      <w:r w:rsidR="003B62B5" w:rsidRPr="001D006C">
        <w:t xml:space="preserve">continue </w:t>
      </w:r>
      <w:r w:rsidR="00396E6D" w:rsidRPr="001D006C">
        <w:t xml:space="preserve">until </w:t>
      </w:r>
      <w:r w:rsidR="00C8467E" w:rsidRPr="001D006C">
        <w:t xml:space="preserve">confirmation sampling </w:t>
      </w:r>
      <w:r w:rsidR="004977E9" w:rsidRPr="001D006C">
        <w:t>verifies</w:t>
      </w:r>
      <w:r w:rsidR="008322EE" w:rsidRPr="001D006C">
        <w:t xml:space="preserve"> </w:t>
      </w:r>
      <w:r w:rsidR="00EA3C52">
        <w:t xml:space="preserve">soils </w:t>
      </w:r>
      <w:r w:rsidR="0051111E">
        <w:t xml:space="preserve">at </w:t>
      </w:r>
      <w:r w:rsidR="00EA3C52">
        <w:t>the extent of the excavation</w:t>
      </w:r>
      <w:r w:rsidR="008322EE" w:rsidRPr="001D006C">
        <w:t xml:space="preserve"> </w:t>
      </w:r>
      <w:r w:rsidR="0051111E">
        <w:t>are</w:t>
      </w:r>
      <w:r w:rsidR="0051111E" w:rsidRPr="001D006C">
        <w:t xml:space="preserve"> </w:t>
      </w:r>
      <w:r w:rsidR="008322EE" w:rsidRPr="001D006C">
        <w:t xml:space="preserve">below cleanup levels or </w:t>
      </w:r>
      <w:r w:rsidR="00A01022">
        <w:t xml:space="preserve">the </w:t>
      </w:r>
      <w:r w:rsidR="000651BC">
        <w:t>excavation</w:t>
      </w:r>
      <w:r w:rsidR="00A01022">
        <w:t xml:space="preserve"> </w:t>
      </w:r>
      <w:r w:rsidR="00AA73B3">
        <w:t>extends</w:t>
      </w:r>
      <w:r w:rsidR="00A01022">
        <w:t xml:space="preserve"> </w:t>
      </w:r>
      <w:r w:rsidR="00091AFC" w:rsidRPr="001D006C">
        <w:t xml:space="preserve">down </w:t>
      </w:r>
      <w:r w:rsidR="007E7B43" w:rsidRPr="001D006C">
        <w:t>to the 15 ft point of compliance</w:t>
      </w:r>
      <w:r w:rsidR="008322EE" w:rsidRPr="001D006C">
        <w:t>, whichever is</w:t>
      </w:r>
      <w:r w:rsidR="00761C3F" w:rsidRPr="001D006C">
        <w:t xml:space="preserve"> </w:t>
      </w:r>
      <w:r w:rsidR="000E7A91" w:rsidRPr="001D006C">
        <w:t>shallower</w:t>
      </w:r>
      <w:r w:rsidR="007E7B43" w:rsidRPr="001D006C">
        <w:t xml:space="preserve">. </w:t>
      </w:r>
      <w:r w:rsidR="00F10E0E" w:rsidRPr="001D006C">
        <w:t>This option is required to be evaluated per WAC</w:t>
      </w:r>
      <w:r w:rsidR="008C08A4">
        <w:t> </w:t>
      </w:r>
      <w:r w:rsidR="00F10E0E" w:rsidRPr="001D006C">
        <w:t>173</w:t>
      </w:r>
      <w:r w:rsidR="008C08A4">
        <w:noBreakHyphen/>
      </w:r>
      <w:r w:rsidR="00F10E0E" w:rsidRPr="001D006C">
        <w:t>340-350.</w:t>
      </w:r>
      <w:r w:rsidR="003C4213" w:rsidRPr="001D006C">
        <w:t xml:space="preserve"> This alternative is depicted on</w:t>
      </w:r>
      <w:r w:rsidR="00456FD9" w:rsidRPr="001D006C">
        <w:t xml:space="preserve"> </w:t>
      </w:r>
      <w:r w:rsidR="003C4213" w:rsidRPr="001D006C">
        <w:t>Figure 2</w:t>
      </w:r>
      <w:r w:rsidR="00B21FA3" w:rsidRPr="001D006C">
        <w:t>8</w:t>
      </w:r>
      <w:r w:rsidR="003C4213" w:rsidRPr="001D006C">
        <w:t>.</w:t>
      </w:r>
    </w:p>
    <w:p w14:paraId="073B0080" w14:textId="19B30AEE" w:rsidR="00F10E0E" w:rsidRPr="003D1CE0" w:rsidRDefault="00F10E0E" w:rsidP="001D006C">
      <w:pPr>
        <w:pStyle w:val="RptHeading-Level3"/>
      </w:pPr>
      <w:bookmarkStart w:id="218" w:name="_Toc98847381"/>
      <w:r>
        <w:t xml:space="preserve">Alternative 2 – </w:t>
      </w:r>
      <w:r w:rsidR="00B97018">
        <w:t>Partial</w:t>
      </w:r>
      <w:r w:rsidR="00B97018" w:rsidRPr="00777ADE">
        <w:t xml:space="preserve"> </w:t>
      </w:r>
      <w:r w:rsidRPr="00777ADE">
        <w:t>Remova</w:t>
      </w:r>
      <w:r>
        <w:t xml:space="preserve">l </w:t>
      </w:r>
      <w:r w:rsidR="008F7A29">
        <w:t>of Cleanup Level Exceedances</w:t>
      </w:r>
      <w:r w:rsidR="00133741">
        <w:t xml:space="preserve"> with </w:t>
      </w:r>
      <w:r w:rsidR="00A879D7">
        <w:t xml:space="preserve">Caps/Covers and </w:t>
      </w:r>
      <w:r w:rsidR="00133741">
        <w:t>Institutional Controls</w:t>
      </w:r>
      <w:bookmarkEnd w:id="218"/>
    </w:p>
    <w:p w14:paraId="7D8EEE30" w14:textId="07787ED0" w:rsidR="00F10E0E" w:rsidRDefault="0087650F" w:rsidP="00686E88">
      <w:pPr>
        <w:pStyle w:val="RptBodyText"/>
      </w:pPr>
      <w:r>
        <w:t>Alternative 2</w:t>
      </w:r>
      <w:r w:rsidR="00F10E0E" w:rsidRPr="005F3808">
        <w:t xml:space="preserve"> would </w:t>
      </w:r>
      <w:r w:rsidR="0031060C">
        <w:t xml:space="preserve">involve </w:t>
      </w:r>
      <w:r w:rsidR="002123EC">
        <w:t>defining</w:t>
      </w:r>
      <w:r w:rsidR="00F937D4">
        <w:t xml:space="preserve"> </w:t>
      </w:r>
      <w:r w:rsidR="002123EC">
        <w:t>a single</w:t>
      </w:r>
      <w:r w:rsidR="009D35D7">
        <w:t xml:space="preserve"> area </w:t>
      </w:r>
      <w:r w:rsidR="002123EC">
        <w:t xml:space="preserve">within the Site </w:t>
      </w:r>
      <w:r w:rsidR="009D35D7">
        <w:t>requiring instit</w:t>
      </w:r>
      <w:r w:rsidR="00021A78">
        <w:t>ut</w:t>
      </w:r>
      <w:r w:rsidR="009D35D7">
        <w:t xml:space="preserve">ional controls </w:t>
      </w:r>
      <w:r w:rsidR="00C3617D" w:rsidRPr="005F3808">
        <w:t>(</w:t>
      </w:r>
      <w:r w:rsidR="00C3617D">
        <w:t>i.e</w:t>
      </w:r>
      <w:r w:rsidR="00C3617D" w:rsidRPr="005F3808">
        <w:t>., via a</w:t>
      </w:r>
      <w:r w:rsidR="00A3487B">
        <w:t>n environmental</w:t>
      </w:r>
      <w:r w:rsidR="00C3617D" w:rsidRPr="005F3808">
        <w:t xml:space="preserve"> covenant)</w:t>
      </w:r>
      <w:r w:rsidR="00C3617D">
        <w:t xml:space="preserve"> </w:t>
      </w:r>
      <w:r w:rsidR="009D35D7">
        <w:t>whe</w:t>
      </w:r>
      <w:r w:rsidR="00C3617D">
        <w:t>re</w:t>
      </w:r>
      <w:r w:rsidR="009D35D7">
        <w:t xml:space="preserve"> d</w:t>
      </w:r>
      <w:r w:rsidR="00021A78">
        <w:t>ioxins</w:t>
      </w:r>
      <w:r w:rsidR="009D35D7">
        <w:t>/f</w:t>
      </w:r>
      <w:r w:rsidR="00021A78">
        <w:t>urans</w:t>
      </w:r>
      <w:r w:rsidR="00C3617D">
        <w:t xml:space="preserve"> </w:t>
      </w:r>
      <w:r w:rsidR="005B226C">
        <w:t xml:space="preserve">that </w:t>
      </w:r>
      <w:r w:rsidR="009D35D7">
        <w:t>exceed CULs would be left in place</w:t>
      </w:r>
      <w:r w:rsidR="00A73E53">
        <w:t xml:space="preserve">. </w:t>
      </w:r>
      <w:r w:rsidR="00021A78">
        <w:t xml:space="preserve">Outside of </w:t>
      </w:r>
      <w:r w:rsidR="00584CF9">
        <w:t>this</w:t>
      </w:r>
      <w:r w:rsidR="00021A78">
        <w:t xml:space="preserve"> covenant area, </w:t>
      </w:r>
      <w:r w:rsidR="00341584">
        <w:t xml:space="preserve">excavation and disposal would be </w:t>
      </w:r>
      <w:r w:rsidR="008F15A4">
        <w:t xml:space="preserve">implemented for </w:t>
      </w:r>
      <w:r w:rsidR="00850565">
        <w:t>soils</w:t>
      </w:r>
      <w:r w:rsidR="00850565" w:rsidRPr="005F3808">
        <w:t xml:space="preserve"> exceed</w:t>
      </w:r>
      <w:r w:rsidR="00850565">
        <w:t>ing CULs</w:t>
      </w:r>
      <w:r w:rsidR="00850565" w:rsidRPr="005F3808">
        <w:t xml:space="preserve"> for</w:t>
      </w:r>
      <w:r w:rsidR="00850565">
        <w:t xml:space="preserve"> other </w:t>
      </w:r>
      <w:r w:rsidR="00850565" w:rsidRPr="005F3808">
        <w:t>constituents</w:t>
      </w:r>
      <w:r w:rsidR="00B144D4">
        <w:t xml:space="preserve"> </w:t>
      </w:r>
      <w:r w:rsidR="00EB3DED">
        <w:t xml:space="preserve">down </w:t>
      </w:r>
      <w:r w:rsidR="00E260EF">
        <w:t xml:space="preserve">to the </w:t>
      </w:r>
      <w:r w:rsidR="00047E92">
        <w:t xml:space="preserve">15 ft </w:t>
      </w:r>
      <w:r w:rsidR="00E260EF">
        <w:t>point of compliance</w:t>
      </w:r>
      <w:r w:rsidR="006671AE" w:rsidRPr="00CE21BD">
        <w:t>.</w:t>
      </w:r>
      <w:r w:rsidR="00535BA8">
        <w:t xml:space="preserve"> </w:t>
      </w:r>
      <w:r w:rsidR="00527815">
        <w:t>For excavation locations, c</w:t>
      </w:r>
      <w:r w:rsidR="00535BA8">
        <w:t>onfirmation sampling would be implemented as described for Alternative 1.</w:t>
      </w:r>
      <w:r w:rsidR="00E260EF">
        <w:t xml:space="preserve"> </w:t>
      </w:r>
      <w:r w:rsidR="00EA6D48">
        <w:t xml:space="preserve">Contaminants </w:t>
      </w:r>
      <w:r w:rsidR="0060001D">
        <w:t xml:space="preserve">above CULs </w:t>
      </w:r>
      <w:r w:rsidR="00EA6D48">
        <w:t xml:space="preserve">within the institutional control area </w:t>
      </w:r>
      <w:r w:rsidR="0068144A">
        <w:t>would</w:t>
      </w:r>
      <w:r w:rsidR="00EA6D48">
        <w:t xml:space="preserve"> be left in place</w:t>
      </w:r>
      <w:r w:rsidR="0060001D">
        <w:t>.</w:t>
      </w:r>
      <w:r w:rsidR="001E3F3D" w:rsidRPr="00CE21BD">
        <w:t xml:space="preserve"> </w:t>
      </w:r>
      <w:r w:rsidR="003C4213">
        <w:t>This alternative is depicted on Figure 2</w:t>
      </w:r>
      <w:r w:rsidR="00B21FA3">
        <w:t>9</w:t>
      </w:r>
      <w:r w:rsidR="003C4213">
        <w:t>.</w:t>
      </w:r>
    </w:p>
    <w:p w14:paraId="6F549069" w14:textId="4B4AC973" w:rsidR="00F10E0E" w:rsidRPr="003D1CE0" w:rsidRDefault="00F10E0E" w:rsidP="001D006C">
      <w:pPr>
        <w:pStyle w:val="RptHeading-Level3"/>
      </w:pPr>
      <w:bookmarkStart w:id="219" w:name="_Toc98847382"/>
      <w:r w:rsidRPr="003D1CE0">
        <w:t>Alternative 3 – Caps/Covers</w:t>
      </w:r>
      <w:r w:rsidR="00133741">
        <w:t xml:space="preserve"> with Institutional Controls</w:t>
      </w:r>
      <w:bookmarkEnd w:id="219"/>
    </w:p>
    <w:p w14:paraId="1A34F86B" w14:textId="3E557676" w:rsidR="00F10E0E" w:rsidRDefault="00961FD6" w:rsidP="00686E88">
      <w:pPr>
        <w:pStyle w:val="RptBodyText"/>
      </w:pPr>
      <w:r>
        <w:t>Alternative 3</w:t>
      </w:r>
      <w:r w:rsidR="004856FD" w:rsidRPr="005F3808">
        <w:t xml:space="preserve"> would </w:t>
      </w:r>
      <w:r w:rsidR="004856FD">
        <w:t>define</w:t>
      </w:r>
      <w:r w:rsidR="002123EC">
        <w:t xml:space="preserve"> </w:t>
      </w:r>
      <w:r w:rsidR="002266D6">
        <w:t xml:space="preserve">one </w:t>
      </w:r>
      <w:r w:rsidR="00DD7A0B">
        <w:t>composite</w:t>
      </w:r>
      <w:r w:rsidR="00670ED3">
        <w:t xml:space="preserve"> area</w:t>
      </w:r>
      <w:r w:rsidR="00CE6D18">
        <w:t xml:space="preserve"> (comprised of the entirety of Areas 1, 2, and 3)</w:t>
      </w:r>
      <w:r w:rsidR="00670ED3">
        <w:t xml:space="preserve"> </w:t>
      </w:r>
      <w:r w:rsidR="00A3487B">
        <w:t>within</w:t>
      </w:r>
      <w:r w:rsidR="002123EC">
        <w:t xml:space="preserve"> the Site </w:t>
      </w:r>
      <w:r w:rsidR="004856FD">
        <w:t xml:space="preserve">requiring institutional controls </w:t>
      </w:r>
      <w:r w:rsidR="004856FD" w:rsidRPr="005F3808">
        <w:t>(</w:t>
      </w:r>
      <w:r w:rsidR="004856FD">
        <w:t>i.e</w:t>
      </w:r>
      <w:r w:rsidR="004856FD" w:rsidRPr="005F3808">
        <w:t>., via a</w:t>
      </w:r>
      <w:r w:rsidR="00A3487B">
        <w:t>n environmental</w:t>
      </w:r>
      <w:r w:rsidR="004856FD" w:rsidRPr="005F3808">
        <w:t xml:space="preserve"> covenant)</w:t>
      </w:r>
      <w:r w:rsidR="004856FD">
        <w:t xml:space="preserve"> where </w:t>
      </w:r>
      <w:r w:rsidR="0070245F">
        <w:t>constituents of concern</w:t>
      </w:r>
      <w:r w:rsidR="004856FD">
        <w:t xml:space="preserve"> </w:t>
      </w:r>
      <w:r w:rsidR="005B226C">
        <w:t xml:space="preserve">that </w:t>
      </w:r>
      <w:r w:rsidR="004856FD">
        <w:t xml:space="preserve">exceed CULs would be left in place. </w:t>
      </w:r>
      <w:r w:rsidR="00282182">
        <w:t xml:space="preserve">In these areas, </w:t>
      </w:r>
      <w:r w:rsidR="00F10E0E" w:rsidRPr="005F3808">
        <w:t xml:space="preserve">engineered soil covers, pavement, and structures </w:t>
      </w:r>
      <w:r w:rsidR="00B21584">
        <w:t>would be used</w:t>
      </w:r>
      <w:r w:rsidR="005C2BA0">
        <w:t xml:space="preserve"> </w:t>
      </w:r>
      <w:r w:rsidR="005C2BA0" w:rsidRPr="005F3808">
        <w:t xml:space="preserve">as part of the planned </w:t>
      </w:r>
      <w:r w:rsidR="00AF3F7D">
        <w:t xml:space="preserve">Site </w:t>
      </w:r>
      <w:r w:rsidR="005C2BA0" w:rsidRPr="005F3808">
        <w:t>redevelopment</w:t>
      </w:r>
      <w:r w:rsidR="00DB43BD">
        <w:t xml:space="preserve"> </w:t>
      </w:r>
      <w:r w:rsidR="00F10E0E" w:rsidRPr="005F3808">
        <w:t xml:space="preserve">to </w:t>
      </w:r>
      <w:r w:rsidR="00EB3DED">
        <w:t>isolate</w:t>
      </w:r>
      <w:r w:rsidR="00F10E0E" w:rsidRPr="005F3808">
        <w:t xml:space="preserve"> </w:t>
      </w:r>
      <w:r w:rsidR="00F10E0E" w:rsidRPr="000972B1">
        <w:t>residual</w:t>
      </w:r>
      <w:r w:rsidR="00F10E0E" w:rsidRPr="005F3808">
        <w:t xml:space="preserve"> </w:t>
      </w:r>
      <w:r w:rsidR="0068144A">
        <w:t>contaminants in soils</w:t>
      </w:r>
      <w:r w:rsidR="00F10E0E" w:rsidRPr="005F3808">
        <w:t>, with associated institutional controls and monitoring.</w:t>
      </w:r>
      <w:r w:rsidR="00456FD9">
        <w:t xml:space="preserve"> </w:t>
      </w:r>
      <w:r w:rsidR="008576DF">
        <w:t xml:space="preserve">This alternative is depicted on Figure </w:t>
      </w:r>
      <w:r w:rsidR="00B21FA3">
        <w:t>30</w:t>
      </w:r>
      <w:r w:rsidR="008576DF">
        <w:t>.</w:t>
      </w:r>
    </w:p>
    <w:p w14:paraId="7D2AE67A" w14:textId="0B7809BF" w:rsidR="00F10E0E" w:rsidRDefault="00F10E0E" w:rsidP="001D006C">
      <w:pPr>
        <w:pStyle w:val="RptHeading-Level3"/>
      </w:pPr>
      <w:bookmarkStart w:id="220" w:name="_Toc98847383"/>
      <w:r>
        <w:t>Alternative 4 – No Action</w:t>
      </w:r>
      <w:bookmarkEnd w:id="220"/>
    </w:p>
    <w:p w14:paraId="71D8CCB4" w14:textId="48456AAD" w:rsidR="00F10E0E" w:rsidRDefault="00A9722E" w:rsidP="00686E88">
      <w:pPr>
        <w:pStyle w:val="RptBodyText"/>
      </w:pPr>
      <w:r>
        <w:t>Alternative 4</w:t>
      </w:r>
      <w:r w:rsidR="00AD3514">
        <w:t>, no action,</w:t>
      </w:r>
      <w:r w:rsidR="00F10E0E">
        <w:t xml:space="preserve"> is included for comparison purposes per </w:t>
      </w:r>
      <w:r w:rsidR="00C760DE">
        <w:t>WAC 197-11-440(5)(ii)</w:t>
      </w:r>
      <w:r w:rsidR="00F10E0E">
        <w:t>.</w:t>
      </w:r>
    </w:p>
    <w:p w14:paraId="599E1AE7" w14:textId="556CF542" w:rsidR="005040A0" w:rsidRDefault="00EE2B41" w:rsidP="001D006C">
      <w:pPr>
        <w:pStyle w:val="RptHeading-Level2"/>
      </w:pPr>
      <w:bookmarkStart w:id="221" w:name="_Toc98847384"/>
      <w:r>
        <w:t xml:space="preserve">Detailed Evaluation of </w:t>
      </w:r>
      <w:r w:rsidR="00F10E0E">
        <w:t>Alternatives</w:t>
      </w:r>
      <w:bookmarkEnd w:id="221"/>
    </w:p>
    <w:p w14:paraId="64FA2B42" w14:textId="761BC3B2" w:rsidR="0098443B" w:rsidRDefault="008C2DEF" w:rsidP="001D006C">
      <w:pPr>
        <w:pStyle w:val="RptBodyText"/>
      </w:pPr>
      <w:r>
        <w:t>This section presents the final part of the alternatives</w:t>
      </w:r>
      <w:r w:rsidR="008A0424">
        <w:t>’</w:t>
      </w:r>
      <w:r>
        <w:t xml:space="preserve"> evaluation process by</w:t>
      </w:r>
      <w:r w:rsidR="00771231">
        <w:t xml:space="preserve"> </w:t>
      </w:r>
      <w:r w:rsidR="006C7BFA">
        <w:t xml:space="preserve">comparing the </w:t>
      </w:r>
      <w:r w:rsidR="00A9722E">
        <w:t xml:space="preserve">four </w:t>
      </w:r>
      <w:r w:rsidR="00CE510D">
        <w:t xml:space="preserve">alternatives to the </w:t>
      </w:r>
      <w:r w:rsidR="00CE510D" w:rsidRPr="00395FCE">
        <w:t xml:space="preserve">MTCA </w:t>
      </w:r>
      <w:r w:rsidR="0073336F" w:rsidRPr="00395FCE">
        <w:t xml:space="preserve">threshold and other </w:t>
      </w:r>
      <w:r w:rsidR="00CE510D" w:rsidRPr="00395FCE">
        <w:t>criteria</w:t>
      </w:r>
      <w:r w:rsidR="00BB62B4" w:rsidRPr="00395FCE">
        <w:t xml:space="preserve"> as well as the</w:t>
      </w:r>
      <w:r w:rsidR="0068144A">
        <w:t xml:space="preserve"> disproportionate cost analysis</w:t>
      </w:r>
      <w:r w:rsidR="00BB62B4" w:rsidRPr="00395FCE">
        <w:t xml:space="preserve">. </w:t>
      </w:r>
      <w:r w:rsidR="007B39CA">
        <w:t>The DCA</w:t>
      </w:r>
      <w:r w:rsidR="00395FCE" w:rsidRPr="00B168B3">
        <w:t xml:space="preserve"> compare</w:t>
      </w:r>
      <w:r w:rsidR="00D97214">
        <w:t>s</w:t>
      </w:r>
      <w:r w:rsidR="00395FCE" w:rsidRPr="00B168B3">
        <w:t xml:space="preserve"> the costs and benefits of the alternatives and select</w:t>
      </w:r>
      <w:r w:rsidR="007B39CA">
        <w:t>s</w:t>
      </w:r>
      <w:r w:rsidR="00395FCE" w:rsidRPr="00B168B3">
        <w:t xml:space="preserve"> the alternative that is permanent to the maximum extent practicable. </w:t>
      </w:r>
      <w:r w:rsidR="007F2B9C">
        <w:t xml:space="preserve">The </w:t>
      </w:r>
      <w:r w:rsidR="00570C7D">
        <w:t xml:space="preserve">evaluation </w:t>
      </w:r>
      <w:r w:rsidR="007F2B9C">
        <w:t>criteria</w:t>
      </w:r>
      <w:r w:rsidR="007F2B9C" w:rsidRPr="00395FCE">
        <w:t xml:space="preserve"> </w:t>
      </w:r>
      <w:r w:rsidR="00BB62B4" w:rsidRPr="00395FCE">
        <w:t>are</w:t>
      </w:r>
      <w:r w:rsidR="00CE510D" w:rsidRPr="00395FCE">
        <w:t xml:space="preserve"> summarized </w:t>
      </w:r>
      <w:r w:rsidR="00CE510D">
        <w:t>in Table 25</w:t>
      </w:r>
      <w:r w:rsidR="00FF6F46">
        <w:t xml:space="preserve">, and </w:t>
      </w:r>
      <w:r w:rsidR="00BC61F7">
        <w:t>each</w:t>
      </w:r>
      <w:r w:rsidR="00337D53">
        <w:t xml:space="preserve"> alternative </w:t>
      </w:r>
      <w:r w:rsidR="00570C7D">
        <w:t xml:space="preserve">is evaluated against the criteria </w:t>
      </w:r>
      <w:r w:rsidR="00C746AC">
        <w:t>in Table</w:t>
      </w:r>
      <w:r w:rsidR="005E682C">
        <w:t>s</w:t>
      </w:r>
      <w:r w:rsidR="00C746AC">
        <w:t xml:space="preserve"> 26 through </w:t>
      </w:r>
      <w:r w:rsidR="009F5612">
        <w:t>29</w:t>
      </w:r>
      <w:r w:rsidR="008A12C1">
        <w:t>.</w:t>
      </w:r>
      <w:r w:rsidR="009F5612">
        <w:t xml:space="preserve"> Table 30 summarizes the </w:t>
      </w:r>
      <w:r w:rsidR="00FF6F46">
        <w:t xml:space="preserve">estimated </w:t>
      </w:r>
      <w:r w:rsidR="0078667B">
        <w:t>excavation soil volumes for Alternative</w:t>
      </w:r>
      <w:r w:rsidR="00FF6F46">
        <w:t>s</w:t>
      </w:r>
      <w:r w:rsidR="0078667B">
        <w:t xml:space="preserve"> 1 and 2. </w:t>
      </w:r>
      <w:r w:rsidR="008A12C1">
        <w:t xml:space="preserve">The </w:t>
      </w:r>
      <w:r w:rsidR="00C22DB8">
        <w:t xml:space="preserve">results of these evaluations </w:t>
      </w:r>
      <w:r w:rsidR="008A12C1">
        <w:t xml:space="preserve">are </w:t>
      </w:r>
      <w:r w:rsidR="00C22DB8">
        <w:t xml:space="preserve">discussed </w:t>
      </w:r>
      <w:r w:rsidR="008A12C1">
        <w:t xml:space="preserve">below. </w:t>
      </w:r>
    </w:p>
    <w:p w14:paraId="42BCE91A" w14:textId="77777777" w:rsidR="00802575" w:rsidRDefault="00802575" w:rsidP="00802575">
      <w:pPr>
        <w:pStyle w:val="RptHeading-Level3"/>
      </w:pPr>
      <w:bookmarkStart w:id="222" w:name="_Toc98847385"/>
      <w:r>
        <w:t>Evaluation of Threshold and Other Requirements under MTCA</w:t>
      </w:r>
      <w:bookmarkEnd w:id="222"/>
    </w:p>
    <w:p w14:paraId="64476F12" w14:textId="771B2D4E" w:rsidR="00802575" w:rsidRDefault="006F42DC" w:rsidP="001D006C">
      <w:pPr>
        <w:pStyle w:val="RptBodyText"/>
      </w:pPr>
      <w:r>
        <w:t>The MTCA and other threshold criteria include whether the alternative is protective of human health and the environment, complies with cleanup standards, complies with ARARs, provides for a reasonable restoration timeframe, and provides for compliance monitoring</w:t>
      </w:r>
      <w:r w:rsidR="006060D4">
        <w:t xml:space="preserve"> (Table 25)</w:t>
      </w:r>
      <w:r>
        <w:t>.</w:t>
      </w:r>
    </w:p>
    <w:p w14:paraId="237D0392" w14:textId="77777777" w:rsidR="00802575" w:rsidRDefault="00802575" w:rsidP="00802575">
      <w:pPr>
        <w:pStyle w:val="RptHeading-Level3"/>
      </w:pPr>
      <w:bookmarkStart w:id="223" w:name="_Toc98847386"/>
      <w:r>
        <w:t>Disproportionate Cost Analysis</w:t>
      </w:r>
      <w:bookmarkEnd w:id="223"/>
    </w:p>
    <w:p w14:paraId="0DFEBF73" w14:textId="45FADF6C" w:rsidR="00802575" w:rsidRDefault="00BB48AF" w:rsidP="001D006C">
      <w:pPr>
        <w:pStyle w:val="RptBodyText"/>
      </w:pPr>
      <w:r>
        <w:t xml:space="preserve">In addition </w:t>
      </w:r>
      <w:r w:rsidR="002F4B33">
        <w:t>to the MTCA threshold and other requirements, t</w:t>
      </w:r>
      <w:r w:rsidR="00802575" w:rsidRPr="007B7F3D">
        <w:t xml:space="preserve">he DCA </w:t>
      </w:r>
      <w:r w:rsidR="00802575">
        <w:t>requires seven criteria to be evaluated for each remedial alternative per WAC 173-340-360(3)(f). This includes the overall protectiveness of human health and the environment, the degree to which the alternative is permanent, the total cost, the effectiveness over the long-term, the short-term risks related to construction and implementation of the alternative, the ability for the alternative to be implemented, and the extent to which the alternative addresses public concerns</w:t>
      </w:r>
      <w:r w:rsidR="0009582B">
        <w:t>,</w:t>
      </w:r>
      <w:r w:rsidR="00802575">
        <w:t xml:space="preserve"> if there are any</w:t>
      </w:r>
      <w:r w:rsidR="006060D4">
        <w:t xml:space="preserve"> (Table 25)</w:t>
      </w:r>
      <w:r w:rsidR="00802575">
        <w:t xml:space="preserve">. </w:t>
      </w:r>
    </w:p>
    <w:p w14:paraId="6D4D0257" w14:textId="5D471355" w:rsidR="00ED1D0E" w:rsidRPr="002F1B4D" w:rsidRDefault="00ED1D0E" w:rsidP="001D006C">
      <w:pPr>
        <w:pStyle w:val="RptBodyText"/>
      </w:pPr>
      <w:r>
        <w:rPr>
          <w:b/>
          <w:bCs/>
        </w:rPr>
        <w:t xml:space="preserve">Alternative 1 – </w:t>
      </w:r>
      <w:r w:rsidR="000067B2">
        <w:rPr>
          <w:b/>
          <w:bCs/>
        </w:rPr>
        <w:t xml:space="preserve">Complete </w:t>
      </w:r>
      <w:r>
        <w:rPr>
          <w:b/>
          <w:bCs/>
        </w:rPr>
        <w:t xml:space="preserve">Removal </w:t>
      </w:r>
      <w:r w:rsidR="0025322D">
        <w:rPr>
          <w:b/>
          <w:bCs/>
        </w:rPr>
        <w:t>of Cleanup Level Exceedances</w:t>
      </w:r>
      <w:r w:rsidR="000C54D9">
        <w:rPr>
          <w:b/>
          <w:bCs/>
        </w:rPr>
        <w:t>.</w:t>
      </w:r>
      <w:r w:rsidR="002F1B4D">
        <w:rPr>
          <w:b/>
          <w:bCs/>
        </w:rPr>
        <w:t xml:space="preserve"> </w:t>
      </w:r>
      <w:r w:rsidR="00942D67">
        <w:t>Alternative 1</w:t>
      </w:r>
      <w:r w:rsidR="002F1B4D">
        <w:t xml:space="preserve"> </w:t>
      </w:r>
      <w:r w:rsidR="006A52DE">
        <w:t xml:space="preserve">would involve </w:t>
      </w:r>
      <w:r w:rsidR="00454BF9">
        <w:t>excavat</w:t>
      </w:r>
      <w:r w:rsidR="006A52DE">
        <w:t>ion</w:t>
      </w:r>
      <w:r w:rsidR="00BE66DE">
        <w:t xml:space="preserve"> </w:t>
      </w:r>
      <w:r w:rsidR="006A52DE">
        <w:t xml:space="preserve">of </w:t>
      </w:r>
      <w:r w:rsidR="00C10FD7">
        <w:t xml:space="preserve">soil </w:t>
      </w:r>
      <w:r w:rsidR="008A2BBA">
        <w:t xml:space="preserve">exceeding CULs </w:t>
      </w:r>
      <w:r w:rsidR="00B46406">
        <w:t xml:space="preserve">to </w:t>
      </w:r>
      <w:r w:rsidR="008073B4">
        <w:t xml:space="preserve">below the depth of the deepest exceedance or </w:t>
      </w:r>
      <w:r w:rsidR="00E926F1">
        <w:t>to</w:t>
      </w:r>
      <w:r w:rsidR="008A2806">
        <w:t xml:space="preserve"> the 15 ft </w:t>
      </w:r>
      <w:r w:rsidR="00C94AE2">
        <w:t>point of compliance</w:t>
      </w:r>
      <w:r w:rsidR="0098327B">
        <w:t xml:space="preserve"> depth</w:t>
      </w:r>
      <w:r w:rsidR="008073B4">
        <w:t>, whichever is shallower</w:t>
      </w:r>
      <w:r w:rsidR="002F4E73">
        <w:t xml:space="preserve">, as depicted in Figure </w:t>
      </w:r>
      <w:r w:rsidR="0059479C">
        <w:t>28</w:t>
      </w:r>
      <w:r w:rsidR="008073B4">
        <w:t xml:space="preserve">. </w:t>
      </w:r>
      <w:r w:rsidR="00A849E8">
        <w:t>Excavation would</w:t>
      </w:r>
      <w:r w:rsidR="008073B4">
        <w:t xml:space="preserve"> be</w:t>
      </w:r>
      <w:r w:rsidR="002849F9">
        <w:t xml:space="preserve"> followed by </w:t>
      </w:r>
      <w:r w:rsidR="00C23BA1">
        <w:t xml:space="preserve">backfilling and </w:t>
      </w:r>
      <w:r w:rsidR="00553EB9">
        <w:t xml:space="preserve">surface </w:t>
      </w:r>
      <w:r w:rsidR="00C23BA1">
        <w:t>restoration</w:t>
      </w:r>
      <w:r w:rsidR="00C94AE2">
        <w:t>.</w:t>
      </w:r>
      <w:r w:rsidR="00C23BA1">
        <w:t xml:space="preserve"> </w:t>
      </w:r>
      <w:r w:rsidR="00C94AE2">
        <w:t xml:space="preserve">This </w:t>
      </w:r>
      <w:r w:rsidR="00FA7D90">
        <w:t xml:space="preserve">alternative </w:t>
      </w:r>
      <w:r w:rsidR="00C94AE2">
        <w:t>would allow for an unconditional closure</w:t>
      </w:r>
      <w:r w:rsidR="00D523AF">
        <w:t xml:space="preserve"> and be the most protective of human health and the environment</w:t>
      </w:r>
      <w:r w:rsidR="00C94AE2">
        <w:t>.</w:t>
      </w:r>
      <w:r w:rsidR="00676F7F">
        <w:t xml:space="preserve"> </w:t>
      </w:r>
      <w:r w:rsidR="00916C71">
        <w:t xml:space="preserve">Long-term monitoring </w:t>
      </w:r>
      <w:r w:rsidR="00A849E8">
        <w:t xml:space="preserve">would </w:t>
      </w:r>
      <w:r w:rsidR="00916C71">
        <w:t xml:space="preserve">not be needed </w:t>
      </w:r>
      <w:r w:rsidR="00CD1A09">
        <w:t xml:space="preserve">under this alternative since contaminated soil </w:t>
      </w:r>
      <w:r w:rsidR="00A849E8">
        <w:t xml:space="preserve">would </w:t>
      </w:r>
      <w:r w:rsidR="00CD1A09">
        <w:t xml:space="preserve">be virtually eliminated. </w:t>
      </w:r>
      <w:r w:rsidR="006F7C8C">
        <w:t xml:space="preserve">Implementing this alternative may </w:t>
      </w:r>
      <w:r w:rsidR="00CE351B">
        <w:t xml:space="preserve">not be feasible due to the very low-level CULs for dioxin/furans. </w:t>
      </w:r>
      <w:r w:rsidR="00331EA0">
        <w:t xml:space="preserve">Multiple rounds of excavation and confirmation sampling </w:t>
      </w:r>
      <w:r w:rsidR="00505F57">
        <w:t>could occur, and even then, it may not be possible to</w:t>
      </w:r>
      <w:r w:rsidR="00862681" w:rsidRPr="007C0BDE">
        <w:t xml:space="preserve"> </w:t>
      </w:r>
      <w:r w:rsidR="00735D75" w:rsidRPr="007C0BDE">
        <w:t>meet the CULs for this constituent</w:t>
      </w:r>
      <w:r w:rsidR="00D6015C">
        <w:t xml:space="preserve">. The cost estimate assumes that </w:t>
      </w:r>
      <w:r w:rsidR="003730BC">
        <w:t>“</w:t>
      </w:r>
      <w:r w:rsidR="00D6015C">
        <w:t>live loading</w:t>
      </w:r>
      <w:r w:rsidR="003730BC">
        <w:t>”</w:t>
      </w:r>
      <w:r w:rsidR="00D6015C">
        <w:t xml:space="preserve"> of </w:t>
      </w:r>
      <w:r w:rsidR="005D179E">
        <w:t xml:space="preserve">soil </w:t>
      </w:r>
      <w:r w:rsidR="00BA3CFE">
        <w:t xml:space="preserve">would </w:t>
      </w:r>
      <w:r w:rsidR="005D179E">
        <w:t>be permitted</w:t>
      </w:r>
      <w:r w:rsidR="002F0314">
        <w:t xml:space="preserve"> by the receiving landfill</w:t>
      </w:r>
      <w:r w:rsidR="005D179E">
        <w:t>.</w:t>
      </w:r>
      <w:r w:rsidR="00C85A9B">
        <w:rPr>
          <w:rStyle w:val="FootnoteReference"/>
        </w:rPr>
        <w:footnoteReference w:id="18"/>
      </w:r>
      <w:r w:rsidR="00A644F2">
        <w:t xml:space="preserve"> </w:t>
      </w:r>
      <w:r w:rsidR="00A63642">
        <w:t>To do so</w:t>
      </w:r>
      <w:r w:rsidR="00970652">
        <w:t xml:space="preserve"> requires </w:t>
      </w:r>
      <w:r w:rsidR="00A63642">
        <w:t xml:space="preserve">that </w:t>
      </w:r>
      <w:r w:rsidR="00970652">
        <w:t>the landfill</w:t>
      </w:r>
      <w:r w:rsidR="00E34FE4">
        <w:t xml:space="preserve"> approve </w:t>
      </w:r>
      <w:r w:rsidR="007C5394">
        <w:t>a soil profile based on the RI data collected in 2019</w:t>
      </w:r>
      <w:r w:rsidR="009A748E">
        <w:t xml:space="preserve">. If </w:t>
      </w:r>
      <w:r w:rsidR="00EB7CBC">
        <w:t>live loading</w:t>
      </w:r>
      <w:r w:rsidR="009A748E">
        <w:t xml:space="preserve"> is not approved, </w:t>
      </w:r>
      <w:r w:rsidR="005D179E">
        <w:t xml:space="preserve">stockpiling and sampling of </w:t>
      </w:r>
      <w:r w:rsidR="00933DB0">
        <w:t xml:space="preserve">individual </w:t>
      </w:r>
      <w:r w:rsidR="005D179E">
        <w:t>soil</w:t>
      </w:r>
      <w:r w:rsidR="00933DB0">
        <w:t xml:space="preserve"> stockpiles</w:t>
      </w:r>
      <w:r w:rsidR="005D179E">
        <w:t xml:space="preserve"> </w:t>
      </w:r>
      <w:r w:rsidR="0018727E">
        <w:t xml:space="preserve">would be </w:t>
      </w:r>
      <w:r w:rsidR="005D179E">
        <w:t xml:space="preserve">needed, </w:t>
      </w:r>
      <w:r w:rsidR="0018727E">
        <w:t xml:space="preserve">which would increase </w:t>
      </w:r>
      <w:r w:rsidR="005D179E">
        <w:t>costs</w:t>
      </w:r>
      <w:r w:rsidR="003D5EAA">
        <w:t xml:space="preserve"> significantly</w:t>
      </w:r>
      <w:r w:rsidR="003C0244" w:rsidRPr="007C0BDE">
        <w:t>.</w:t>
      </w:r>
      <w:r w:rsidR="009A7690" w:rsidRPr="007C0BDE">
        <w:t xml:space="preserve"> </w:t>
      </w:r>
      <w:r w:rsidR="00010653" w:rsidRPr="007C0BDE">
        <w:t>Total cost</w:t>
      </w:r>
      <w:r w:rsidR="002A774C" w:rsidRPr="007C0BDE">
        <w:t xml:space="preserve"> </w:t>
      </w:r>
      <w:r w:rsidR="00937C31">
        <w:t xml:space="preserve">for </w:t>
      </w:r>
      <w:r w:rsidR="00943CB6">
        <w:t>A</w:t>
      </w:r>
      <w:r w:rsidR="00A94088">
        <w:t xml:space="preserve">lternative 1 </w:t>
      </w:r>
      <w:r w:rsidR="00943CB6">
        <w:t>is estimated to</w:t>
      </w:r>
      <w:r w:rsidR="002A774C" w:rsidRPr="007C0BDE">
        <w:t xml:space="preserve"> be </w:t>
      </w:r>
      <w:r w:rsidR="006E56E0">
        <w:t xml:space="preserve">approximately </w:t>
      </w:r>
      <w:r w:rsidR="00FC11A1" w:rsidRPr="007C0BDE">
        <w:t>$</w:t>
      </w:r>
      <w:r w:rsidR="007C0BDE" w:rsidRPr="007C0BDE">
        <w:t>8</w:t>
      </w:r>
      <w:r w:rsidR="006E56E0">
        <w:t>.</w:t>
      </w:r>
      <w:r w:rsidR="00427C8C">
        <w:t>0</w:t>
      </w:r>
      <w:r w:rsidR="006E56E0">
        <w:t>M</w:t>
      </w:r>
      <w:r w:rsidR="00373258">
        <w:t>, and a summary of evaluation against the criteria is provided in Table</w:t>
      </w:r>
      <w:r w:rsidR="00D906C1">
        <w:t xml:space="preserve"> 26</w:t>
      </w:r>
      <w:r w:rsidR="007C0BDE" w:rsidRPr="007C0BDE">
        <w:t>.</w:t>
      </w:r>
    </w:p>
    <w:p w14:paraId="2752A206" w14:textId="1E3A7583" w:rsidR="001D3C28" w:rsidRDefault="00ED1D0E" w:rsidP="001D006C">
      <w:pPr>
        <w:pStyle w:val="RptBodyText"/>
      </w:pPr>
      <w:r>
        <w:rPr>
          <w:b/>
          <w:bCs/>
        </w:rPr>
        <w:t xml:space="preserve">Alternative 2 </w:t>
      </w:r>
      <w:r w:rsidR="000C54D9">
        <w:rPr>
          <w:b/>
          <w:bCs/>
        </w:rPr>
        <w:t>–</w:t>
      </w:r>
      <w:r>
        <w:rPr>
          <w:b/>
          <w:bCs/>
        </w:rPr>
        <w:t xml:space="preserve"> </w:t>
      </w:r>
      <w:r w:rsidR="00D733D4">
        <w:rPr>
          <w:b/>
          <w:bCs/>
        </w:rPr>
        <w:t xml:space="preserve">Partial </w:t>
      </w:r>
      <w:r w:rsidR="000C54D9">
        <w:rPr>
          <w:b/>
          <w:bCs/>
        </w:rPr>
        <w:t xml:space="preserve">Removal </w:t>
      </w:r>
      <w:r w:rsidR="0025322D">
        <w:rPr>
          <w:b/>
          <w:bCs/>
        </w:rPr>
        <w:t xml:space="preserve">of Cleanup Level Exceedances </w:t>
      </w:r>
      <w:r w:rsidR="000513CA">
        <w:rPr>
          <w:b/>
          <w:bCs/>
        </w:rPr>
        <w:t>with</w:t>
      </w:r>
      <w:r w:rsidR="0025322D">
        <w:rPr>
          <w:b/>
          <w:bCs/>
        </w:rPr>
        <w:t xml:space="preserve"> Caps/Covers and</w:t>
      </w:r>
      <w:r w:rsidR="000513CA">
        <w:rPr>
          <w:b/>
          <w:bCs/>
        </w:rPr>
        <w:t xml:space="preserve"> Institutional Controls</w:t>
      </w:r>
      <w:r w:rsidR="000C54D9">
        <w:rPr>
          <w:b/>
          <w:bCs/>
        </w:rPr>
        <w:t>.</w:t>
      </w:r>
      <w:r w:rsidR="00461E89">
        <w:rPr>
          <w:b/>
          <w:bCs/>
        </w:rPr>
        <w:t xml:space="preserve"> </w:t>
      </w:r>
      <w:r w:rsidR="006A52DE">
        <w:t>A</w:t>
      </w:r>
      <w:r w:rsidR="00385A88">
        <w:t xml:space="preserve">lternative </w:t>
      </w:r>
      <w:r w:rsidR="006A52DE">
        <w:t>2 would involve</w:t>
      </w:r>
      <w:r w:rsidR="00385A88">
        <w:t xml:space="preserve"> </w:t>
      </w:r>
      <w:r w:rsidR="00391F3D">
        <w:t>excavation of CUL</w:t>
      </w:r>
      <w:r w:rsidR="00385A88">
        <w:t xml:space="preserve"> exceedances outside of the land use covenant area and leave </w:t>
      </w:r>
      <w:r w:rsidR="00391F3D">
        <w:t xml:space="preserve">CUL </w:t>
      </w:r>
      <w:r w:rsidR="00385A88">
        <w:t>exceedances in place inside the land use covenant area</w:t>
      </w:r>
      <w:r w:rsidR="0059479C">
        <w:t>, as depicted in Figure 29</w:t>
      </w:r>
      <w:r w:rsidR="00385A88">
        <w:t xml:space="preserve">. </w:t>
      </w:r>
      <w:r w:rsidR="00B479F1">
        <w:t>E</w:t>
      </w:r>
      <w:r w:rsidR="00B479F1" w:rsidRPr="005F3808">
        <w:t xml:space="preserve">ngineered soil covers, pavement, and structures (as part of the planned </w:t>
      </w:r>
      <w:r w:rsidR="00C82FAF">
        <w:t>S</w:t>
      </w:r>
      <w:r w:rsidR="00B479F1" w:rsidRPr="005F3808">
        <w:t>ite redevelopment)</w:t>
      </w:r>
      <w:r w:rsidR="00B479F1">
        <w:t xml:space="preserve"> would be used to provide isolation of the contaminated soils from human and ecological receptors. Additionally, institutional controls in the form of an environmental covenant would be </w:t>
      </w:r>
      <w:r w:rsidR="009B6195">
        <w:t>used</w:t>
      </w:r>
      <w:r w:rsidR="00B479F1">
        <w:t xml:space="preserve"> to </w:t>
      </w:r>
      <w:r w:rsidR="00CB03BA">
        <w:t>prescribe</w:t>
      </w:r>
      <w:r w:rsidR="00B479F1">
        <w:t xml:space="preserve"> future</w:t>
      </w:r>
      <w:r w:rsidR="00EA7669">
        <w:t xml:space="preserve"> land use</w:t>
      </w:r>
      <w:r w:rsidR="002162F4">
        <w:t xml:space="preserve"> requirements</w:t>
      </w:r>
      <w:r w:rsidR="00B479F1">
        <w:t xml:space="preserve">. Periodic inspections and maintenance of surface covers </w:t>
      </w:r>
      <w:r w:rsidR="00BA3CFE">
        <w:t>would</w:t>
      </w:r>
      <w:r w:rsidR="00B479F1">
        <w:t xml:space="preserve"> ensure long-term effectiveness of this alternative</w:t>
      </w:r>
      <w:r w:rsidR="003D03B8">
        <w:t>.</w:t>
      </w:r>
      <w:r w:rsidR="003C0244">
        <w:t xml:space="preserve"> </w:t>
      </w:r>
      <w:r w:rsidR="003D03B8">
        <w:t xml:space="preserve">Together these remedies </w:t>
      </w:r>
      <w:r w:rsidR="00BA3CFE">
        <w:t>would</w:t>
      </w:r>
      <w:r w:rsidR="003D03B8">
        <w:t xml:space="preserve"> be protective of human health and the environment</w:t>
      </w:r>
      <w:r w:rsidR="009D4118">
        <w:t xml:space="preserve">. The cost estimate assumes that live loading of soil </w:t>
      </w:r>
      <w:r w:rsidR="00BA3CFE">
        <w:t>would</w:t>
      </w:r>
      <w:r w:rsidR="009D4118">
        <w:t xml:space="preserve"> be permitted. If stockpiling and sampling of soil </w:t>
      </w:r>
      <w:r w:rsidR="00880339">
        <w:t>are</w:t>
      </w:r>
      <w:r w:rsidR="009D4118">
        <w:t xml:space="preserve"> needed, costs would increase</w:t>
      </w:r>
      <w:r w:rsidR="00D6210D">
        <w:t xml:space="preserve"> significantly</w:t>
      </w:r>
      <w:r w:rsidR="003C0244">
        <w:t>.</w:t>
      </w:r>
      <w:r w:rsidR="00212EE3">
        <w:t xml:space="preserve"> </w:t>
      </w:r>
      <w:r w:rsidR="007C0BDE" w:rsidRPr="007C0BDE">
        <w:t xml:space="preserve">Total cost </w:t>
      </w:r>
      <w:r w:rsidR="00A94088">
        <w:t xml:space="preserve">for </w:t>
      </w:r>
      <w:r w:rsidR="00427C8C">
        <w:t>A</w:t>
      </w:r>
      <w:r w:rsidR="00A94088">
        <w:t xml:space="preserve">lternative 2 </w:t>
      </w:r>
      <w:r w:rsidR="00931C32">
        <w:t>is estimated to</w:t>
      </w:r>
      <w:r w:rsidR="007C0BDE" w:rsidRPr="007C0BDE">
        <w:t xml:space="preserve"> be $</w:t>
      </w:r>
      <w:r w:rsidR="00104A92">
        <w:t>3</w:t>
      </w:r>
      <w:r w:rsidR="0055641A">
        <w:t>.</w:t>
      </w:r>
      <w:r w:rsidR="00427C8C">
        <w:t>6</w:t>
      </w:r>
      <w:r w:rsidR="0055641A">
        <w:t>M</w:t>
      </w:r>
      <w:r w:rsidR="00373258">
        <w:t>, and a summary of evaluation against the criteria is provided in Table</w:t>
      </w:r>
      <w:r w:rsidR="003D5EAA">
        <w:t xml:space="preserve"> 27</w:t>
      </w:r>
      <w:r w:rsidR="00104A92">
        <w:t>.</w:t>
      </w:r>
    </w:p>
    <w:p w14:paraId="77C25AC6" w14:textId="5C1A73D3" w:rsidR="000C54D9" w:rsidRDefault="000C54D9" w:rsidP="001D006C">
      <w:pPr>
        <w:pStyle w:val="RptBodyText"/>
        <w:rPr>
          <w:b/>
          <w:bCs/>
        </w:rPr>
      </w:pPr>
      <w:r>
        <w:rPr>
          <w:b/>
          <w:bCs/>
        </w:rPr>
        <w:t xml:space="preserve">Alternative 3 </w:t>
      </w:r>
      <w:r w:rsidR="001D3C28">
        <w:rPr>
          <w:b/>
          <w:bCs/>
        </w:rPr>
        <w:t>–</w:t>
      </w:r>
      <w:r>
        <w:rPr>
          <w:b/>
          <w:bCs/>
        </w:rPr>
        <w:t xml:space="preserve"> </w:t>
      </w:r>
      <w:r w:rsidR="001D3C28">
        <w:rPr>
          <w:b/>
          <w:bCs/>
        </w:rPr>
        <w:t>Caps/Covers</w:t>
      </w:r>
      <w:r w:rsidR="000513CA">
        <w:rPr>
          <w:b/>
          <w:bCs/>
        </w:rPr>
        <w:t xml:space="preserve"> with Instituti</w:t>
      </w:r>
      <w:r w:rsidR="004F03A1">
        <w:rPr>
          <w:b/>
          <w:bCs/>
        </w:rPr>
        <w:t>onal Controls</w:t>
      </w:r>
      <w:r w:rsidR="001D3C28">
        <w:rPr>
          <w:b/>
          <w:bCs/>
        </w:rPr>
        <w:t>.</w:t>
      </w:r>
      <w:r w:rsidR="00461E89">
        <w:rPr>
          <w:b/>
          <w:bCs/>
        </w:rPr>
        <w:t xml:space="preserve"> </w:t>
      </w:r>
      <w:r w:rsidR="00BA3CFE">
        <w:t>A</w:t>
      </w:r>
      <w:r w:rsidR="00C0696D">
        <w:t xml:space="preserve">lternative </w:t>
      </w:r>
      <w:r w:rsidR="00BA3CFE">
        <w:t>3 would</w:t>
      </w:r>
      <w:r w:rsidR="00C0696D">
        <w:t xml:space="preserve"> leave </w:t>
      </w:r>
      <w:r w:rsidR="00BA3CFE">
        <w:t xml:space="preserve">residual soil </w:t>
      </w:r>
      <w:r w:rsidR="00C0696D">
        <w:t>con</w:t>
      </w:r>
      <w:r w:rsidR="005E5429">
        <w:t>tamina</w:t>
      </w:r>
      <w:r w:rsidR="00BA3CFE">
        <w:t>n</w:t>
      </w:r>
      <w:r w:rsidR="005E5429">
        <w:t>t</w:t>
      </w:r>
      <w:r w:rsidR="00BA3CFE">
        <w:t>s</w:t>
      </w:r>
      <w:r w:rsidR="005E5429">
        <w:t xml:space="preserve"> in place</w:t>
      </w:r>
      <w:r w:rsidR="0061247F">
        <w:t>, as depicted in Figure 30</w:t>
      </w:r>
      <w:r w:rsidR="005E5429">
        <w:t>. E</w:t>
      </w:r>
      <w:r w:rsidR="005E5429" w:rsidRPr="005F3808">
        <w:t xml:space="preserve">ngineered soil covers, pavement, and structures (as part of the planned </w:t>
      </w:r>
      <w:r w:rsidR="006108B2">
        <w:t>S</w:t>
      </w:r>
      <w:r w:rsidR="005E5429" w:rsidRPr="005F3808">
        <w:t>ite redevelopment)</w:t>
      </w:r>
      <w:r w:rsidR="005E5429">
        <w:t xml:space="preserve"> would be used to </w:t>
      </w:r>
      <w:r w:rsidR="006108B2">
        <w:t>isolate</w:t>
      </w:r>
      <w:r w:rsidR="0060336C">
        <w:t xml:space="preserve"> the contaminated soils from</w:t>
      </w:r>
      <w:r w:rsidR="008D18C1">
        <w:t xml:space="preserve"> human and ecological </w:t>
      </w:r>
      <w:r w:rsidR="0060336C">
        <w:t>receptors</w:t>
      </w:r>
      <w:r w:rsidR="005E5429">
        <w:t>.</w:t>
      </w:r>
      <w:r w:rsidR="0060336C">
        <w:t xml:space="preserve"> </w:t>
      </w:r>
      <w:r w:rsidR="009B6195">
        <w:t xml:space="preserve">Additionally, institutional controls in the form of an environmental covenant would be used to </w:t>
      </w:r>
      <w:r w:rsidR="00CB03BA">
        <w:t>prescribe</w:t>
      </w:r>
      <w:r w:rsidR="009B6195">
        <w:t xml:space="preserve"> future land use</w:t>
      </w:r>
      <w:r w:rsidR="002162F4">
        <w:t xml:space="preserve"> requirements</w:t>
      </w:r>
      <w:r w:rsidR="009B6195">
        <w:t xml:space="preserve">. </w:t>
      </w:r>
      <w:r w:rsidR="00737B82">
        <w:t>Periodic inspections</w:t>
      </w:r>
      <w:r w:rsidR="007A71C9">
        <w:t xml:space="preserve"> and maintenance</w:t>
      </w:r>
      <w:r w:rsidR="00737B82">
        <w:t xml:space="preserve"> of surface covers</w:t>
      </w:r>
      <w:r w:rsidR="007A71C9">
        <w:t xml:space="preserve"> </w:t>
      </w:r>
      <w:r w:rsidR="00BA3CFE">
        <w:t>would</w:t>
      </w:r>
      <w:r w:rsidR="007A71C9">
        <w:t xml:space="preserve"> ensure </w:t>
      </w:r>
      <w:r w:rsidR="00A85E6E">
        <w:t>long-term effectiveness of this alternative</w:t>
      </w:r>
      <w:r w:rsidR="003D03B8">
        <w:t>.</w:t>
      </w:r>
      <w:r w:rsidR="00461E89">
        <w:t xml:space="preserve"> </w:t>
      </w:r>
      <w:r w:rsidR="003D03B8">
        <w:t xml:space="preserve">Together these remedies </w:t>
      </w:r>
      <w:r w:rsidR="00BA3CFE">
        <w:t>would</w:t>
      </w:r>
      <w:r w:rsidR="003D03B8">
        <w:t xml:space="preserve"> be protective of human health and the environment</w:t>
      </w:r>
      <w:r w:rsidR="003C0244">
        <w:t>.</w:t>
      </w:r>
      <w:r w:rsidR="00212EE3">
        <w:t xml:space="preserve"> </w:t>
      </w:r>
      <w:r w:rsidR="00104A92" w:rsidRPr="007C0BDE">
        <w:t xml:space="preserve">Total cost </w:t>
      </w:r>
      <w:r w:rsidR="00A94088">
        <w:t xml:space="preserve">for </w:t>
      </w:r>
      <w:r w:rsidR="00BA3CFE">
        <w:t>A</w:t>
      </w:r>
      <w:r w:rsidR="00A94088">
        <w:t xml:space="preserve">lternative 3 </w:t>
      </w:r>
      <w:r w:rsidR="00931C32">
        <w:t>is estimated to</w:t>
      </w:r>
      <w:r w:rsidR="00104A92" w:rsidRPr="007C0BDE">
        <w:t xml:space="preserve"> be $</w:t>
      </w:r>
      <w:r w:rsidR="00041783">
        <w:t>2.3</w:t>
      </w:r>
      <w:r w:rsidR="0055641A">
        <w:t>M</w:t>
      </w:r>
      <w:r w:rsidR="00373258">
        <w:t xml:space="preserve">, and a summary of evaluation against the criteria is provided in </w:t>
      </w:r>
      <w:r w:rsidR="00B30B56">
        <w:t>Table 28</w:t>
      </w:r>
      <w:r w:rsidR="00104A92" w:rsidRPr="007C0BDE">
        <w:t>.</w:t>
      </w:r>
    </w:p>
    <w:p w14:paraId="7916DA97" w14:textId="240E9139" w:rsidR="001D3C28" w:rsidRDefault="0005109A" w:rsidP="001D006C">
      <w:pPr>
        <w:pStyle w:val="RptBodyText"/>
        <w:rPr>
          <w:color w:val="FF0000"/>
        </w:rPr>
      </w:pPr>
      <w:r w:rsidRPr="00ED1D0E">
        <w:rPr>
          <w:b/>
          <w:bCs/>
        </w:rPr>
        <w:t xml:space="preserve">Alternative </w:t>
      </w:r>
      <w:r w:rsidR="00ED1D0E" w:rsidRPr="00ED1D0E">
        <w:rPr>
          <w:b/>
          <w:bCs/>
        </w:rPr>
        <w:t>4 – No Action</w:t>
      </w:r>
      <w:r w:rsidR="00ED1D0E">
        <w:t xml:space="preserve">. </w:t>
      </w:r>
      <w:r w:rsidR="00BA3CFE">
        <w:t>A</w:t>
      </w:r>
      <w:r w:rsidR="001D3C28">
        <w:t xml:space="preserve">lternative </w:t>
      </w:r>
      <w:r w:rsidR="00BA3CFE">
        <w:t>4 would</w:t>
      </w:r>
      <w:r w:rsidR="00025637">
        <w:t xml:space="preserve"> include no active remediation efforts, no engineering or institutional controls, and no </w:t>
      </w:r>
      <w:r w:rsidR="00665BF1">
        <w:t xml:space="preserve">long-term monitoring. </w:t>
      </w:r>
      <w:r w:rsidR="00476C0E">
        <w:t xml:space="preserve">Natural recovery </w:t>
      </w:r>
      <w:r w:rsidR="00BA3CFE">
        <w:t xml:space="preserve">may occur through biodegradation </w:t>
      </w:r>
      <w:r w:rsidR="00476C0E">
        <w:t xml:space="preserve">for the </w:t>
      </w:r>
      <w:r w:rsidR="00584C58">
        <w:t>petroleum hydrocarbon contaminants</w:t>
      </w:r>
      <w:r w:rsidR="00476C0E">
        <w:t xml:space="preserve"> given enough time. However, </w:t>
      </w:r>
      <w:r w:rsidR="00C610E0">
        <w:t xml:space="preserve">metals </w:t>
      </w:r>
      <w:r w:rsidR="00BA3CFE">
        <w:t xml:space="preserve">would not degrade, </w:t>
      </w:r>
      <w:r w:rsidR="00C610E0">
        <w:t xml:space="preserve">and dioxins/furans </w:t>
      </w:r>
      <w:r w:rsidR="00534B9A">
        <w:t>would not be expected to</w:t>
      </w:r>
      <w:r w:rsidR="00487287">
        <w:t xml:space="preserve"> naturally degrade within a reasonable timeframe</w:t>
      </w:r>
      <w:r w:rsidR="001946CB">
        <w:t>.</w:t>
      </w:r>
      <w:r w:rsidR="00665BF1">
        <w:t xml:space="preserve"> </w:t>
      </w:r>
      <w:r w:rsidR="00D90B81">
        <w:t xml:space="preserve">No remedial costs </w:t>
      </w:r>
      <w:r w:rsidR="00BA3CFE">
        <w:t>would</w:t>
      </w:r>
      <w:r w:rsidR="00D90B81">
        <w:t xml:space="preserve"> be incurred </w:t>
      </w:r>
      <w:r w:rsidR="00852240">
        <w:t>for</w:t>
      </w:r>
      <w:r w:rsidR="00D90B81">
        <w:t xml:space="preserve"> this alternative.</w:t>
      </w:r>
      <w:r w:rsidR="00373258">
        <w:t xml:space="preserve"> A summary of evaluation against the </w:t>
      </w:r>
      <w:r w:rsidR="001946CB">
        <w:t>criteria is provided in Table 29.</w:t>
      </w:r>
    </w:p>
    <w:p w14:paraId="674FEC76" w14:textId="19D50C6C" w:rsidR="00555292" w:rsidRDefault="005030DC" w:rsidP="001D006C">
      <w:pPr>
        <w:pStyle w:val="RptBodyText"/>
      </w:pPr>
      <w:r w:rsidRPr="005030DC">
        <w:t>Costs</w:t>
      </w:r>
      <w:r>
        <w:t xml:space="preserve"> were estimated for </w:t>
      </w:r>
      <w:r w:rsidR="001260CD">
        <w:t>each alternative and include costs for construction,</w:t>
      </w:r>
      <w:r w:rsidR="006965E2">
        <w:t xml:space="preserve"> maintenance, monitoring,</w:t>
      </w:r>
      <w:r w:rsidR="00D546E2">
        <w:t xml:space="preserve"> permitting, and agency oversight. </w:t>
      </w:r>
      <w:r w:rsidR="00815292">
        <w:t xml:space="preserve">In addition, </w:t>
      </w:r>
      <w:r w:rsidR="00BA3CFE">
        <w:t xml:space="preserve">each </w:t>
      </w:r>
      <w:r w:rsidR="00815292">
        <w:t xml:space="preserve">cost </w:t>
      </w:r>
      <w:r w:rsidR="00BA3CFE">
        <w:t xml:space="preserve">estimate </w:t>
      </w:r>
      <w:r w:rsidR="00945405">
        <w:t>include</w:t>
      </w:r>
      <w:r w:rsidR="00BA3CFE">
        <w:t>s</w:t>
      </w:r>
      <w:r w:rsidR="00945405">
        <w:t xml:space="preserve"> a </w:t>
      </w:r>
      <w:r w:rsidR="008B1664">
        <w:t xml:space="preserve">scope and bid contingency. </w:t>
      </w:r>
      <w:r w:rsidR="00C34CB3">
        <w:t xml:space="preserve">Costs including </w:t>
      </w:r>
      <w:r w:rsidR="000344AD">
        <w:t xml:space="preserve">asphalt and concrete paving and other surfacing items </w:t>
      </w:r>
      <w:r w:rsidR="00BA3CFE">
        <w:t>are not</w:t>
      </w:r>
      <w:r w:rsidR="000344AD">
        <w:t xml:space="preserve"> </w:t>
      </w:r>
      <w:r w:rsidR="000F2F50">
        <w:t>included in the remedial cost estimate</w:t>
      </w:r>
      <w:r w:rsidR="00BA3CFE">
        <w:t>, as t</w:t>
      </w:r>
      <w:r w:rsidR="000F2F50">
        <w:t>h</w:t>
      </w:r>
      <w:r w:rsidR="001A11A9">
        <w:t>e</w:t>
      </w:r>
      <w:r w:rsidR="000F2F50">
        <w:t>s</w:t>
      </w:r>
      <w:r w:rsidR="001A11A9">
        <w:t>e</w:t>
      </w:r>
      <w:r w:rsidR="000F2F50">
        <w:t xml:space="preserve"> cost</w:t>
      </w:r>
      <w:r w:rsidR="002E7049">
        <w:t>s</w:t>
      </w:r>
      <w:r w:rsidR="000F2F50">
        <w:t xml:space="preserve"> </w:t>
      </w:r>
      <w:r w:rsidR="00BA3CFE">
        <w:t>would be</w:t>
      </w:r>
      <w:r w:rsidR="000F2F50">
        <w:t xml:space="preserve"> part of </w:t>
      </w:r>
      <w:r w:rsidR="00AB60D4">
        <w:t xml:space="preserve">redevelopment costs and </w:t>
      </w:r>
      <w:r w:rsidR="00BA3CFE">
        <w:t xml:space="preserve">would </w:t>
      </w:r>
      <w:r w:rsidR="00AB60D4">
        <w:t xml:space="preserve">be </w:t>
      </w:r>
      <w:r w:rsidR="00BA3CFE">
        <w:t xml:space="preserve">implemented </w:t>
      </w:r>
      <w:r w:rsidR="00AB60D4">
        <w:t>following</w:t>
      </w:r>
      <w:r w:rsidR="002C54C1">
        <w:t xml:space="preserve"> completion of</w:t>
      </w:r>
      <w:r w:rsidR="00AB60D4">
        <w:t xml:space="preserve"> remedial actions. </w:t>
      </w:r>
      <w:r w:rsidR="00BA3CFE">
        <w:t xml:space="preserve">A </w:t>
      </w:r>
      <w:r w:rsidR="00063CD5">
        <w:t>breakdown</w:t>
      </w:r>
      <w:r w:rsidR="00FE4F18">
        <w:t xml:space="preserve"> of </w:t>
      </w:r>
      <w:r w:rsidR="00BA3CFE">
        <w:t xml:space="preserve">capital costs and periodic </w:t>
      </w:r>
      <w:r w:rsidR="00FE4F18">
        <w:t>costs</w:t>
      </w:r>
      <w:r w:rsidR="0016037A">
        <w:t xml:space="preserve"> </w:t>
      </w:r>
      <w:r w:rsidR="00BA3CFE">
        <w:t xml:space="preserve">are summarized in Table 31 </w:t>
      </w:r>
      <w:r w:rsidR="0016037A">
        <w:t xml:space="preserve">for each alternative </w:t>
      </w:r>
      <w:r w:rsidR="009D412B">
        <w:t>and detailed</w:t>
      </w:r>
      <w:r w:rsidR="00BA3CFE">
        <w:t xml:space="preserve"> estimates </w:t>
      </w:r>
      <w:r w:rsidR="001946CB">
        <w:t xml:space="preserve">for Alternatives 1, 2, and 3 </w:t>
      </w:r>
      <w:r w:rsidR="00BA3CFE">
        <w:t>are provided</w:t>
      </w:r>
      <w:r w:rsidR="009D412B">
        <w:t xml:space="preserve"> in Tables 3</w:t>
      </w:r>
      <w:r w:rsidR="00FE4F18">
        <w:t>2</w:t>
      </w:r>
      <w:r w:rsidR="009D412B">
        <w:t xml:space="preserve"> through 3</w:t>
      </w:r>
      <w:r w:rsidR="009F61CB">
        <w:t>4</w:t>
      </w:r>
      <w:r w:rsidR="00FE1414">
        <w:t>.</w:t>
      </w:r>
      <w:r w:rsidR="00063CD5">
        <w:t xml:space="preserve"> The </w:t>
      </w:r>
      <w:r w:rsidR="002C54C1">
        <w:t>estimated total</w:t>
      </w:r>
      <w:r w:rsidR="00FE4F18">
        <w:t xml:space="preserve"> </w:t>
      </w:r>
      <w:r w:rsidR="00063CD5">
        <w:t>costs for each alternative are summarized below.</w:t>
      </w:r>
    </w:p>
    <w:tbl>
      <w:tblPr>
        <w:tblStyle w:val="TableGrid"/>
        <w:tblW w:w="0" w:type="auto"/>
        <w:tblInd w:w="895" w:type="dxa"/>
        <w:tblLook w:val="04A0" w:firstRow="1" w:lastRow="0" w:firstColumn="1" w:lastColumn="0" w:noHBand="0" w:noVBand="1"/>
      </w:tblPr>
      <w:tblGrid>
        <w:gridCol w:w="5490"/>
        <w:gridCol w:w="2340"/>
      </w:tblGrid>
      <w:tr w:rsidR="00FC0C0D" w:rsidRPr="00FC0C0D" w14:paraId="6C851900" w14:textId="77777777" w:rsidTr="003669DF">
        <w:trPr>
          <w:trHeight w:val="300"/>
        </w:trPr>
        <w:tc>
          <w:tcPr>
            <w:tcW w:w="5490" w:type="dxa"/>
            <w:noWrap/>
            <w:vAlign w:val="center"/>
            <w:hideMark/>
          </w:tcPr>
          <w:p w14:paraId="6A6BF692" w14:textId="70A9A4B8" w:rsidR="00FC0C0D" w:rsidRPr="00D355D0" w:rsidRDefault="00FC0C0D" w:rsidP="001D006C">
            <w:pPr>
              <w:pStyle w:val="RptTable-Heading"/>
              <w:rPr>
                <w:rFonts w:asciiTheme="majorHAnsi" w:hAnsiTheme="majorHAnsi"/>
                <w:sz w:val="18"/>
                <w:szCs w:val="18"/>
              </w:rPr>
            </w:pPr>
            <w:r w:rsidRPr="00D355D0">
              <w:rPr>
                <w:rFonts w:asciiTheme="majorHAnsi" w:hAnsiTheme="majorHAnsi"/>
                <w:sz w:val="18"/>
                <w:szCs w:val="18"/>
              </w:rPr>
              <w:t>Alternative</w:t>
            </w:r>
          </w:p>
        </w:tc>
        <w:tc>
          <w:tcPr>
            <w:tcW w:w="2340" w:type="dxa"/>
            <w:noWrap/>
            <w:vAlign w:val="center"/>
            <w:hideMark/>
          </w:tcPr>
          <w:p w14:paraId="4ADF1DC0" w14:textId="7521E246" w:rsidR="00FC0C0D" w:rsidRPr="00D355D0" w:rsidRDefault="00BA3CFE" w:rsidP="001D006C">
            <w:pPr>
              <w:pStyle w:val="RptTable-Heading"/>
              <w:rPr>
                <w:rFonts w:asciiTheme="majorHAnsi" w:hAnsiTheme="majorHAnsi"/>
                <w:sz w:val="18"/>
                <w:szCs w:val="18"/>
              </w:rPr>
            </w:pPr>
            <w:r w:rsidRPr="00D355D0">
              <w:rPr>
                <w:rFonts w:asciiTheme="majorHAnsi" w:hAnsiTheme="majorHAnsi"/>
                <w:sz w:val="18"/>
                <w:szCs w:val="18"/>
              </w:rPr>
              <w:t xml:space="preserve">Estimated </w:t>
            </w:r>
            <w:r w:rsidR="00FC0C0D" w:rsidRPr="00D355D0">
              <w:rPr>
                <w:rFonts w:asciiTheme="majorHAnsi" w:hAnsiTheme="majorHAnsi"/>
                <w:sz w:val="18"/>
                <w:szCs w:val="18"/>
              </w:rPr>
              <w:t>Total Cost</w:t>
            </w:r>
          </w:p>
        </w:tc>
      </w:tr>
      <w:tr w:rsidR="00FC0C0D" w:rsidRPr="00FC0C0D" w14:paraId="56F6941D" w14:textId="77777777" w:rsidTr="003669DF">
        <w:trPr>
          <w:trHeight w:val="300"/>
        </w:trPr>
        <w:tc>
          <w:tcPr>
            <w:tcW w:w="5490" w:type="dxa"/>
            <w:noWrap/>
            <w:vAlign w:val="center"/>
            <w:hideMark/>
          </w:tcPr>
          <w:p w14:paraId="491D156D" w14:textId="49AB44EB" w:rsidR="00FC0C0D" w:rsidRPr="00D355D0" w:rsidRDefault="00FC0C0D" w:rsidP="00D355D0">
            <w:pPr>
              <w:pStyle w:val="RptTable-Text"/>
              <w:rPr>
                <w:rFonts w:asciiTheme="majorHAnsi" w:hAnsiTheme="majorHAnsi"/>
              </w:rPr>
            </w:pPr>
            <w:r w:rsidRPr="00D355D0">
              <w:rPr>
                <w:rFonts w:asciiTheme="majorHAnsi" w:hAnsiTheme="majorHAnsi"/>
              </w:rPr>
              <w:t xml:space="preserve">Alternative 1 - Complete Removal </w:t>
            </w:r>
            <w:r w:rsidR="0025322D" w:rsidRPr="00D355D0">
              <w:rPr>
                <w:rFonts w:asciiTheme="majorHAnsi" w:hAnsiTheme="majorHAnsi"/>
              </w:rPr>
              <w:t>of Cleanup Level Exceedances</w:t>
            </w:r>
          </w:p>
        </w:tc>
        <w:tc>
          <w:tcPr>
            <w:tcW w:w="2340" w:type="dxa"/>
            <w:noWrap/>
            <w:vAlign w:val="center"/>
            <w:hideMark/>
          </w:tcPr>
          <w:p w14:paraId="7BCBDD52" w14:textId="40D90914" w:rsidR="00FC0C0D" w:rsidRPr="00D355D0" w:rsidRDefault="00FC0C0D" w:rsidP="00D355D0">
            <w:pPr>
              <w:pStyle w:val="RptTable-Text"/>
              <w:jc w:val="center"/>
              <w:rPr>
                <w:rFonts w:asciiTheme="majorHAnsi" w:hAnsiTheme="majorHAnsi"/>
              </w:rPr>
            </w:pPr>
            <w:r w:rsidRPr="00D355D0">
              <w:rPr>
                <w:rFonts w:asciiTheme="majorHAnsi" w:hAnsiTheme="majorHAnsi"/>
              </w:rPr>
              <w:t>$8</w:t>
            </w:r>
            <w:r w:rsidR="00BA3CFE" w:rsidRPr="00D355D0">
              <w:rPr>
                <w:rFonts w:asciiTheme="majorHAnsi" w:hAnsiTheme="majorHAnsi"/>
              </w:rPr>
              <w:t>.</w:t>
            </w:r>
            <w:r w:rsidR="003669DF">
              <w:rPr>
                <w:rFonts w:asciiTheme="majorHAnsi" w:hAnsiTheme="majorHAnsi"/>
              </w:rPr>
              <w:t>0</w:t>
            </w:r>
            <w:r w:rsidR="00BA3CFE" w:rsidRPr="00D355D0">
              <w:rPr>
                <w:rFonts w:asciiTheme="majorHAnsi" w:hAnsiTheme="majorHAnsi"/>
              </w:rPr>
              <w:t>M</w:t>
            </w:r>
          </w:p>
        </w:tc>
      </w:tr>
      <w:tr w:rsidR="00FC0C0D" w:rsidRPr="00FC0C0D" w14:paraId="49341162" w14:textId="77777777" w:rsidTr="003669DF">
        <w:trPr>
          <w:trHeight w:val="300"/>
        </w:trPr>
        <w:tc>
          <w:tcPr>
            <w:tcW w:w="5490" w:type="dxa"/>
            <w:noWrap/>
            <w:vAlign w:val="center"/>
            <w:hideMark/>
          </w:tcPr>
          <w:p w14:paraId="4C9D0A28" w14:textId="5DEA96C3" w:rsidR="00FC0C0D" w:rsidRPr="00D355D0" w:rsidRDefault="00FC0C0D" w:rsidP="00D355D0">
            <w:pPr>
              <w:pStyle w:val="RptTable-Text"/>
              <w:rPr>
                <w:rFonts w:asciiTheme="majorHAnsi" w:hAnsiTheme="majorHAnsi"/>
              </w:rPr>
            </w:pPr>
            <w:r w:rsidRPr="00D355D0">
              <w:rPr>
                <w:rFonts w:asciiTheme="majorHAnsi" w:hAnsiTheme="majorHAnsi"/>
              </w:rPr>
              <w:t xml:space="preserve">Alternative 2 - Partial Removal </w:t>
            </w:r>
            <w:r w:rsidR="0025322D" w:rsidRPr="00D355D0">
              <w:rPr>
                <w:rFonts w:asciiTheme="majorHAnsi" w:hAnsiTheme="majorHAnsi"/>
              </w:rPr>
              <w:t>of Cleanup Level Exceedances</w:t>
            </w:r>
            <w:r w:rsidRPr="00D355D0">
              <w:rPr>
                <w:rFonts w:asciiTheme="majorHAnsi" w:hAnsiTheme="majorHAnsi"/>
              </w:rPr>
              <w:t xml:space="preserve"> with</w:t>
            </w:r>
            <w:r w:rsidR="0025322D" w:rsidRPr="00D355D0">
              <w:rPr>
                <w:rFonts w:asciiTheme="majorHAnsi" w:hAnsiTheme="majorHAnsi"/>
              </w:rPr>
              <w:t xml:space="preserve"> Caps/Covers and</w:t>
            </w:r>
            <w:r w:rsidR="0053431D" w:rsidRPr="00D355D0">
              <w:rPr>
                <w:rFonts w:asciiTheme="majorHAnsi" w:hAnsiTheme="majorHAnsi"/>
              </w:rPr>
              <w:t xml:space="preserve"> </w:t>
            </w:r>
            <w:r w:rsidRPr="00D355D0">
              <w:rPr>
                <w:rFonts w:asciiTheme="majorHAnsi" w:hAnsiTheme="majorHAnsi"/>
              </w:rPr>
              <w:t>Institutional Controls</w:t>
            </w:r>
          </w:p>
        </w:tc>
        <w:tc>
          <w:tcPr>
            <w:tcW w:w="2340" w:type="dxa"/>
            <w:noWrap/>
            <w:vAlign w:val="center"/>
            <w:hideMark/>
          </w:tcPr>
          <w:p w14:paraId="3F9B7068" w14:textId="7F0248A0" w:rsidR="00FC0C0D" w:rsidRPr="00D355D0" w:rsidRDefault="00FC0C0D" w:rsidP="00D355D0">
            <w:pPr>
              <w:pStyle w:val="RptTable-Text"/>
              <w:jc w:val="center"/>
              <w:rPr>
                <w:rFonts w:asciiTheme="majorHAnsi" w:hAnsiTheme="majorHAnsi"/>
              </w:rPr>
            </w:pPr>
            <w:r w:rsidRPr="00D355D0">
              <w:rPr>
                <w:rFonts w:asciiTheme="majorHAnsi" w:hAnsiTheme="majorHAnsi"/>
              </w:rPr>
              <w:t>$3</w:t>
            </w:r>
            <w:r w:rsidR="00BA3CFE" w:rsidRPr="00D355D0">
              <w:rPr>
                <w:rFonts w:asciiTheme="majorHAnsi" w:hAnsiTheme="majorHAnsi"/>
              </w:rPr>
              <w:t>.</w:t>
            </w:r>
            <w:r w:rsidR="003669DF">
              <w:rPr>
                <w:rFonts w:asciiTheme="majorHAnsi" w:hAnsiTheme="majorHAnsi"/>
              </w:rPr>
              <w:t>6</w:t>
            </w:r>
            <w:r w:rsidR="00BA3CFE" w:rsidRPr="00D355D0">
              <w:rPr>
                <w:rFonts w:asciiTheme="majorHAnsi" w:hAnsiTheme="majorHAnsi"/>
              </w:rPr>
              <w:t>M</w:t>
            </w:r>
          </w:p>
        </w:tc>
      </w:tr>
      <w:tr w:rsidR="00FC0C0D" w:rsidRPr="00FC0C0D" w14:paraId="0E4F8B42" w14:textId="77777777" w:rsidTr="003669DF">
        <w:trPr>
          <w:trHeight w:val="300"/>
        </w:trPr>
        <w:tc>
          <w:tcPr>
            <w:tcW w:w="5490" w:type="dxa"/>
            <w:noWrap/>
            <w:vAlign w:val="center"/>
            <w:hideMark/>
          </w:tcPr>
          <w:p w14:paraId="6D8BC101" w14:textId="77777777" w:rsidR="00FC0C0D" w:rsidRPr="00D355D0" w:rsidRDefault="00FC0C0D" w:rsidP="00D355D0">
            <w:pPr>
              <w:pStyle w:val="RptTable-Text"/>
              <w:rPr>
                <w:rFonts w:asciiTheme="majorHAnsi" w:hAnsiTheme="majorHAnsi"/>
              </w:rPr>
            </w:pPr>
            <w:r w:rsidRPr="00D355D0">
              <w:rPr>
                <w:rFonts w:asciiTheme="majorHAnsi" w:hAnsiTheme="majorHAnsi"/>
              </w:rPr>
              <w:t>Alternative 3 - Caps/Covers with Institutional Controls</w:t>
            </w:r>
          </w:p>
        </w:tc>
        <w:tc>
          <w:tcPr>
            <w:tcW w:w="2340" w:type="dxa"/>
            <w:noWrap/>
            <w:vAlign w:val="center"/>
            <w:hideMark/>
          </w:tcPr>
          <w:p w14:paraId="25782C7D" w14:textId="0833B87F" w:rsidR="00FC0C0D" w:rsidRPr="00D355D0" w:rsidRDefault="00FC0C0D" w:rsidP="00D355D0">
            <w:pPr>
              <w:pStyle w:val="RptTable-Text"/>
              <w:jc w:val="center"/>
              <w:rPr>
                <w:rFonts w:asciiTheme="majorHAnsi" w:hAnsiTheme="majorHAnsi"/>
              </w:rPr>
            </w:pPr>
            <w:r w:rsidRPr="00D355D0">
              <w:rPr>
                <w:rFonts w:asciiTheme="majorHAnsi" w:hAnsiTheme="majorHAnsi"/>
              </w:rPr>
              <w:t>$</w:t>
            </w:r>
            <w:r w:rsidR="00707772">
              <w:rPr>
                <w:rFonts w:asciiTheme="majorHAnsi" w:hAnsiTheme="majorHAnsi"/>
              </w:rPr>
              <w:t>2.3</w:t>
            </w:r>
            <w:r w:rsidR="00BA3CFE" w:rsidRPr="00D355D0">
              <w:rPr>
                <w:rFonts w:asciiTheme="majorHAnsi" w:hAnsiTheme="majorHAnsi"/>
              </w:rPr>
              <w:t>M</w:t>
            </w:r>
          </w:p>
        </w:tc>
      </w:tr>
    </w:tbl>
    <w:p w14:paraId="42FC52A1" w14:textId="6367FFF0" w:rsidR="00DC7215" w:rsidRDefault="00FB042D" w:rsidP="00D355D0">
      <w:pPr>
        <w:pStyle w:val="RptHeading-Level2"/>
        <w:spacing w:before="120"/>
      </w:pPr>
      <w:bookmarkStart w:id="224" w:name="_Toc98847387"/>
      <w:r>
        <w:t>Select</w:t>
      </w:r>
      <w:r w:rsidR="00564A63">
        <w:t>ion of Preferred Cleanup Action</w:t>
      </w:r>
      <w:r w:rsidR="00063B01">
        <w:t xml:space="preserve"> Alternative</w:t>
      </w:r>
      <w:r>
        <w:t xml:space="preserve"> Remedy</w:t>
      </w:r>
      <w:bookmarkEnd w:id="224"/>
    </w:p>
    <w:p w14:paraId="01CF3444" w14:textId="166BFE95" w:rsidR="007E27F5" w:rsidRPr="00D355D0" w:rsidRDefault="003347F6" w:rsidP="00D355D0">
      <w:pPr>
        <w:pStyle w:val="RptBodyText"/>
        <w:sectPr w:rsidR="007E27F5" w:rsidRPr="00D355D0" w:rsidSect="00942FE5">
          <w:pgSz w:w="12240" w:h="15840" w:code="1"/>
          <w:pgMar w:top="1440" w:right="1440" w:bottom="1440" w:left="1440" w:header="720" w:footer="720" w:gutter="0"/>
          <w:cols w:space="708"/>
          <w:docGrid w:linePitch="360"/>
        </w:sectPr>
      </w:pPr>
      <w:r w:rsidRPr="00D355D0">
        <w:t xml:space="preserve">Based on the </w:t>
      </w:r>
      <w:r w:rsidR="00D82ED6" w:rsidRPr="00D355D0">
        <w:t xml:space="preserve">evaluation of the alternatives discussed in the previous sections and in Tables </w:t>
      </w:r>
      <w:r w:rsidR="00D93AC8" w:rsidRPr="00D355D0">
        <w:t>26</w:t>
      </w:r>
      <w:r w:rsidR="00D82ED6" w:rsidRPr="00D355D0">
        <w:t xml:space="preserve"> through </w:t>
      </w:r>
      <w:r w:rsidR="00CE1AE1" w:rsidRPr="00D355D0">
        <w:t>3</w:t>
      </w:r>
      <w:r w:rsidR="00B63063" w:rsidRPr="00D355D0">
        <w:t>4</w:t>
      </w:r>
      <w:r w:rsidR="00D82ED6" w:rsidRPr="00D355D0">
        <w:t>,</w:t>
      </w:r>
      <w:r w:rsidR="00701516" w:rsidRPr="00D355D0">
        <w:t xml:space="preserve"> the preferred </w:t>
      </w:r>
      <w:r w:rsidR="002E1D45" w:rsidRPr="00D355D0">
        <w:t>remedy is Alternative 3</w:t>
      </w:r>
      <w:r w:rsidR="00A53EEA" w:rsidRPr="00D355D0">
        <w:t xml:space="preserve">. </w:t>
      </w:r>
      <w:r w:rsidR="006B394B" w:rsidRPr="00D355D0">
        <w:t xml:space="preserve"> </w:t>
      </w:r>
      <w:r w:rsidR="00BA3CFE" w:rsidRPr="00D355D0">
        <w:t>Alternative 3 is</w:t>
      </w:r>
      <w:r w:rsidR="006B394B" w:rsidRPr="00D355D0">
        <w:t xml:space="preserve"> the lo</w:t>
      </w:r>
      <w:r w:rsidR="00CE1AE1" w:rsidRPr="00D355D0">
        <w:t>we</w:t>
      </w:r>
      <w:r w:rsidR="006B394B" w:rsidRPr="00D355D0">
        <w:t xml:space="preserve">st cost of the alternatives </w:t>
      </w:r>
      <w:r w:rsidR="00BA3CFE" w:rsidRPr="00D355D0">
        <w:t>that would</w:t>
      </w:r>
      <w:r w:rsidR="006B394B" w:rsidRPr="00D355D0">
        <w:t xml:space="preserve"> be protective of human health </w:t>
      </w:r>
      <w:r w:rsidR="00B674AF" w:rsidRPr="00D355D0">
        <w:t>and the environment</w:t>
      </w:r>
      <w:r w:rsidR="00BA3CFE" w:rsidRPr="00D355D0">
        <w:t xml:space="preserve"> (i.e., lowest cost of Alternatives 1, 2, and 3; Alternative 4 is not protective)</w:t>
      </w:r>
      <w:r w:rsidR="008077E0" w:rsidRPr="00D355D0">
        <w:t xml:space="preserve">. </w:t>
      </w:r>
      <w:r w:rsidR="00BA3CFE" w:rsidRPr="00D355D0">
        <w:t xml:space="preserve">Alternative 3 accomplishes </w:t>
      </w:r>
      <w:r w:rsidR="001307A8">
        <w:t>protection of human health and the environment</w:t>
      </w:r>
      <w:r w:rsidR="00BA3CFE" w:rsidRPr="00D355D0">
        <w:t xml:space="preserve"> </w:t>
      </w:r>
      <w:r w:rsidR="004B2AE1">
        <w:t>by using</w:t>
      </w:r>
      <w:r w:rsidR="00B674AF" w:rsidRPr="00D355D0">
        <w:t xml:space="preserve"> caps and covers </w:t>
      </w:r>
      <w:r w:rsidR="00BA3CFE" w:rsidRPr="00D355D0">
        <w:t>to</w:t>
      </w:r>
      <w:r w:rsidR="00B674AF" w:rsidRPr="00D355D0">
        <w:t xml:space="preserve"> prevent receptors from </w:t>
      </w:r>
      <w:r w:rsidR="00BA3CFE" w:rsidRPr="00D355D0">
        <w:t>contacting residual contaminants in</w:t>
      </w:r>
      <w:r w:rsidR="00B674AF" w:rsidRPr="00D355D0">
        <w:t xml:space="preserve"> </w:t>
      </w:r>
      <w:r w:rsidR="008077E0" w:rsidRPr="00D355D0">
        <w:t>soil</w:t>
      </w:r>
      <w:r w:rsidR="00BA3CFE" w:rsidRPr="00D355D0">
        <w:t>,</w:t>
      </w:r>
      <w:r w:rsidR="008077E0" w:rsidRPr="00D355D0">
        <w:t xml:space="preserve"> </w:t>
      </w:r>
      <w:r w:rsidR="00231DF5">
        <w:t>and by using</w:t>
      </w:r>
      <w:r w:rsidR="008077E0" w:rsidRPr="00D355D0">
        <w:t xml:space="preserve"> an </w:t>
      </w:r>
      <w:r w:rsidR="002A4597" w:rsidRPr="00D355D0">
        <w:t>environmental</w:t>
      </w:r>
      <w:r w:rsidR="008077E0" w:rsidRPr="00D355D0">
        <w:t xml:space="preserve"> covenant </w:t>
      </w:r>
      <w:r w:rsidR="00BA3CFE" w:rsidRPr="00D355D0">
        <w:t>to</w:t>
      </w:r>
      <w:r w:rsidR="008077E0" w:rsidRPr="00D355D0">
        <w:t xml:space="preserve"> </w:t>
      </w:r>
      <w:r w:rsidR="00231DF5">
        <w:t>prescribe requirements for</w:t>
      </w:r>
      <w:r w:rsidR="00BA3CFE" w:rsidRPr="00D355D0">
        <w:t xml:space="preserve"> </w:t>
      </w:r>
      <w:r w:rsidR="002849D5" w:rsidRPr="00D355D0">
        <w:t>future</w:t>
      </w:r>
      <w:r w:rsidR="002A4597" w:rsidRPr="00D355D0">
        <w:t xml:space="preserve"> land use</w:t>
      </w:r>
      <w:r w:rsidR="00BA3CFE" w:rsidRPr="00D355D0">
        <w:t xml:space="preserve"> in covenant areas</w:t>
      </w:r>
      <w:r w:rsidR="002A4597" w:rsidRPr="00D355D0">
        <w:t xml:space="preserve">. </w:t>
      </w:r>
    </w:p>
    <w:p w14:paraId="51093E81" w14:textId="77777777" w:rsidR="007E27F5" w:rsidRDefault="007E27F5" w:rsidP="007E27F5">
      <w:pPr>
        <w:pStyle w:val="RptHeading-Level1"/>
      </w:pPr>
      <w:bookmarkStart w:id="225" w:name="_Toc98847388"/>
      <w:r>
        <w:t>Cleanup Action Plan</w:t>
      </w:r>
      <w:bookmarkEnd w:id="225"/>
    </w:p>
    <w:p w14:paraId="2B690BC9" w14:textId="77777777" w:rsidR="00380491" w:rsidRDefault="00FB07DC" w:rsidP="00D355D0">
      <w:pPr>
        <w:pStyle w:val="RptBodyText"/>
      </w:pPr>
      <w:r>
        <w:t xml:space="preserve">This section presents a cleanup action plan consistent with the requirements of WAC 173-340-380. </w:t>
      </w:r>
    </w:p>
    <w:p w14:paraId="31091FDE" w14:textId="63F068B3" w:rsidR="00263EC9" w:rsidRDefault="00BE2C7C" w:rsidP="00D355D0">
      <w:pPr>
        <w:pStyle w:val="RptBodyText"/>
      </w:pPr>
      <w:r>
        <w:t xml:space="preserve">The selected remedy </w:t>
      </w:r>
      <w:r w:rsidR="003D1E41">
        <w:t>(Alternative 3</w:t>
      </w:r>
      <w:r w:rsidR="00380491">
        <w:t xml:space="preserve">, </w:t>
      </w:r>
      <w:r>
        <w:t>discussed in Section 9.6</w:t>
      </w:r>
      <w:r w:rsidR="00380491">
        <w:t xml:space="preserve">) </w:t>
      </w:r>
      <w:r w:rsidR="00E73937">
        <w:t xml:space="preserve">will leave </w:t>
      </w:r>
      <w:r w:rsidR="0068144A">
        <w:t>soil</w:t>
      </w:r>
      <w:r w:rsidR="00704FEA">
        <w:t>s</w:t>
      </w:r>
      <w:r w:rsidR="0068144A">
        <w:t xml:space="preserve"> with residual </w:t>
      </w:r>
      <w:r w:rsidR="00E73937">
        <w:t>contamina</w:t>
      </w:r>
      <w:r w:rsidR="0068144A">
        <w:t>nts</w:t>
      </w:r>
      <w:r w:rsidR="00E73937">
        <w:t xml:space="preserve"> in place</w:t>
      </w:r>
      <w:r w:rsidR="00860671">
        <w:t>, and would use e</w:t>
      </w:r>
      <w:r w:rsidR="00E73937" w:rsidRPr="005F3808">
        <w:t>ngineered</w:t>
      </w:r>
      <w:r w:rsidR="00704FEA">
        <w:t xml:space="preserve"> clean</w:t>
      </w:r>
      <w:r w:rsidR="00E73937" w:rsidRPr="005F3808">
        <w:t xml:space="preserve"> soil covers, pavement, and structures (as part of the planned </w:t>
      </w:r>
      <w:r w:rsidR="00AF3F7D">
        <w:t>S</w:t>
      </w:r>
      <w:r w:rsidR="00E73937" w:rsidRPr="005F3808">
        <w:t>ite redevelopment)</w:t>
      </w:r>
      <w:r w:rsidR="00E73937">
        <w:t xml:space="preserve"> to isolat</w:t>
      </w:r>
      <w:r w:rsidR="00461A86">
        <w:t>e</w:t>
      </w:r>
      <w:r w:rsidR="00E73937">
        <w:t xml:space="preserve"> </w:t>
      </w:r>
      <w:r w:rsidR="000B779C">
        <w:t>these soils</w:t>
      </w:r>
      <w:r w:rsidR="00E73937">
        <w:t xml:space="preserve"> from human and ecological receptors. Additionally, institutional controls in the form of an environmental covenant would be used to </w:t>
      </w:r>
      <w:r w:rsidR="000B779C">
        <w:t>prescribe</w:t>
      </w:r>
      <w:r w:rsidR="00BA3CFE">
        <w:t xml:space="preserve"> </w:t>
      </w:r>
      <w:r w:rsidR="00E73937">
        <w:t>future land use</w:t>
      </w:r>
      <w:r w:rsidR="000B779C">
        <w:t xml:space="preserve"> requirements</w:t>
      </w:r>
      <w:r w:rsidR="00E73937">
        <w:t xml:space="preserve">. Periodic inspections and maintenance of surface covers will </w:t>
      </w:r>
      <w:r w:rsidR="000B779C">
        <w:t xml:space="preserve">be used to </w:t>
      </w:r>
      <w:r w:rsidR="00E73937">
        <w:t xml:space="preserve">ensure long-term effectiveness of this alternative. Together these remedies will be protective of human health and the environment. </w:t>
      </w:r>
      <w:r w:rsidR="00263EC9">
        <w:t>The</w:t>
      </w:r>
      <w:r w:rsidR="00AF4F4F">
        <w:t xml:space="preserve"> following sections provide an overview of anticipated implementation schedule and restoration timeframe, compliance monitoring, institutional controls</w:t>
      </w:r>
      <w:r w:rsidR="00687F14">
        <w:t>, and public participation for the cleanup action.</w:t>
      </w:r>
    </w:p>
    <w:p w14:paraId="232E68FD" w14:textId="1A019A4E" w:rsidR="00C13FE3" w:rsidRDefault="00AF7A6B" w:rsidP="00D355D0">
      <w:pPr>
        <w:pStyle w:val="RptHeading-Level2"/>
      </w:pPr>
      <w:bookmarkStart w:id="226" w:name="_Toc98847389"/>
      <w:r>
        <w:t xml:space="preserve">Implementation Schedule and </w:t>
      </w:r>
      <w:r w:rsidR="007866E0" w:rsidRPr="00C13FE3">
        <w:t>Restoration Timeframe</w:t>
      </w:r>
      <w:bookmarkEnd w:id="226"/>
    </w:p>
    <w:p w14:paraId="0A2B2361" w14:textId="58ECF613" w:rsidR="004A2C2C" w:rsidRDefault="00F8121E" w:rsidP="00D355D0">
      <w:pPr>
        <w:pStyle w:val="RptBodyText"/>
      </w:pPr>
      <w:r>
        <w:t xml:space="preserve">The estimated implementation schedule for the selected </w:t>
      </w:r>
      <w:r w:rsidRPr="00EF5650">
        <w:t>remedy</w:t>
      </w:r>
      <w:r w:rsidR="00861AC2" w:rsidRPr="00EF5650">
        <w:t xml:space="preserve">, </w:t>
      </w:r>
      <w:r w:rsidR="00B1260F" w:rsidRPr="00EF5650">
        <w:t>Alternative 3</w:t>
      </w:r>
      <w:r w:rsidR="00861AC2" w:rsidRPr="00EF5650">
        <w:t xml:space="preserve">, is </w:t>
      </w:r>
      <w:r>
        <w:t xml:space="preserve">one </w:t>
      </w:r>
      <w:r w:rsidR="007D2703">
        <w:t xml:space="preserve">to two </w:t>
      </w:r>
      <w:r>
        <w:t>year</w:t>
      </w:r>
      <w:r w:rsidR="007D2703">
        <w:t>s</w:t>
      </w:r>
      <w:r>
        <w:t xml:space="preserve"> following receipt of an Ecology opinion letter </w:t>
      </w:r>
      <w:r w:rsidR="00A25F52">
        <w:t>approving</w:t>
      </w:r>
      <w:r>
        <w:t xml:space="preserve"> the </w:t>
      </w:r>
      <w:r w:rsidR="009410EC">
        <w:t>RI/FS/CAP</w:t>
      </w:r>
      <w:r>
        <w:t>.</w:t>
      </w:r>
      <w:r w:rsidR="00861AC2">
        <w:t xml:space="preserve"> </w:t>
      </w:r>
      <w:r w:rsidR="00FE67A5">
        <w:t xml:space="preserve">The </w:t>
      </w:r>
      <w:r w:rsidR="007F0132">
        <w:t xml:space="preserve">remedy </w:t>
      </w:r>
      <w:r w:rsidR="00C51F71">
        <w:t xml:space="preserve">is anticipated </w:t>
      </w:r>
      <w:r w:rsidR="007F0132">
        <w:t xml:space="preserve">to achieve </w:t>
      </w:r>
      <w:r w:rsidR="00B14E56">
        <w:t>protecti</w:t>
      </w:r>
      <w:r w:rsidR="00626D46">
        <w:t>on</w:t>
      </w:r>
      <w:r w:rsidR="00B14E56">
        <w:t xml:space="preserve"> of human health and the environment </w:t>
      </w:r>
      <w:r w:rsidR="008D3090">
        <w:t>by using</w:t>
      </w:r>
      <w:r w:rsidR="008442F8">
        <w:t xml:space="preserve"> </w:t>
      </w:r>
      <w:r w:rsidR="0016292A">
        <w:t xml:space="preserve">caps and covers as well as </w:t>
      </w:r>
      <w:r w:rsidR="008442F8">
        <w:t>institutional controls (via an environmental covenant)</w:t>
      </w:r>
      <w:r w:rsidR="00B14E56">
        <w:t>, which</w:t>
      </w:r>
      <w:r w:rsidR="0051140F">
        <w:t xml:space="preserve"> will be completed during </w:t>
      </w:r>
      <w:r w:rsidR="003C329F">
        <w:t>S</w:t>
      </w:r>
      <w:r w:rsidR="00376FA5">
        <w:t>ite redevelopment</w:t>
      </w:r>
      <w:r w:rsidR="00740A86">
        <w:t xml:space="preserve">. </w:t>
      </w:r>
      <w:r w:rsidR="003C329F">
        <w:t>Since the implementation schedule will occur in tandem with Site redevelopment</w:t>
      </w:r>
      <w:r w:rsidR="000C729E">
        <w:t>,</w:t>
      </w:r>
      <w:r w:rsidR="00A01116">
        <w:t xml:space="preserve"> the restoration timeframe will align with the </w:t>
      </w:r>
      <w:r w:rsidR="00376FA5">
        <w:t>one-to-two-year</w:t>
      </w:r>
      <w:r w:rsidR="00AC2BE1">
        <w:t xml:space="preserve"> implementation</w:t>
      </w:r>
      <w:r w:rsidR="006E53B5">
        <w:t xml:space="preserve"> schedule for the </w:t>
      </w:r>
      <w:r w:rsidR="00A01116">
        <w:t>selected</w:t>
      </w:r>
      <w:r w:rsidR="006E53B5">
        <w:t xml:space="preserve"> remedy</w:t>
      </w:r>
      <w:r w:rsidR="005A1D08">
        <w:t>.</w:t>
      </w:r>
    </w:p>
    <w:p w14:paraId="09630C81" w14:textId="7CA8E873" w:rsidR="00F72FBA" w:rsidRDefault="00D57106" w:rsidP="00EB4A6B">
      <w:pPr>
        <w:pStyle w:val="RptHeading-Level3"/>
      </w:pPr>
      <w:bookmarkStart w:id="227" w:name="_Toc98847390"/>
      <w:r>
        <w:t xml:space="preserve">Investigation Derived </w:t>
      </w:r>
      <w:r w:rsidR="00F72FBA">
        <w:t xml:space="preserve">Waste </w:t>
      </w:r>
      <w:r w:rsidR="00EB4A6B">
        <w:t>Disposal</w:t>
      </w:r>
      <w:bookmarkEnd w:id="227"/>
    </w:p>
    <w:p w14:paraId="29BDA3E9" w14:textId="2A8C5702" w:rsidR="00E33AA7" w:rsidRDefault="007F3B03" w:rsidP="00D355D0">
      <w:pPr>
        <w:pStyle w:val="RptBodyText"/>
      </w:pPr>
      <w:r>
        <w:t xml:space="preserve">There are currently two 55-gallon drums, one water and one soil, </w:t>
      </w:r>
      <w:r w:rsidR="00D60D58">
        <w:t xml:space="preserve">staged </w:t>
      </w:r>
      <w:r w:rsidR="00130ABD">
        <w:t>on</w:t>
      </w:r>
      <w:r w:rsidR="0075174F">
        <w:t xml:space="preserve"> </w:t>
      </w:r>
      <w:r w:rsidR="00F46484">
        <w:t xml:space="preserve">the </w:t>
      </w:r>
      <w:r w:rsidR="00130ABD">
        <w:t xml:space="preserve">Site </w:t>
      </w:r>
      <w:r>
        <w:t xml:space="preserve">from the remedial investigation field activities. Prior to </w:t>
      </w:r>
      <w:r w:rsidR="00142CBD">
        <w:t xml:space="preserve">redevelopment and implementation of caps and covers </w:t>
      </w:r>
      <w:r w:rsidR="00F46484">
        <w:t>at</w:t>
      </w:r>
      <w:r w:rsidR="00142CBD">
        <w:t xml:space="preserve"> the Site, the </w:t>
      </w:r>
      <w:r w:rsidR="007563F3">
        <w:t xml:space="preserve">drums will be </w:t>
      </w:r>
      <w:r w:rsidR="008650AE">
        <w:t>properly disposed of</w:t>
      </w:r>
      <w:r w:rsidR="004E572A">
        <w:t xml:space="preserve"> </w:t>
      </w:r>
      <w:r w:rsidR="00B14E56">
        <w:t xml:space="preserve">using existing analytical data or additional </w:t>
      </w:r>
      <w:r w:rsidR="00463425">
        <w:t>waste characterization</w:t>
      </w:r>
      <w:r w:rsidR="00B14E56">
        <w:t>, if required by the disposal facility</w:t>
      </w:r>
      <w:r w:rsidR="004E572A">
        <w:t xml:space="preserve">. </w:t>
      </w:r>
    </w:p>
    <w:p w14:paraId="0487CF76" w14:textId="52D5BEB4" w:rsidR="004A2C2C" w:rsidRDefault="004A2C2C" w:rsidP="00D355D0">
      <w:pPr>
        <w:pStyle w:val="RptHeading-Level2"/>
      </w:pPr>
      <w:bookmarkStart w:id="228" w:name="_Toc98847391"/>
      <w:r>
        <w:t>Institutional Controls</w:t>
      </w:r>
      <w:bookmarkEnd w:id="228"/>
    </w:p>
    <w:p w14:paraId="7BA37134" w14:textId="51C74786" w:rsidR="00781CB5" w:rsidRDefault="00F40CCC" w:rsidP="00D355D0">
      <w:pPr>
        <w:pStyle w:val="RptBodyText"/>
      </w:pPr>
      <w:r>
        <w:t xml:space="preserve">Since </w:t>
      </w:r>
      <w:r w:rsidRPr="00D63998">
        <w:t xml:space="preserve">soil </w:t>
      </w:r>
      <w:r w:rsidR="00321647">
        <w:t xml:space="preserve">with </w:t>
      </w:r>
      <w:r w:rsidR="00A3204D">
        <w:t xml:space="preserve">residual contaminants at </w:t>
      </w:r>
      <w:r w:rsidR="00321647">
        <w:t xml:space="preserve">concentrations above cleanup levels </w:t>
      </w:r>
      <w:r w:rsidRPr="00D63998">
        <w:t>will remain in place</w:t>
      </w:r>
      <w:r w:rsidR="004C7C9C">
        <w:t xml:space="preserve"> at the Site</w:t>
      </w:r>
      <w:r w:rsidRPr="00D63998">
        <w:t xml:space="preserve">, </w:t>
      </w:r>
      <w:r w:rsidR="00D63998" w:rsidRPr="00D63998">
        <w:t>an institutional control is required under WAC 173-340-440.</w:t>
      </w:r>
      <w:r w:rsidR="00A327D7">
        <w:t xml:space="preserve"> </w:t>
      </w:r>
      <w:r w:rsidR="00A3204D">
        <w:t>This will be implemented in the form of a</w:t>
      </w:r>
      <w:r w:rsidR="00A327D7">
        <w:t>n environmental covenant</w:t>
      </w:r>
      <w:r w:rsidR="008A40B4">
        <w:t xml:space="preserve"> recorded on the property deed that provides land use restrictions</w:t>
      </w:r>
      <w:r w:rsidR="004C7C9C">
        <w:t xml:space="preserve"> for the environmental covenant areas of the </w:t>
      </w:r>
      <w:r w:rsidR="00B466E6">
        <w:t>S</w:t>
      </w:r>
      <w:r w:rsidR="004C7C9C">
        <w:t>ite</w:t>
      </w:r>
      <w:r w:rsidR="00692AA2">
        <w:t>. Engineered soil covers</w:t>
      </w:r>
      <w:r w:rsidR="00A06D14">
        <w:t xml:space="preserve">, pavements, and structures will physically isolate the </w:t>
      </w:r>
      <w:r w:rsidR="0041412A">
        <w:t xml:space="preserve">residual </w:t>
      </w:r>
      <w:r w:rsidR="00A06D14">
        <w:t>contamina</w:t>
      </w:r>
      <w:r w:rsidR="0041412A">
        <w:t>nts in</w:t>
      </w:r>
      <w:r w:rsidR="00A06D14">
        <w:t xml:space="preserve"> soils from human and ecological receptors.</w:t>
      </w:r>
      <w:r w:rsidR="00786FE3">
        <w:t xml:space="preserve"> Inspections of caps and covers </w:t>
      </w:r>
      <w:r w:rsidR="0097550C">
        <w:t>in addition to</w:t>
      </w:r>
      <w:r w:rsidR="00786FE3">
        <w:t xml:space="preserve"> timely repairs to these surfaces</w:t>
      </w:r>
      <w:r w:rsidR="00AA1EAC">
        <w:t xml:space="preserve"> will ensure </w:t>
      </w:r>
      <w:r w:rsidR="0097550C">
        <w:t xml:space="preserve">Site </w:t>
      </w:r>
      <w:r w:rsidR="00AA1EAC">
        <w:t xml:space="preserve">receptors </w:t>
      </w:r>
      <w:r w:rsidR="00C54F68">
        <w:t xml:space="preserve">continue to </w:t>
      </w:r>
      <w:r w:rsidR="00AA1EAC">
        <w:t>be protected from exposure</w:t>
      </w:r>
      <w:r w:rsidR="005F10C4">
        <w:t xml:space="preserve"> </w:t>
      </w:r>
      <w:r w:rsidR="0040560A">
        <w:t>(s</w:t>
      </w:r>
      <w:r w:rsidR="00E711C7">
        <w:t>ee</w:t>
      </w:r>
      <w:r w:rsidR="0040560A">
        <w:t xml:space="preserve"> Section 10.3 for the Compliance Monitoring Plan). </w:t>
      </w:r>
    </w:p>
    <w:p w14:paraId="763A1E99" w14:textId="181ABFEA" w:rsidR="00781CB5" w:rsidRDefault="00D936BA" w:rsidP="00D355D0">
      <w:pPr>
        <w:pStyle w:val="RptBodyText"/>
      </w:pPr>
      <w:r>
        <w:t xml:space="preserve">In unpaved </w:t>
      </w:r>
      <w:r w:rsidR="00A85C07">
        <w:t xml:space="preserve">or unimproved </w:t>
      </w:r>
      <w:r w:rsidR="00E81F0F">
        <w:t>environmental covenant areas</w:t>
      </w:r>
      <w:r>
        <w:t xml:space="preserve">, </w:t>
      </w:r>
      <w:r w:rsidR="004D0ECB">
        <w:t xml:space="preserve">the engineered soil cover will include </w:t>
      </w:r>
      <w:r w:rsidR="00781CB5">
        <w:t>a mesh fabric layer installed above the contaminated soil</w:t>
      </w:r>
      <w:r w:rsidR="00051889">
        <w:t xml:space="preserve"> and</w:t>
      </w:r>
      <w:r w:rsidR="00781CB5">
        <w:t xml:space="preserve"> </w:t>
      </w:r>
      <w:r w:rsidR="00051889">
        <w:t>a</w:t>
      </w:r>
      <w:r w:rsidR="00781CB5">
        <w:t xml:space="preserve"> 1-foot-thick</w:t>
      </w:r>
      <w:r w:rsidR="00781CB5" w:rsidRPr="00800F72">
        <w:t xml:space="preserve"> </w:t>
      </w:r>
      <w:r w:rsidR="00781CB5">
        <w:t>soil cover consisting of clean fill material placed on top of the fabric layer</w:t>
      </w:r>
      <w:r w:rsidR="00750FB7">
        <w:t xml:space="preserve"> to isolate soils with residual contaminants</w:t>
      </w:r>
      <w:r w:rsidR="00781CB5">
        <w:t>.</w:t>
      </w:r>
    </w:p>
    <w:p w14:paraId="7582C8D3" w14:textId="4C1627FF" w:rsidR="00D720BD" w:rsidRPr="00D720BD" w:rsidRDefault="00A915F7" w:rsidP="00D355D0">
      <w:pPr>
        <w:pStyle w:val="RptBodyText"/>
      </w:pPr>
      <w:r>
        <w:t>T</w:t>
      </w:r>
      <w:r w:rsidR="00606599">
        <w:t>he</w:t>
      </w:r>
      <w:r w:rsidR="00F1752B">
        <w:t xml:space="preserve"> soil management plan </w:t>
      </w:r>
      <w:r w:rsidR="00D34D90">
        <w:t>(SMP</w:t>
      </w:r>
      <w:r w:rsidR="00D45116">
        <w:t>; Appendix J</w:t>
      </w:r>
      <w:r w:rsidR="00D34D90">
        <w:t xml:space="preserve">) </w:t>
      </w:r>
      <w:r w:rsidR="00F1752B">
        <w:t>describe</w:t>
      </w:r>
      <w:r w:rsidR="00781CB5">
        <w:t>s</w:t>
      </w:r>
      <w:r w:rsidR="00F1752B">
        <w:t xml:space="preserve"> how contaminat</w:t>
      </w:r>
      <w:r w:rsidR="00FA1B6B">
        <w:t xml:space="preserve">ion that </w:t>
      </w:r>
      <w:r w:rsidR="00A20B48">
        <w:t xml:space="preserve">remains </w:t>
      </w:r>
      <w:r w:rsidR="00FA1B6B">
        <w:t xml:space="preserve">in place </w:t>
      </w:r>
      <w:r>
        <w:t xml:space="preserve">will </w:t>
      </w:r>
      <w:r w:rsidR="00FA1B6B">
        <w:t>be addressed</w:t>
      </w:r>
      <w:r w:rsidRPr="00A915F7">
        <w:t xml:space="preserve"> </w:t>
      </w:r>
      <w:r w:rsidR="00DC5724">
        <w:t xml:space="preserve">during </w:t>
      </w:r>
      <w:r w:rsidR="00595BB2">
        <w:t xml:space="preserve">implementation of the remedy, and during </w:t>
      </w:r>
      <w:r w:rsidR="00DC5724">
        <w:t xml:space="preserve">any </w:t>
      </w:r>
      <w:r w:rsidRPr="00A915F7">
        <w:t xml:space="preserve">future </w:t>
      </w:r>
      <w:r w:rsidR="00D45116">
        <w:t>Site work</w:t>
      </w:r>
      <w:r w:rsidRPr="00A915F7">
        <w:t xml:space="preserve"> involving subsurface activities</w:t>
      </w:r>
      <w:r w:rsidR="00D45116">
        <w:t xml:space="preserve">. </w:t>
      </w:r>
      <w:r w:rsidR="00D34D90">
        <w:t xml:space="preserve">The SMP </w:t>
      </w:r>
      <w:r w:rsidR="006353B6">
        <w:t>and Health and Safety Plan (HASP; Appendix</w:t>
      </w:r>
      <w:r w:rsidR="000E5AD2">
        <w:t xml:space="preserve"> </w:t>
      </w:r>
      <w:r w:rsidR="006353B6">
        <w:t xml:space="preserve">K) </w:t>
      </w:r>
      <w:r w:rsidR="002A01B1">
        <w:t xml:space="preserve">provide guidance for work in the clean fill zone, and </w:t>
      </w:r>
      <w:r w:rsidR="00B5656C">
        <w:t xml:space="preserve">in the </w:t>
      </w:r>
      <w:r w:rsidR="00DF3C18">
        <w:t xml:space="preserve">underlying </w:t>
      </w:r>
      <w:r w:rsidR="00B5656C">
        <w:t>zone where</w:t>
      </w:r>
      <w:r w:rsidR="002A01B1">
        <w:t xml:space="preserve"> </w:t>
      </w:r>
      <w:r w:rsidR="00D23747">
        <w:t>residual soil impacts remain</w:t>
      </w:r>
      <w:r w:rsidR="006353B6">
        <w:t>.</w:t>
      </w:r>
      <w:r w:rsidR="00EA456E">
        <w:t xml:space="preserve"> </w:t>
      </w:r>
      <w:r w:rsidR="00483F5B">
        <w:t>These</w:t>
      </w:r>
      <w:r w:rsidR="00EA456E">
        <w:t xml:space="preserve"> plans</w:t>
      </w:r>
      <w:r w:rsidR="00483F5B">
        <w:t>, along with the compliance monitoring plan</w:t>
      </w:r>
      <w:r w:rsidR="00250234">
        <w:t xml:space="preserve"> described below,</w:t>
      </w:r>
      <w:r w:rsidR="00EA456E">
        <w:t xml:space="preserve"> provide for worker protection, management of soils, and restoration of </w:t>
      </w:r>
      <w:r w:rsidR="00CB0B30">
        <w:t>caps and covers following completion of subsurface work.</w:t>
      </w:r>
    </w:p>
    <w:p w14:paraId="06C41759" w14:textId="77777777" w:rsidR="00A57207" w:rsidRDefault="00A57207" w:rsidP="00A57207">
      <w:pPr>
        <w:pStyle w:val="RptHeading-Level2"/>
      </w:pPr>
      <w:bookmarkStart w:id="229" w:name="_Toc98847392"/>
      <w:r>
        <w:t>Compliance Monitoring Plan</w:t>
      </w:r>
      <w:bookmarkEnd w:id="229"/>
    </w:p>
    <w:p w14:paraId="2BC06256" w14:textId="098A8608" w:rsidR="00A57207" w:rsidRDefault="00A57207" w:rsidP="00A57207">
      <w:pPr>
        <w:pStyle w:val="RptBodyText"/>
      </w:pPr>
      <w:r>
        <w:t xml:space="preserve">Compliance monitoring will be implemented </w:t>
      </w:r>
      <w:r w:rsidR="008E440A">
        <w:t xml:space="preserve">in a manner </w:t>
      </w:r>
      <w:r>
        <w:t xml:space="preserve">consistent with </w:t>
      </w:r>
      <w:r w:rsidRPr="00226055">
        <w:t>WAC 173-340-410</w:t>
      </w:r>
      <w:r>
        <w:t>, including protection, performance, and confirmational monitoring</w:t>
      </w:r>
      <w:r w:rsidR="0073557D">
        <w:t>, as described further below</w:t>
      </w:r>
      <w:r>
        <w:t>.</w:t>
      </w:r>
    </w:p>
    <w:p w14:paraId="0E894F24" w14:textId="336B7BD1" w:rsidR="00A57207" w:rsidRDefault="00A57207" w:rsidP="00A57207">
      <w:pPr>
        <w:pStyle w:val="RptBodyText"/>
      </w:pPr>
      <w:r>
        <w:t>Protection monitoring will be implemented to c</w:t>
      </w:r>
      <w:r w:rsidRPr="001E4A3E">
        <w:t xml:space="preserve">onfirm that human health and the environment are protected during </w:t>
      </w:r>
      <w:r w:rsidR="00606599">
        <w:t xml:space="preserve">the </w:t>
      </w:r>
      <w:r w:rsidRPr="001E4A3E">
        <w:t>construction and the operation and maintenance period</w:t>
      </w:r>
      <w:r w:rsidR="00606599">
        <w:t>s</w:t>
      </w:r>
      <w:r w:rsidRPr="001E4A3E">
        <w:t xml:space="preserve"> </w:t>
      </w:r>
      <w:r>
        <w:t xml:space="preserve">of the </w:t>
      </w:r>
      <w:r w:rsidRPr="001E4A3E">
        <w:t>cleanup action</w:t>
      </w:r>
      <w:r>
        <w:t>,</w:t>
      </w:r>
      <w:r w:rsidRPr="001E4A3E">
        <w:t xml:space="preserve"> as described in the </w:t>
      </w:r>
      <w:r w:rsidR="005A2FE8">
        <w:t>SMP</w:t>
      </w:r>
      <w:r w:rsidR="00F944D0">
        <w:t xml:space="preserve"> </w:t>
      </w:r>
      <w:r w:rsidR="005A2FE8">
        <w:t xml:space="preserve">(Appendix J) and </w:t>
      </w:r>
      <w:r w:rsidR="00D21188">
        <w:t>HASP</w:t>
      </w:r>
      <w:r>
        <w:t xml:space="preserve"> (Appendix </w:t>
      </w:r>
      <w:r w:rsidR="00053D4D">
        <w:t>K</w:t>
      </w:r>
      <w:r>
        <w:t>).</w:t>
      </w:r>
    </w:p>
    <w:p w14:paraId="44ADE002" w14:textId="6DE4F19B" w:rsidR="00A57207" w:rsidRDefault="00A57207" w:rsidP="00A57207">
      <w:pPr>
        <w:pStyle w:val="RptBodyText"/>
      </w:pPr>
      <w:r>
        <w:t>Performance m</w:t>
      </w:r>
      <w:r w:rsidRPr="00800F72">
        <w:t xml:space="preserve">onitoring </w:t>
      </w:r>
      <w:r>
        <w:t>will include oversight of construction activities for</w:t>
      </w:r>
      <w:r w:rsidRPr="00800F72">
        <w:t xml:space="preserve"> Alternative 3</w:t>
      </w:r>
      <w:r>
        <w:t xml:space="preserve"> to confirm the soil caps and covers are implemented as planned in the environmental covenant areas</w:t>
      </w:r>
      <w:r w:rsidRPr="00800F72">
        <w:t xml:space="preserve">. </w:t>
      </w:r>
      <w:r>
        <w:t xml:space="preserve">The performance monitoring will be documented in a future closure report for the </w:t>
      </w:r>
      <w:r w:rsidR="0073557D">
        <w:t>S</w:t>
      </w:r>
      <w:r>
        <w:t>ite, following implementation of the remedy.</w:t>
      </w:r>
    </w:p>
    <w:p w14:paraId="5D7794F3" w14:textId="21F50F99" w:rsidR="00A57207" w:rsidRPr="00800F72" w:rsidRDefault="00A57207" w:rsidP="00A57207">
      <w:pPr>
        <w:pStyle w:val="RptBodyText"/>
      </w:pPr>
      <w:r>
        <w:t xml:space="preserve">Confirmation monitoring will include long-term monitoring of cap and cover integrity in the environmental covenant areas. This monitoring </w:t>
      </w:r>
      <w:r w:rsidR="00AB15FD">
        <w:t>is assumed to</w:t>
      </w:r>
      <w:r>
        <w:t xml:space="preserve"> include an annual inspection </w:t>
      </w:r>
      <w:r w:rsidR="00870B23">
        <w:t xml:space="preserve">one year after </w:t>
      </w:r>
      <w:r>
        <w:t xml:space="preserve">completion of construction, followed by </w:t>
      </w:r>
      <w:r w:rsidR="00D66694">
        <w:t>one additional inspection</w:t>
      </w:r>
      <w:r>
        <w:t xml:space="preserve"> five years after completion of construction</w:t>
      </w:r>
      <w:r w:rsidR="00D66694">
        <w:t xml:space="preserve"> (i.e., a “five-year review”)</w:t>
      </w:r>
      <w:r>
        <w:t xml:space="preserve">. </w:t>
      </w:r>
      <w:r w:rsidR="0000004C">
        <w:t xml:space="preserve">Based on the findings of </w:t>
      </w:r>
      <w:r w:rsidR="00C11C19">
        <w:t xml:space="preserve">the </w:t>
      </w:r>
      <w:r w:rsidR="0000004C">
        <w:t>confirmation monitoring</w:t>
      </w:r>
      <w:r w:rsidR="00870B23">
        <w:t xml:space="preserve"> inspections</w:t>
      </w:r>
      <w:r w:rsidR="0000004C">
        <w:t>, r</w:t>
      </w:r>
      <w:r w:rsidR="00B924A8">
        <w:t xml:space="preserve">epairs </w:t>
      </w:r>
      <w:r w:rsidR="004376BC">
        <w:t>will be implemented as needed to maintain the 1</w:t>
      </w:r>
      <w:r w:rsidR="00611525">
        <w:t>-</w:t>
      </w:r>
      <w:r w:rsidR="004376BC">
        <w:t>foot</w:t>
      </w:r>
      <w:r w:rsidR="00611525">
        <w:t>-thick</w:t>
      </w:r>
      <w:r w:rsidR="004376BC">
        <w:t xml:space="preserve"> soil cover and underlying </w:t>
      </w:r>
      <w:r w:rsidR="0074246A">
        <w:t xml:space="preserve">mesh </w:t>
      </w:r>
      <w:r w:rsidR="004376BC">
        <w:t xml:space="preserve">fabric barrier, </w:t>
      </w:r>
      <w:r w:rsidR="00BC3CD4">
        <w:t xml:space="preserve">paved areas, </w:t>
      </w:r>
      <w:r w:rsidR="00C721AA">
        <w:t>and foundations.</w:t>
      </w:r>
      <w:r w:rsidR="00E63BDE">
        <w:t xml:space="preserve"> If necessary, </w:t>
      </w:r>
      <w:r w:rsidR="00AB15FD">
        <w:t>additional</w:t>
      </w:r>
      <w:r w:rsidR="00E63BDE">
        <w:t xml:space="preserve"> five-year reviews will be planned </w:t>
      </w:r>
      <w:r w:rsidR="00AB15FD">
        <w:t>following the initial five-year review.</w:t>
      </w:r>
      <w:r w:rsidR="00C721AA">
        <w:t xml:space="preserve"> The SMP (Appendix </w:t>
      </w:r>
      <w:r w:rsidR="00053D4D">
        <w:t xml:space="preserve">J) provides additional guidance for future </w:t>
      </w:r>
      <w:r w:rsidR="00C34855">
        <w:t>S</w:t>
      </w:r>
      <w:r w:rsidR="00053D4D">
        <w:t xml:space="preserve">ite work. </w:t>
      </w:r>
    </w:p>
    <w:p w14:paraId="2DAC41DC" w14:textId="18AECB58" w:rsidR="003772A1" w:rsidRDefault="00384AF8" w:rsidP="00D355D0">
      <w:pPr>
        <w:pStyle w:val="RptHeading-Level2"/>
      </w:pPr>
      <w:bookmarkStart w:id="230" w:name="_Toc98847393"/>
      <w:r>
        <w:t>Public Participation</w:t>
      </w:r>
      <w:bookmarkEnd w:id="230"/>
    </w:p>
    <w:p w14:paraId="729AE986" w14:textId="1A36F5D6" w:rsidR="002A7C76" w:rsidRDefault="00B14E56" w:rsidP="00D355D0">
      <w:pPr>
        <w:pStyle w:val="RptBodyText"/>
      </w:pPr>
      <w:r>
        <w:t>A public comment period will be scheduled and public notice issued by Ecology</w:t>
      </w:r>
      <w:r w:rsidR="007003F1">
        <w:t xml:space="preserve"> for review of the </w:t>
      </w:r>
      <w:r w:rsidR="009E4E5B">
        <w:t>RI/FS/CAP</w:t>
      </w:r>
      <w:r>
        <w:t xml:space="preserve">. </w:t>
      </w:r>
      <w:r w:rsidR="009E4E5B">
        <w:t xml:space="preserve">Following the comment period, </w:t>
      </w:r>
      <w:r w:rsidR="00BC3CD4">
        <w:t xml:space="preserve">both </w:t>
      </w:r>
      <w:r w:rsidR="002B16B4">
        <w:t xml:space="preserve">Ecology comments and </w:t>
      </w:r>
      <w:r w:rsidR="00262D5F">
        <w:t>p</w:t>
      </w:r>
      <w:r w:rsidR="00CC7C31">
        <w:t xml:space="preserve">ublic </w:t>
      </w:r>
      <w:r>
        <w:t xml:space="preserve">comments </w:t>
      </w:r>
      <w:r w:rsidR="00CC7C31">
        <w:t xml:space="preserve">will be addressed </w:t>
      </w:r>
      <w:r w:rsidR="00262D5F">
        <w:t>in finalizing the RI/FS/CAP document</w:t>
      </w:r>
      <w:r w:rsidR="00AD46BD">
        <w:t xml:space="preserve">. </w:t>
      </w:r>
    </w:p>
    <w:p w14:paraId="757F3ADF" w14:textId="4B039276" w:rsidR="003772A1" w:rsidRPr="007866E0" w:rsidRDefault="003772A1" w:rsidP="003772A1">
      <w:pPr>
        <w:rPr>
          <w:lang w:eastAsia="en-US"/>
        </w:rPr>
        <w:sectPr w:rsidR="003772A1" w:rsidRPr="007866E0" w:rsidSect="00942FE5">
          <w:pgSz w:w="12240" w:h="15840" w:code="1"/>
          <w:pgMar w:top="1440" w:right="1440" w:bottom="1440" w:left="1440" w:header="720" w:footer="720" w:gutter="0"/>
          <w:cols w:space="708"/>
          <w:docGrid w:linePitch="360"/>
        </w:sectPr>
      </w:pPr>
    </w:p>
    <w:p w14:paraId="7E4BC044" w14:textId="289C5AFD" w:rsidR="00A7791C" w:rsidRDefault="00A7791C" w:rsidP="00A7791C">
      <w:pPr>
        <w:pStyle w:val="RptHeading-Level1"/>
      </w:pPr>
      <w:bookmarkStart w:id="231" w:name="_Toc98847394"/>
      <w:r w:rsidRPr="00267823">
        <w:t>Conclusions</w:t>
      </w:r>
      <w:bookmarkEnd w:id="231"/>
      <w:r w:rsidRPr="00267823">
        <w:t xml:space="preserve"> </w:t>
      </w:r>
    </w:p>
    <w:p w14:paraId="1BB3C4EC" w14:textId="096AE433" w:rsidR="00A7791C" w:rsidRDefault="00A7791C" w:rsidP="00A7791C">
      <w:pPr>
        <w:pStyle w:val="RptBodyText"/>
      </w:pPr>
      <w:r>
        <w:t xml:space="preserve">This </w:t>
      </w:r>
      <w:r w:rsidR="009410EC">
        <w:t>RI/FS/CAP</w:t>
      </w:r>
      <w:r>
        <w:t xml:space="preserve"> report presents an evaluation of the current nature and extent of contamination </w:t>
      </w:r>
      <w:r w:rsidR="009531F3">
        <w:t>and characterization</w:t>
      </w:r>
      <w:r>
        <w:t xml:space="preserve"> of the Site in consideration of the ultimate goal of attaining an NFA status with Ecology in accordance with MTCA (WAC 173-340). The RI program was developed in consideration of historical Site use and previous investigations. RI activities were completed at the Site in June, July</w:t>
      </w:r>
      <w:r w:rsidR="00153E5B">
        <w:t>,</w:t>
      </w:r>
      <w:r>
        <w:t xml:space="preserve"> and August 2019 in accordance with the Ecology-approved RI Work Plan (Exponent 2019). RI activities included geophysical surveying, test pitting, installation of soil borings, and soil and groundwater sampling. </w:t>
      </w:r>
    </w:p>
    <w:p w14:paraId="5A964762" w14:textId="77777777" w:rsidR="00A7791C" w:rsidRDefault="00A7791C" w:rsidP="00A7791C">
      <w:pPr>
        <w:pStyle w:val="RptBodyText"/>
      </w:pPr>
      <w:r>
        <w:t>Groundwater was determined to be minimally affected with trace concentrations of petroleum hydrocarbons (DRO) and VOCs (toluene and TCE) detected in groundwater on Site at very low levels below analytical reporting limits and substantially below health-based drinking water standards. No COPCs were identified for groundwater. Potential petroleum hydrocarbon sources are historical management of fluids used in vehicle maintenance (Area 1) and fill (Area 1). Likely sources of trace VOCs observed in groundwater are fluids previously managed and used in vehicle maintenance including petroleum products stored in former USTs and solvents historically used for parts washing/degreasing.</w:t>
      </w:r>
    </w:p>
    <w:p w14:paraId="523D568A" w14:textId="773E76CE" w:rsidR="00A7791C" w:rsidRDefault="00A7791C" w:rsidP="00A7791C">
      <w:pPr>
        <w:pStyle w:val="RptBodyText"/>
      </w:pPr>
      <w:r>
        <w:t xml:space="preserve">Primary Site-related impacts to soil were determined to be petroleum hydrocarbons, lead, and dioxins/furans at locations in Areas 1, 2, and 3. Historical site evaluation and RI data indicate that potential sources are historical management of fluids used in vehicle maintenance including petroleum products stored in former USTs (Area 1), waste and material dumping (Area 2), fill (Areas 1, 2, and 3), exterior lead-based paint on the former maintenance building demolished in 2001 (Area 1), landslide debris brought onto the property (Area 3), and former debris burning (Area 3). The following soil COPCs were identified: GRO, DRO, heavy oils, bis(2-chloroethyl) ether, cPAHs, and total dioxins/furans. Heavy oils and </w:t>
      </w:r>
      <w:r w:rsidR="00575FE0">
        <w:t>cPAHs</w:t>
      </w:r>
      <w:r>
        <w:t xml:space="preserve"> in Site soil were determined to be in compliance with the soil cleanup standards. The remaining COPCs exceed the selected soil cleanup levels at select locations shown on Figure 23 and summarized in Table 23, including cleanup levels based on the protection of ecological species as discussed in Section 5.</w:t>
      </w:r>
    </w:p>
    <w:p w14:paraId="3E09A22D" w14:textId="2FFF866B" w:rsidR="00D10380" w:rsidRDefault="00B14E56" w:rsidP="00A7791C">
      <w:pPr>
        <w:pStyle w:val="RptBodyText"/>
      </w:pPr>
      <w:r>
        <w:t xml:space="preserve">The </w:t>
      </w:r>
      <w:r w:rsidR="00A7791C">
        <w:t xml:space="preserve">RI provides a characterization of the nature and extent of Site-related chemicals in soil and groundwater across the Site and provides sufficient information to evaluate and select a technically feasible cleanup alternative. </w:t>
      </w:r>
    </w:p>
    <w:p w14:paraId="1C5FE328" w14:textId="78E2A4CC" w:rsidR="006579DD" w:rsidRDefault="00A7791C" w:rsidP="00A7791C">
      <w:pPr>
        <w:pStyle w:val="RptBodyText"/>
      </w:pPr>
      <w:r>
        <w:t xml:space="preserve">Remedial alternatives for the Site </w:t>
      </w:r>
      <w:r w:rsidR="00CA0056">
        <w:t>were</w:t>
      </w:r>
      <w:r>
        <w:t xml:space="preserve"> developed and evaluated in </w:t>
      </w:r>
      <w:r w:rsidR="00CA0056">
        <w:t>the</w:t>
      </w:r>
      <w:r>
        <w:t xml:space="preserve"> </w:t>
      </w:r>
      <w:r w:rsidR="00D55544">
        <w:t>FS</w:t>
      </w:r>
      <w:r>
        <w:t>.</w:t>
      </w:r>
      <w:r w:rsidR="00CA0056">
        <w:t xml:space="preserve"> This </w:t>
      </w:r>
      <w:r w:rsidR="00D55544">
        <w:t>FS</w:t>
      </w:r>
      <w:r w:rsidR="00106802">
        <w:t xml:space="preserve"> reviewed three alternatives</w:t>
      </w:r>
      <w:r w:rsidR="00B14E56">
        <w:t xml:space="preserve"> in addition to a no action alternative</w:t>
      </w:r>
      <w:r w:rsidR="00106802">
        <w:t>. Alternative 3, caps and covers with institutional controls, was selected because it has the lowest</w:t>
      </w:r>
      <w:r w:rsidR="00537D54">
        <w:t xml:space="preserve"> cost while </w:t>
      </w:r>
      <w:r w:rsidR="00B14E56">
        <w:t xml:space="preserve">providing </w:t>
      </w:r>
      <w:r w:rsidR="00B0775C">
        <w:t>protection for</w:t>
      </w:r>
      <w:r w:rsidR="003F64A8">
        <w:t xml:space="preserve"> </w:t>
      </w:r>
      <w:r w:rsidR="00537D54">
        <w:t xml:space="preserve">human and ecological receptors. </w:t>
      </w:r>
    </w:p>
    <w:p w14:paraId="0E956BB4" w14:textId="3A5E6F19" w:rsidR="004B7A64" w:rsidRDefault="004B7A64" w:rsidP="004B7A64">
      <w:pPr>
        <w:pStyle w:val="RptBodyText"/>
      </w:pPr>
      <w:bookmarkStart w:id="232" w:name="_Hlk93663247"/>
      <w:r>
        <w:t xml:space="preserve">The </w:t>
      </w:r>
      <w:r w:rsidR="00340D77">
        <w:t>CAP</w:t>
      </w:r>
      <w:r>
        <w:t xml:space="preserve"> describes the process for implementing the selected alternative</w:t>
      </w:r>
      <w:r w:rsidR="0073539B">
        <w:t>. I</w:t>
      </w:r>
      <w:r>
        <w:t>nstitutional controls</w:t>
      </w:r>
      <w:r w:rsidR="0073539B">
        <w:t xml:space="preserve"> </w:t>
      </w:r>
      <w:r>
        <w:t>will be</w:t>
      </w:r>
      <w:r w:rsidR="0073539B">
        <w:t xml:space="preserve"> implemented</w:t>
      </w:r>
      <w:r>
        <w:t xml:space="preserve"> in the form of an environmental covenant that will restrict future land use. Caps and covers will be </w:t>
      </w:r>
      <w:r w:rsidR="003D5ED7">
        <w:t>implemented</w:t>
      </w:r>
      <w:r>
        <w:t xml:space="preserve"> during </w:t>
      </w:r>
      <w:r w:rsidR="00340D77">
        <w:t>S</w:t>
      </w:r>
      <w:r>
        <w:t xml:space="preserve">ite redevelopment to isolate soil with residual contaminants from </w:t>
      </w:r>
      <w:r w:rsidR="00340D77">
        <w:t xml:space="preserve">Site </w:t>
      </w:r>
      <w:r>
        <w:t xml:space="preserve">receptors. </w:t>
      </w:r>
      <w:r w:rsidR="00D2244D">
        <w:t xml:space="preserve">It is anticipated that this remedy will be completed within one to two years from receiving the Ecology opinion letter on the RI/FS/CAP. </w:t>
      </w:r>
      <w:r>
        <w:t xml:space="preserve">The </w:t>
      </w:r>
      <w:r w:rsidR="00340D77">
        <w:t>CAP</w:t>
      </w:r>
      <w:r>
        <w:t xml:space="preserve"> includes a</w:t>
      </w:r>
      <w:r w:rsidR="009C0134">
        <w:t>n</w:t>
      </w:r>
      <w:r>
        <w:t xml:space="preserve"> </w:t>
      </w:r>
      <w:r w:rsidR="00340D77">
        <w:t>SMP</w:t>
      </w:r>
      <w:r>
        <w:t xml:space="preserve">, </w:t>
      </w:r>
      <w:r w:rsidR="00340D77">
        <w:t>HASP</w:t>
      </w:r>
      <w:r w:rsidR="00C1159D">
        <w:t>, and compliance monitoring plan</w:t>
      </w:r>
      <w:r>
        <w:t xml:space="preserve">. These plans provide for management of soils, </w:t>
      </w:r>
      <w:r w:rsidR="00C1159D">
        <w:t xml:space="preserve">worker protection, </w:t>
      </w:r>
      <w:r>
        <w:t xml:space="preserve">and restoration of caps and covers during implementation of the remedy and </w:t>
      </w:r>
      <w:r w:rsidR="00473B27">
        <w:t xml:space="preserve">during and </w:t>
      </w:r>
      <w:r>
        <w:t xml:space="preserve">following completion of any future subsurface work within the covenant areas at the Site. </w:t>
      </w:r>
      <w:bookmarkEnd w:id="232"/>
    </w:p>
    <w:p w14:paraId="1CAAE932" w14:textId="77777777" w:rsidR="009E4BAC" w:rsidRDefault="007E27F5" w:rsidP="007E27F5">
      <w:pPr>
        <w:pStyle w:val="RptHeading-Level1"/>
      </w:pPr>
      <w:bookmarkStart w:id="233" w:name="_Toc98847395"/>
      <w:r>
        <w:t>References</w:t>
      </w:r>
      <w:bookmarkEnd w:id="233"/>
    </w:p>
    <w:p w14:paraId="54AFB4BA" w14:textId="77777777" w:rsidR="00237080" w:rsidRDefault="00237080" w:rsidP="00237080">
      <w:pPr>
        <w:pStyle w:val="RptReferenceList"/>
      </w:pPr>
      <w:r w:rsidRPr="00033154">
        <w:t xml:space="preserve">ASTM, 2009. D2488-09a, Standard Practice for Description and Identification of Soils (Visual-Manual Procedure). ASTM International, West Conshohocken, PA. </w:t>
      </w:r>
    </w:p>
    <w:p w14:paraId="73B53708" w14:textId="77777777" w:rsidR="00237080" w:rsidRDefault="00237080" w:rsidP="00237080">
      <w:pPr>
        <w:pStyle w:val="RptReferenceList"/>
      </w:pPr>
      <w:r>
        <w:t>Ecology. 1992. Statistical guidance for ecology site managers. Washington State Department of Ecology, Toxics Cleanup Program. Olympia, WA. Report number 92-54.</w:t>
      </w:r>
    </w:p>
    <w:p w14:paraId="0A0D2A97" w14:textId="77777777" w:rsidR="00237080" w:rsidRDefault="00237080" w:rsidP="00237080">
      <w:pPr>
        <w:pStyle w:val="RptReferenceList"/>
      </w:pPr>
      <w:r>
        <w:t>Ecology. 1994. Natural background soil metals concentrations in Washington State. Washington State Department of Ecology, Toxics Cleanup Program. Olympia, WA. Report number 94-115.</w:t>
      </w:r>
    </w:p>
    <w:p w14:paraId="36279FEC" w14:textId="77777777" w:rsidR="00237080" w:rsidRDefault="00237080" w:rsidP="00237080">
      <w:pPr>
        <w:pStyle w:val="RptReferenceList"/>
      </w:pPr>
      <w:r>
        <w:t>Ecology. 2000. WDOT-Skokomish site near Potlatch, Volume 1. Rapid infiltration hydrogeologic study. Publication No. 00-03-051. December 2000.</w:t>
      </w:r>
    </w:p>
    <w:p w14:paraId="292EFC00" w14:textId="77777777" w:rsidR="00237080" w:rsidRDefault="00237080" w:rsidP="00237080">
      <w:pPr>
        <w:pStyle w:val="RptReferenceList"/>
      </w:pPr>
      <w:r>
        <w:t>Ecology. 2010. Technical Memorandum #8: Natural Background for Dioxins/Furans in WA Soils. Publication No. 10-09-053. https://fortress.wa.gov/ecy/publications/documents/1009053.pdf</w:t>
      </w:r>
    </w:p>
    <w:p w14:paraId="0A86489F" w14:textId="77777777" w:rsidR="00237080" w:rsidRDefault="00237080" w:rsidP="00237080">
      <w:pPr>
        <w:pStyle w:val="RptReferenceList"/>
      </w:pPr>
      <w:r>
        <w:t xml:space="preserve">Ecology.  2014.  Opinion on proposed cleanup of the following site: WSDOT maintenance facility Skokomish, 19811 N US Highway 101, Facility. </w:t>
      </w:r>
      <w:r>
        <w:rPr>
          <w:spacing w:val="-2"/>
        </w:rPr>
        <w:t>Washington State Department of Ecology, Olympia, WA.</w:t>
      </w:r>
      <w:r>
        <w:t xml:space="preserve"> September 27, 2019.</w:t>
      </w:r>
    </w:p>
    <w:p w14:paraId="223A269C" w14:textId="4347FBE4" w:rsidR="004A3301" w:rsidRDefault="004A3301" w:rsidP="004A3301">
      <w:pPr>
        <w:pStyle w:val="RptReferenceList"/>
      </w:pPr>
      <w:bookmarkStart w:id="234" w:name="_Hlk96624232"/>
      <w:r w:rsidRPr="008F7891">
        <w:t>Ecology</w:t>
      </w:r>
      <w:r>
        <w:t xml:space="preserve">.  </w:t>
      </w:r>
      <w:r w:rsidRPr="008F7891">
        <w:t>201</w:t>
      </w:r>
      <w:r>
        <w:t>5.  Evaluating the Human Health Toxicity of Carcinogenic PAHs (cPAHs) Using Toxicity Equivalency Factors</w:t>
      </w:r>
      <w:r w:rsidR="00486B4B">
        <w:t xml:space="preserve"> (TEFs)</w:t>
      </w:r>
      <w:r>
        <w:t xml:space="preserve">. </w:t>
      </w:r>
      <w:r w:rsidRPr="008F7891">
        <w:t>Publication No. 1</w:t>
      </w:r>
      <w:r w:rsidR="00486B4B">
        <w:t>5</w:t>
      </w:r>
      <w:r w:rsidRPr="008F7891">
        <w:t>-09-0</w:t>
      </w:r>
      <w:r w:rsidR="00486B4B">
        <w:t>49</w:t>
      </w:r>
      <w:r>
        <w:t xml:space="preserve">. Toxics Cleanup Program, </w:t>
      </w:r>
      <w:r>
        <w:rPr>
          <w:spacing w:val="-2"/>
        </w:rPr>
        <w:t xml:space="preserve">Washington State Department of Ecology. </w:t>
      </w:r>
      <w:r w:rsidR="00486B4B">
        <w:rPr>
          <w:spacing w:val="-2"/>
        </w:rPr>
        <w:t>April</w:t>
      </w:r>
      <w:r>
        <w:rPr>
          <w:spacing w:val="-2"/>
        </w:rPr>
        <w:t xml:space="preserve"> 201</w:t>
      </w:r>
      <w:r w:rsidR="00486B4B">
        <w:rPr>
          <w:spacing w:val="-2"/>
        </w:rPr>
        <w:t>5</w:t>
      </w:r>
      <w:r>
        <w:rPr>
          <w:spacing w:val="-2"/>
        </w:rPr>
        <w:t xml:space="preserve">. </w:t>
      </w:r>
    </w:p>
    <w:p w14:paraId="5C9CAD37" w14:textId="44D18EEB" w:rsidR="00237080" w:rsidRDefault="00237080" w:rsidP="00237080">
      <w:pPr>
        <w:pStyle w:val="RptReferenceList"/>
      </w:pPr>
      <w:r w:rsidRPr="008F7891">
        <w:t>Ecology</w:t>
      </w:r>
      <w:r>
        <w:t xml:space="preserve">.  </w:t>
      </w:r>
      <w:r w:rsidRPr="008F7891">
        <w:t>2016</w:t>
      </w:r>
      <w:r>
        <w:t xml:space="preserve">.  Remedial investigation checklist. </w:t>
      </w:r>
      <w:r w:rsidRPr="008F7891">
        <w:t>Publication No. 16-09-006</w:t>
      </w:r>
      <w:r>
        <w:t xml:space="preserve">. Toxics Cleanup Program, </w:t>
      </w:r>
      <w:r>
        <w:rPr>
          <w:spacing w:val="-2"/>
        </w:rPr>
        <w:t xml:space="preserve">Washington State Department of Ecology. May 2016. </w:t>
      </w:r>
    </w:p>
    <w:bookmarkEnd w:id="234"/>
    <w:p w14:paraId="0A7F412A" w14:textId="10071BEA" w:rsidR="00742CE5" w:rsidRDefault="00742CE5" w:rsidP="00237080">
      <w:pPr>
        <w:pStyle w:val="RptReferenceList"/>
      </w:pPr>
      <w:r w:rsidRPr="00742CE5">
        <w:t xml:space="preserve">Ecology.  2016.  </w:t>
      </w:r>
      <w:r>
        <w:t>Feasibility Study</w:t>
      </w:r>
      <w:r w:rsidRPr="00742CE5">
        <w:t xml:space="preserve"> checklist. Publication No. 16-09-00</w:t>
      </w:r>
      <w:r>
        <w:t>7</w:t>
      </w:r>
      <w:r w:rsidRPr="00742CE5">
        <w:t xml:space="preserve">. Toxics Cleanup Program, Washington State Department of Ecology. May 2016. </w:t>
      </w:r>
    </w:p>
    <w:p w14:paraId="745CF762" w14:textId="0E49086E" w:rsidR="00742CE5" w:rsidRDefault="00742CE5" w:rsidP="00742CE5">
      <w:pPr>
        <w:pStyle w:val="RptReferenceList"/>
      </w:pPr>
      <w:r w:rsidRPr="008F7891">
        <w:t>Ecology</w:t>
      </w:r>
      <w:r>
        <w:t xml:space="preserve">.  </w:t>
      </w:r>
      <w:r w:rsidRPr="008F7891">
        <w:t>2016</w:t>
      </w:r>
      <w:r>
        <w:t xml:space="preserve">.  Cleanup Action Plan checklist. </w:t>
      </w:r>
      <w:r w:rsidRPr="008F7891">
        <w:t>Publication No. 16-09-00</w:t>
      </w:r>
      <w:r>
        <w:t xml:space="preserve">8. Toxics Cleanup Program, </w:t>
      </w:r>
      <w:r>
        <w:rPr>
          <w:spacing w:val="-2"/>
        </w:rPr>
        <w:t xml:space="preserve">Washington State Department of Ecology. May 2016. </w:t>
      </w:r>
    </w:p>
    <w:p w14:paraId="01ADEC54" w14:textId="18F66510" w:rsidR="00237080" w:rsidRDefault="00237080" w:rsidP="00237080">
      <w:pPr>
        <w:pStyle w:val="RptReferenceList"/>
      </w:pPr>
      <w:r>
        <w:t>Ecology. 2017. Technical Document: Terrestrial Ecological Evaluations under the Model Toxics Control Act. Publication no. 19-09-051. https://fortress.wa.gov/ecy/publications/documents/1909051.pdf.</w:t>
      </w:r>
    </w:p>
    <w:p w14:paraId="085001B9" w14:textId="77777777" w:rsidR="00237080" w:rsidRDefault="00237080" w:rsidP="00237080">
      <w:pPr>
        <w:pStyle w:val="RptReferenceList"/>
      </w:pPr>
      <w:bookmarkStart w:id="235" w:name="_Hlk42956320"/>
      <w:r>
        <w:t xml:space="preserve">Ecology.  2019a.  Opinion on proposed cleanup of the following site: WSDOT maintenance facility Skokomish, 19811 N US Highway 101, Skokomish Nation – Remedial investigation work plan. </w:t>
      </w:r>
      <w:r>
        <w:rPr>
          <w:spacing w:val="-2"/>
        </w:rPr>
        <w:t>Washington State Department of Ecology, Olympia, WA.</w:t>
      </w:r>
      <w:r>
        <w:t xml:space="preserve"> September 27, 2019.</w:t>
      </w:r>
    </w:p>
    <w:p w14:paraId="005EDA53" w14:textId="77777777" w:rsidR="00237080" w:rsidRDefault="00237080" w:rsidP="00237080">
      <w:pPr>
        <w:pStyle w:val="RptReferenceList"/>
      </w:pPr>
      <w:r>
        <w:t>Ecology. 2019b.  E-mail from N. Acklam to S. Shock, Exponent, Bellevue, WA, dated August 8, 2019, regarding r</w:t>
      </w:r>
      <w:r w:rsidRPr="00BC3E71">
        <w:t xml:space="preserve">evisions to </w:t>
      </w:r>
      <w:r>
        <w:t>f</w:t>
      </w:r>
      <w:r w:rsidRPr="00BC3E71">
        <w:t xml:space="preserve">ield </w:t>
      </w:r>
      <w:r>
        <w:t>s</w:t>
      </w:r>
      <w:r w:rsidRPr="00BC3E71">
        <w:t xml:space="preserve">ampling and </w:t>
      </w:r>
      <w:r>
        <w:t>a</w:t>
      </w:r>
      <w:r w:rsidRPr="00BC3E71">
        <w:t>nalysis</w:t>
      </w:r>
      <w:r>
        <w:t xml:space="preserve">. </w:t>
      </w:r>
      <w:r>
        <w:rPr>
          <w:spacing w:val="-2"/>
        </w:rPr>
        <w:t>Washington State Department of Ecology, Olympia, WA.</w:t>
      </w:r>
    </w:p>
    <w:bookmarkEnd w:id="235"/>
    <w:p w14:paraId="51EA4A87" w14:textId="77777777" w:rsidR="00237080" w:rsidRDefault="00237080" w:rsidP="00237080">
      <w:pPr>
        <w:pStyle w:val="RptReferenceList"/>
      </w:pPr>
      <w:r>
        <w:t>ESA. 2013a. Phase I environmental site assessment, Skokomish Indian Nation, WSDOT property, Skokomish, WA. ESA Associates Inc. July 1, 2013.</w:t>
      </w:r>
    </w:p>
    <w:p w14:paraId="243A0A52" w14:textId="77777777" w:rsidR="00237080" w:rsidRDefault="00237080" w:rsidP="00237080">
      <w:pPr>
        <w:pStyle w:val="RptReferenceList"/>
      </w:pPr>
      <w:r>
        <w:t>ESA. 2013b. Phase II environmental site assessment, the Skokomish Indian Nation, WSDOT maintenance facility, Skokomish, WA 98584. ESA Associates Inc. September 30, 2013.</w:t>
      </w:r>
    </w:p>
    <w:p w14:paraId="61AAAEA0" w14:textId="77777777" w:rsidR="00237080" w:rsidRDefault="00237080" w:rsidP="00237080">
      <w:pPr>
        <w:pStyle w:val="RptReferenceList"/>
      </w:pPr>
      <w:r>
        <w:t>ESA. 2013c. Site remediation and characterization, WSDOT maintenance facility, Highway 101 North, MP 336.2, Skokomish Nation, WA. ESA Associates Inc. December 13, 2013.</w:t>
      </w:r>
    </w:p>
    <w:p w14:paraId="6BFA0ADC" w14:textId="77777777" w:rsidR="00237080" w:rsidRDefault="00237080" w:rsidP="00237080">
      <w:pPr>
        <w:pStyle w:val="RptReferenceList"/>
      </w:pPr>
      <w:r>
        <w:t>ESA. 2014a. Groundwater and soil sampling event, WSDOT property, Highway 101 North, Skokomish Nation, Washington. ESA Associates Inc. May 23, 2014.</w:t>
      </w:r>
    </w:p>
    <w:p w14:paraId="727F98D9" w14:textId="77777777" w:rsidR="00237080" w:rsidRDefault="00237080" w:rsidP="00237080">
      <w:pPr>
        <w:pStyle w:val="RptReferenceList"/>
      </w:pPr>
      <w:r>
        <w:t>ESA. 2014b. Site remediation TP-27, B-5, catch basin, WSDOT maintenance facility, Skokomish, WA 98584. ESA Associates Inc. November 1, 2014.</w:t>
      </w:r>
    </w:p>
    <w:p w14:paraId="2417B1A6" w14:textId="77777777" w:rsidR="00237080" w:rsidRDefault="00237080" w:rsidP="00237080">
      <w:pPr>
        <w:pStyle w:val="RptReferenceList"/>
      </w:pPr>
      <w:r>
        <w:t>ESA. 2014c. Site remediation of triangle area, WSDOT maintenance facility, Highway 101 North, MP 336.2, Skokomish Nation, Washington. ESA Associates Inc. November 1, 2014.</w:t>
      </w:r>
    </w:p>
    <w:p w14:paraId="3C06E7AD" w14:textId="77777777" w:rsidR="00237080" w:rsidRDefault="00237080" w:rsidP="00237080">
      <w:pPr>
        <w:pStyle w:val="RptReferenceList"/>
      </w:pPr>
      <w:r>
        <w:t>ESA. 2014d. Site remediation of areas Drum Area 1 and Drum Area 2, WSDOT maintenance facility, Highway 101 North, MP 336.2, Skokomish Nation, Washington. ESA Associates Inc. November 1, 2014.</w:t>
      </w:r>
    </w:p>
    <w:p w14:paraId="6FF29E6D" w14:textId="77777777" w:rsidR="00237080" w:rsidRDefault="00237080" w:rsidP="00237080">
      <w:pPr>
        <w:pStyle w:val="RptReferenceList"/>
      </w:pPr>
      <w:r>
        <w:t>ESA. 2015a. Proposal to conduct site remediation, former quarry, for the WSDOT property, Highway 101 North, Skokomish Indian Nation, Washington. ESA Associates Inc. January 16, 2015.</w:t>
      </w:r>
    </w:p>
    <w:p w14:paraId="49B4BFD9" w14:textId="77777777" w:rsidR="00237080" w:rsidRDefault="00237080" w:rsidP="00237080">
      <w:pPr>
        <w:pStyle w:val="RptReferenceList"/>
      </w:pPr>
      <w:r>
        <w:t>ESA. 2015b. Former quarry soil sampling event, WSDOT property, Highway 101 North, Skokomish Nation, Washington. ESA Associates Inc. February 6, 2015.</w:t>
      </w:r>
    </w:p>
    <w:p w14:paraId="3630B23D" w14:textId="77777777" w:rsidR="00237080" w:rsidRDefault="00237080" w:rsidP="00237080">
      <w:pPr>
        <w:pStyle w:val="RptReferenceList"/>
      </w:pPr>
      <w:r>
        <w:t>ESA. 2015c. Site remediation, burn piles, Highway 101 North, MP 336.2, Skokomish Nation, Washington. ESA Associates Inc. February 6, 2015.</w:t>
      </w:r>
    </w:p>
    <w:p w14:paraId="05328FCD" w14:textId="77777777" w:rsidR="00237080" w:rsidRDefault="00237080" w:rsidP="00237080">
      <w:pPr>
        <w:pStyle w:val="RptReferenceList"/>
      </w:pPr>
      <w:bookmarkStart w:id="236" w:name="_Hlk42956277"/>
      <w:r>
        <w:t xml:space="preserve">Exponent.  2019.  Remedial investigation work plan for Former WSDOT Potlatch Maintenance Facility, Skokomish, Washington; Facility/Site #14549; Cleanup Site #12397; VCP Project #SW1405. Prepared for </w:t>
      </w:r>
      <w:r w:rsidRPr="008F7891">
        <w:t>Skokomish Tribe</w:t>
      </w:r>
      <w:r>
        <w:t>, Skokomish, WA. Exponent, Bellevue, WA. July 24, 2019.</w:t>
      </w:r>
    </w:p>
    <w:bookmarkEnd w:id="236"/>
    <w:p w14:paraId="7FC36371" w14:textId="77777777" w:rsidR="00237080" w:rsidRDefault="00237080" w:rsidP="00237080">
      <w:pPr>
        <w:pStyle w:val="RptReferenceList"/>
      </w:pPr>
      <w:r>
        <w:t>HWA. 2013. Hydrogeological report, Skokomish Tribe, core area wastewater reclamation facilities, Skokomish, Washington. HWA GeoSciences Inc. August 2, 2013.</w:t>
      </w:r>
    </w:p>
    <w:p w14:paraId="05CADA32" w14:textId="77777777" w:rsidR="00237080" w:rsidRDefault="00237080" w:rsidP="00237080">
      <w:pPr>
        <w:pStyle w:val="RptReferenceList"/>
      </w:pPr>
      <w:r>
        <w:t xml:space="preserve">Mason County. 2014. Mason County Development Areas Map. Mason County GIS Department. April 10, 2014. </w:t>
      </w:r>
    </w:p>
    <w:p w14:paraId="52215241" w14:textId="77777777" w:rsidR="00237080" w:rsidRDefault="00237080" w:rsidP="00237080">
      <w:pPr>
        <w:pStyle w:val="RptReferenceList"/>
      </w:pPr>
      <w:r>
        <w:t>Nichols, D. 2018. Personal communication with Dave Nichols, June 16.</w:t>
      </w:r>
    </w:p>
    <w:p w14:paraId="635D7A40" w14:textId="77777777" w:rsidR="00237080" w:rsidRDefault="00237080" w:rsidP="00237080">
      <w:pPr>
        <w:pStyle w:val="RptReferenceList"/>
      </w:pPr>
      <w:r>
        <w:t>PGG. 2005. WSDOT-Potlatch maintenance yard environmental assessment. Pacific Groundwater Group. October 5, 2005.</w:t>
      </w:r>
    </w:p>
    <w:p w14:paraId="1427E602" w14:textId="77777777" w:rsidR="00237080" w:rsidRDefault="00237080" w:rsidP="00237080">
      <w:pPr>
        <w:pStyle w:val="RptReferenceList"/>
      </w:pPr>
      <w:r w:rsidRPr="00326D81">
        <w:rPr>
          <w:lang w:val="es-PE"/>
        </w:rPr>
        <w:t xml:space="preserve">Polenz, Michael, et al. 2010. </w:t>
      </w:r>
      <w:r>
        <w:t>Geologic Map of the Skokomish Valley and Union 7.5-minute quadrangles, Mason County, Washington. June 2010 (revised 2011).</w:t>
      </w:r>
    </w:p>
    <w:p w14:paraId="59AF9EC3" w14:textId="77777777" w:rsidR="00237080" w:rsidRDefault="00237080" w:rsidP="00237080">
      <w:pPr>
        <w:pStyle w:val="RptReferenceList"/>
      </w:pPr>
      <w:r>
        <w:t>U.S. EPA. 1996. RE: Permanent closure of Underground Storage Tanks at Potlatch Maintenance Facility, Facility ID- #4-180007. Letter dated February 20, 1996.</w:t>
      </w:r>
    </w:p>
    <w:p w14:paraId="416A75FB" w14:textId="77777777" w:rsidR="00237080" w:rsidRDefault="00237080" w:rsidP="00237080">
      <w:pPr>
        <w:pStyle w:val="RptReferenceList"/>
      </w:pPr>
      <w:r>
        <w:t xml:space="preserve">U.S. EPA.  2008.  </w:t>
      </w:r>
      <w:r w:rsidRPr="00DE7153">
        <w:t xml:space="preserve">USEPA Contract Laboratory Program </w:t>
      </w:r>
      <w:r w:rsidRPr="008666EE">
        <w:t>Guidelines for Superfund Organic Methods Data Review. EPA-540-R-08-01. United States Environmental Protection Agency, Office of Superfund Remediation and Technology Innovation</w:t>
      </w:r>
      <w:r>
        <w:t xml:space="preserve">, </w:t>
      </w:r>
      <w:r w:rsidRPr="008666EE">
        <w:t>Washington, D.C.</w:t>
      </w:r>
    </w:p>
    <w:p w14:paraId="2C3D018A" w14:textId="77777777" w:rsidR="00237080" w:rsidRDefault="00237080" w:rsidP="00237080">
      <w:pPr>
        <w:pStyle w:val="RptReferenceList"/>
      </w:pPr>
      <w:r w:rsidRPr="00DE7153">
        <w:t>U</w:t>
      </w:r>
      <w:r>
        <w:t>.</w:t>
      </w:r>
      <w:r w:rsidRPr="00DE7153">
        <w:t>S</w:t>
      </w:r>
      <w:r>
        <w:t xml:space="preserve">. </w:t>
      </w:r>
      <w:r w:rsidRPr="00DE7153">
        <w:t xml:space="preserve">EPA. </w:t>
      </w:r>
      <w:r>
        <w:t xml:space="preserve"> </w:t>
      </w:r>
      <w:r w:rsidRPr="00DE7153">
        <w:t>2010. USEPA Contract Laboratory Program National Functional Guidelines for Inorganic Superfund Data Review. EPA</w:t>
      </w:r>
      <w:r>
        <w:t>-</w:t>
      </w:r>
      <w:r w:rsidRPr="00DE7153">
        <w:t>540-R-10-011. United States Environmental Protection Agency, Office of Superfund Remediation and Technology Innovation</w:t>
      </w:r>
      <w:r>
        <w:t xml:space="preserve">, </w:t>
      </w:r>
      <w:r w:rsidRPr="00DE7153">
        <w:t>Washington, D.C.</w:t>
      </w:r>
    </w:p>
    <w:p w14:paraId="3B70DF6E" w14:textId="77777777" w:rsidR="00237080" w:rsidRDefault="00237080" w:rsidP="00237080">
      <w:pPr>
        <w:pStyle w:val="RptReferenceList"/>
      </w:pPr>
      <w:r w:rsidRPr="00DE7153">
        <w:t>U</w:t>
      </w:r>
      <w:r>
        <w:t>.</w:t>
      </w:r>
      <w:r w:rsidRPr="00DE7153">
        <w:t>S</w:t>
      </w:r>
      <w:r>
        <w:t xml:space="preserve">. </w:t>
      </w:r>
      <w:r w:rsidRPr="00DE7153">
        <w:t xml:space="preserve">EPA. </w:t>
      </w:r>
      <w:r>
        <w:t xml:space="preserve"> </w:t>
      </w:r>
      <w:r w:rsidRPr="00DE7153">
        <w:t>201</w:t>
      </w:r>
      <w:r>
        <w:t xml:space="preserve">1.  </w:t>
      </w:r>
      <w:r w:rsidRPr="00DE7153">
        <w:t>USEPA Contract Laboratory Program National Functional Guidelines for Chlorinated Dibenzo-p-Dioxins (CDDs) &amp; Chlorinated Dibenzofurans (CDFs) Data Review.</w:t>
      </w:r>
      <w:r>
        <w:t xml:space="preserve"> EPA-540R-11-016. </w:t>
      </w:r>
      <w:r w:rsidRPr="00DE7153">
        <w:t>United States Environmental Protection Agency, Office of Superfund Remediation and Technology Innovation</w:t>
      </w:r>
      <w:r>
        <w:t xml:space="preserve">, </w:t>
      </w:r>
      <w:r w:rsidRPr="00DE7153">
        <w:t>Washington, D.C.</w:t>
      </w:r>
    </w:p>
    <w:p w14:paraId="74383FB2" w14:textId="77777777" w:rsidR="00237080" w:rsidRDefault="00237080" w:rsidP="00237080">
      <w:pPr>
        <w:pStyle w:val="RptReferenceList"/>
      </w:pPr>
      <w:r>
        <w:t>U.S. EPA.  2014.  National Functional</w:t>
      </w:r>
      <w:r w:rsidRPr="00DE7153">
        <w:t xml:space="preserve"> </w:t>
      </w:r>
      <w:r w:rsidRPr="008666EE">
        <w:t>Guidelines for Superfund Organic Methods Data Review. EPA-540-R-0</w:t>
      </w:r>
      <w:r>
        <w:t>14</w:t>
      </w:r>
      <w:r w:rsidRPr="008666EE">
        <w:t>-0</w:t>
      </w:r>
      <w:r>
        <w:t>02</w:t>
      </w:r>
      <w:r w:rsidRPr="008666EE">
        <w:t>. United States Environmental Protection Agency, Office of Superfund Remediation and Technology Innovation</w:t>
      </w:r>
      <w:r>
        <w:t xml:space="preserve">, </w:t>
      </w:r>
      <w:r w:rsidRPr="008666EE">
        <w:t>Washington, D.C.</w:t>
      </w:r>
    </w:p>
    <w:p w14:paraId="2CF08D78" w14:textId="77777777" w:rsidR="00237080" w:rsidRDefault="00237080" w:rsidP="00237080">
      <w:pPr>
        <w:pStyle w:val="RptReferenceList"/>
      </w:pPr>
      <w:r>
        <w:t xml:space="preserve">USGS. 2016. National Geochemical Database: Soil. United States Geological Survey. </w:t>
      </w:r>
      <w:r w:rsidRPr="0083199A">
        <w:t xml:space="preserve"> </w:t>
      </w:r>
      <w:r w:rsidRPr="00F33DE9">
        <w:t>https://mrdata.usgs.gov/ngdb/soil/</w:t>
      </w:r>
    </w:p>
    <w:p w14:paraId="23700D89" w14:textId="77777777" w:rsidR="00237080" w:rsidRDefault="00237080" w:rsidP="00237080">
      <w:pPr>
        <w:pStyle w:val="RptReferenceList"/>
      </w:pPr>
      <w:r>
        <w:t>WSDOT. 1995a. Underground storage tank site assessment and closure report. November 3, 1995.</w:t>
      </w:r>
    </w:p>
    <w:p w14:paraId="1CC40B8D" w14:textId="77777777" w:rsidR="00237080" w:rsidRDefault="00237080" w:rsidP="00237080">
      <w:pPr>
        <w:pStyle w:val="RptReferenceList"/>
      </w:pPr>
      <w:r>
        <w:t>WSDOT. 1995b. Final report of Phase I environmental site assessment of Potlatch Property, FCR#3223DB00. December 1, 1995.</w:t>
      </w:r>
    </w:p>
    <w:p w14:paraId="27FBDE57" w14:textId="77777777" w:rsidR="00237080" w:rsidRDefault="00237080" w:rsidP="00237080">
      <w:pPr>
        <w:pStyle w:val="RptReferenceList"/>
      </w:pPr>
      <w:r>
        <w:t>WSDOT. 1995c. Handwritten notes regarding Shelton Johns Prairie Road and Potlatch drain tile excavation. December 7, 1995.</w:t>
      </w:r>
    </w:p>
    <w:p w14:paraId="048D7957" w14:textId="77777777" w:rsidR="00237080" w:rsidRDefault="00237080" w:rsidP="00237080">
      <w:pPr>
        <w:pStyle w:val="RptReferenceList"/>
      </w:pPr>
      <w:r>
        <w:t>WSDOT. 1995d. Photos with hand-written notes regarding excavation of tightline leading from building to drywell. December 7, 1995.</w:t>
      </w:r>
    </w:p>
    <w:p w14:paraId="4274A7E4" w14:textId="77777777" w:rsidR="00237080" w:rsidRDefault="00237080" w:rsidP="00237080">
      <w:pPr>
        <w:pStyle w:val="RptReferenceList"/>
      </w:pPr>
      <w:r>
        <w:t>WSDOT. 1996. Handwritten notes regarding UST excavation. January 25, 1996.WSDOT 1996b. Handwritten notes regarding re-excavation of drywell area. January 9, 1996.</w:t>
      </w:r>
    </w:p>
    <w:p w14:paraId="1059B2E4" w14:textId="77777777" w:rsidR="00237080" w:rsidRDefault="00237080" w:rsidP="00237080">
      <w:pPr>
        <w:pStyle w:val="RptReferenceList"/>
      </w:pPr>
      <w:r>
        <w:t>WSDOT. 2001. Summary report of asbestos and lead assessment, Potlatch maintenance facility, SR 101, MP 336.215, Potlatch, Washington. October 2, 2001.</w:t>
      </w:r>
    </w:p>
    <w:p w14:paraId="5C309F3B" w14:textId="77777777" w:rsidR="00237080" w:rsidRPr="00267823" w:rsidRDefault="00237080" w:rsidP="00237080">
      <w:pPr>
        <w:pStyle w:val="RptReferenceList"/>
      </w:pPr>
      <w:r>
        <w:t xml:space="preserve">Wynands John. 2018. WSDOT work plan review comments on Draft </w:t>
      </w:r>
      <w:r w:rsidRPr="009E3CE4">
        <w:t>Remedial Investigation Work Plan for Former WSDOT Potlatch Maintenance Facility</w:t>
      </w:r>
      <w:r>
        <w:t>. April 23, 2018.</w:t>
      </w:r>
    </w:p>
    <w:p w14:paraId="50D451FB" w14:textId="78D08374" w:rsidR="00237080" w:rsidRPr="00237080" w:rsidRDefault="00237080" w:rsidP="00237080">
      <w:pPr>
        <w:rPr>
          <w:lang w:eastAsia="en-US"/>
        </w:rPr>
        <w:sectPr w:rsidR="00237080" w:rsidRPr="00237080" w:rsidSect="00942FE5">
          <w:pgSz w:w="12240" w:h="15840" w:code="1"/>
          <w:pgMar w:top="1440" w:right="1440" w:bottom="1440" w:left="1440" w:header="720" w:footer="720" w:gutter="0"/>
          <w:cols w:space="708"/>
          <w:docGrid w:linePitch="360"/>
        </w:sectPr>
      </w:pPr>
    </w:p>
    <w:p w14:paraId="7C59DDA6" w14:textId="16E70C96" w:rsidR="0086709B" w:rsidRPr="00604A23" w:rsidRDefault="003A113B" w:rsidP="0086709B">
      <w:pPr>
        <w:pStyle w:val="RptAppendixTitle"/>
      </w:pPr>
      <w:r>
        <w:t>Tables</w:t>
      </w:r>
    </w:p>
    <w:p w14:paraId="1E9936D9" w14:textId="77777777" w:rsidR="0086709B" w:rsidRDefault="0086709B" w:rsidP="005240D2">
      <w:pPr>
        <w:pStyle w:val="RptAppendixTitle"/>
        <w:sectPr w:rsidR="0086709B" w:rsidSect="00942FE5">
          <w:headerReference w:type="even" r:id="rId33"/>
          <w:headerReference w:type="default" r:id="rId34"/>
          <w:footerReference w:type="default" r:id="rId35"/>
          <w:headerReference w:type="first" r:id="rId36"/>
          <w:pgSz w:w="12240" w:h="15840" w:code="1"/>
          <w:pgMar w:top="1440" w:right="1440" w:bottom="1440" w:left="1440" w:header="720" w:footer="720" w:gutter="0"/>
          <w:pgNumType w:start="1"/>
          <w:cols w:space="708"/>
          <w:docGrid w:linePitch="360"/>
        </w:sectPr>
      </w:pPr>
    </w:p>
    <w:p w14:paraId="76D9DAF3" w14:textId="37A59FE4" w:rsidR="0086709B" w:rsidRPr="00604A23" w:rsidRDefault="003A113B" w:rsidP="0086709B">
      <w:pPr>
        <w:pStyle w:val="RptAppendixTitle"/>
      </w:pPr>
      <w:r>
        <w:t>Figures</w:t>
      </w:r>
    </w:p>
    <w:p w14:paraId="1EB19E5B" w14:textId="77777777" w:rsidR="0086709B" w:rsidRDefault="0086709B" w:rsidP="005240D2">
      <w:pPr>
        <w:pStyle w:val="RptAppendixTitle"/>
        <w:sectPr w:rsidR="0086709B" w:rsidSect="00942FE5">
          <w:pgSz w:w="12240" w:h="15840" w:code="1"/>
          <w:pgMar w:top="1440" w:right="1440" w:bottom="1440" w:left="1440" w:header="720" w:footer="720" w:gutter="0"/>
          <w:pgNumType w:start="1"/>
          <w:cols w:space="708"/>
          <w:docGrid w:linePitch="360"/>
        </w:sectPr>
      </w:pPr>
    </w:p>
    <w:p w14:paraId="1F14C920" w14:textId="3401D339" w:rsidR="00101172" w:rsidRPr="00604A23" w:rsidRDefault="005240D2" w:rsidP="005240D2">
      <w:pPr>
        <w:pStyle w:val="RptAppendixTitle"/>
      </w:pPr>
      <w:r>
        <w:t>Appendix A</w:t>
      </w:r>
    </w:p>
    <w:p w14:paraId="4E368ED1" w14:textId="23ED738D" w:rsidR="00942FE5" w:rsidRPr="00942FE5" w:rsidRDefault="008E0B20" w:rsidP="00942FE5">
      <w:pPr>
        <w:pStyle w:val="RptAppendixSubtitle"/>
        <w:rPr>
          <w:b w:val="0"/>
          <w:bCs w:val="0"/>
          <w:caps w:val="0"/>
          <w:color w:val="auto"/>
          <w:sz w:val="18"/>
          <w:szCs w:val="20"/>
        </w:rPr>
      </w:pPr>
      <w:bookmarkStart w:id="237" w:name="_Hlk37183740"/>
      <w:r w:rsidRPr="00FE113D">
        <w:t>Correspondence with Ecology Regarding Remedial Investigation Work Plan Developmen</w:t>
      </w:r>
    </w:p>
    <w:bookmarkEnd w:id="237"/>
    <w:p w14:paraId="3D836E03" w14:textId="77777777" w:rsidR="00101172" w:rsidRDefault="00101172" w:rsidP="00101172">
      <w:pPr>
        <w:sectPr w:rsidR="00101172" w:rsidSect="00942FE5">
          <w:pgSz w:w="12240" w:h="15840" w:code="1"/>
          <w:pgMar w:top="1440" w:right="1440" w:bottom="1440" w:left="1440" w:header="720" w:footer="720" w:gutter="0"/>
          <w:pgNumType w:start="1"/>
          <w:cols w:space="708"/>
          <w:docGrid w:linePitch="360"/>
        </w:sectPr>
      </w:pPr>
    </w:p>
    <w:p w14:paraId="76202BC6" w14:textId="0717ED9B" w:rsidR="000C614D" w:rsidRPr="005240D2" w:rsidRDefault="005240D2" w:rsidP="005240D2">
      <w:pPr>
        <w:pStyle w:val="RptAppendixTitle"/>
      </w:pPr>
      <w:r>
        <w:t>Appendix B</w:t>
      </w:r>
    </w:p>
    <w:p w14:paraId="59C7E5A3" w14:textId="77777777" w:rsidR="008E0B20" w:rsidRDefault="008E0B20" w:rsidP="008E0B20">
      <w:pPr>
        <w:pStyle w:val="RptAppendixSubtitle"/>
        <w:sectPr w:rsidR="008E0B20" w:rsidSect="00942FE5">
          <w:headerReference w:type="even" r:id="rId37"/>
          <w:headerReference w:type="first" r:id="rId38"/>
          <w:pgSz w:w="12240" w:h="15840" w:code="1"/>
          <w:pgMar w:top="1440" w:right="1440" w:bottom="1440" w:left="1440" w:header="720" w:footer="720" w:gutter="0"/>
          <w:pgNumType w:start="1"/>
          <w:cols w:space="708"/>
          <w:docGrid w:linePitch="360"/>
        </w:sectPr>
      </w:pPr>
      <w:bookmarkStart w:id="238" w:name="_Hlk37183716"/>
      <w:r>
        <w:t>Geophysical Survey Report</w:t>
      </w:r>
    </w:p>
    <w:p w14:paraId="382FA96F" w14:textId="77777777" w:rsidR="008E0B20" w:rsidRDefault="008E0B20" w:rsidP="008E0B20">
      <w:pPr>
        <w:pStyle w:val="RptAppendixTitle"/>
      </w:pPr>
      <w:r>
        <w:t>Appendix C</w:t>
      </w:r>
    </w:p>
    <w:p w14:paraId="262935CC" w14:textId="77777777" w:rsidR="008E0B20" w:rsidRDefault="008E0B20" w:rsidP="008E0B20">
      <w:pPr>
        <w:pStyle w:val="RptAppendixSubtitle"/>
        <w:sectPr w:rsidR="008E0B20" w:rsidSect="00942FE5">
          <w:pgSz w:w="12240" w:h="15840" w:code="1"/>
          <w:pgMar w:top="1440" w:right="1440" w:bottom="1440" w:left="1440" w:header="720" w:footer="720" w:gutter="0"/>
          <w:pgNumType w:start="1"/>
          <w:cols w:space="708"/>
          <w:docGrid w:linePitch="360"/>
        </w:sectPr>
      </w:pPr>
      <w:r w:rsidRPr="00D54F2C">
        <w:t xml:space="preserve">Boring </w:t>
      </w:r>
      <w:r>
        <w:t xml:space="preserve">and Well </w:t>
      </w:r>
      <w:r w:rsidRPr="00D54F2C">
        <w:t>Logs</w:t>
      </w:r>
      <w:bookmarkEnd w:id="238"/>
    </w:p>
    <w:p w14:paraId="6DAEC93F" w14:textId="77777777" w:rsidR="008E0B20" w:rsidRDefault="008E0B20" w:rsidP="008E0B20">
      <w:pPr>
        <w:pStyle w:val="RptAppendixTitle"/>
      </w:pPr>
      <w:r>
        <w:t>Appendix D</w:t>
      </w:r>
    </w:p>
    <w:p w14:paraId="7EFAA725" w14:textId="77777777" w:rsidR="008E0B20" w:rsidRDefault="008E0B20" w:rsidP="008E0B20">
      <w:pPr>
        <w:pStyle w:val="RptAppendixSubtitle"/>
        <w:sectPr w:rsidR="008E0B20" w:rsidSect="00942FE5">
          <w:pgSz w:w="12240" w:h="15840" w:code="1"/>
          <w:pgMar w:top="1440" w:right="1440" w:bottom="1440" w:left="1440" w:header="720" w:footer="720" w:gutter="0"/>
          <w:pgNumType w:start="1"/>
          <w:cols w:space="708"/>
          <w:docGrid w:linePitch="360"/>
        </w:sectPr>
      </w:pPr>
      <w:r>
        <w:t>Photographs and Field Notes</w:t>
      </w:r>
    </w:p>
    <w:p w14:paraId="0F5131F1" w14:textId="77777777" w:rsidR="008E0B20" w:rsidRDefault="008E0B20" w:rsidP="008E0B20">
      <w:pPr>
        <w:pStyle w:val="RptAppendixTitle"/>
      </w:pPr>
      <w:r>
        <w:t>Appendix E</w:t>
      </w:r>
    </w:p>
    <w:p w14:paraId="522D4948" w14:textId="77777777" w:rsidR="008E0B20" w:rsidRDefault="008E0B20" w:rsidP="008E0B20">
      <w:pPr>
        <w:pStyle w:val="RptAppendixSubtitle"/>
        <w:sectPr w:rsidR="008E0B20" w:rsidSect="00942FE5">
          <w:pgSz w:w="12240" w:h="15840" w:code="1"/>
          <w:pgMar w:top="1440" w:right="1440" w:bottom="1440" w:left="1440" w:header="720" w:footer="720" w:gutter="0"/>
          <w:pgNumType w:start="1"/>
          <w:cols w:space="708"/>
          <w:docGrid w:linePitch="360"/>
        </w:sectPr>
      </w:pPr>
      <w:r w:rsidRPr="00D54F2C">
        <w:t xml:space="preserve">Data </w:t>
      </w:r>
      <w:r>
        <w:t xml:space="preserve">Validation </w:t>
      </w:r>
      <w:r w:rsidRPr="00D54F2C">
        <w:t>Report</w:t>
      </w:r>
    </w:p>
    <w:p w14:paraId="4CFD7D0F" w14:textId="77777777" w:rsidR="008E0B20" w:rsidRDefault="008E0B20" w:rsidP="008E0B20">
      <w:pPr>
        <w:pStyle w:val="RptAppendixTitle"/>
      </w:pPr>
      <w:r>
        <w:t>Appendix F</w:t>
      </w:r>
    </w:p>
    <w:p w14:paraId="429281DF" w14:textId="77777777" w:rsidR="009634A5" w:rsidRDefault="008E0B20" w:rsidP="008E0B20">
      <w:pPr>
        <w:pStyle w:val="RptAppendixSubtitle"/>
        <w:sectPr w:rsidR="009634A5" w:rsidSect="00942FE5">
          <w:pgSz w:w="12240" w:h="15840" w:code="1"/>
          <w:pgMar w:top="1440" w:right="1440" w:bottom="1440" w:left="1440" w:header="720" w:footer="720" w:gutter="0"/>
          <w:pgNumType w:start="1"/>
          <w:cols w:space="708"/>
          <w:docGrid w:linePitch="360"/>
        </w:sectPr>
      </w:pPr>
      <w:r w:rsidRPr="00863699">
        <w:t>Deviations from the Remedial Investigation Work Plan</w:t>
      </w:r>
    </w:p>
    <w:p w14:paraId="7FF55F74" w14:textId="77777777" w:rsidR="009634A5" w:rsidRDefault="009634A5" w:rsidP="009634A5">
      <w:pPr>
        <w:pStyle w:val="RptAppendixTitle"/>
      </w:pPr>
      <w:r>
        <w:t>Appendix G</w:t>
      </w:r>
    </w:p>
    <w:p w14:paraId="297D4694" w14:textId="77777777" w:rsidR="009634A5" w:rsidRDefault="009634A5" w:rsidP="009634A5">
      <w:pPr>
        <w:pStyle w:val="RptAppendixSubtitle"/>
        <w:sectPr w:rsidR="009634A5" w:rsidSect="00942FE5">
          <w:pgSz w:w="12240" w:h="15840" w:code="1"/>
          <w:pgMar w:top="1440" w:right="1440" w:bottom="1440" w:left="1440" w:header="720" w:footer="720" w:gutter="0"/>
          <w:pgNumType w:start="1"/>
          <w:cols w:space="708"/>
          <w:docGrid w:linePitch="360"/>
        </w:sectPr>
      </w:pPr>
      <w:bookmarkStart w:id="239" w:name="_Hlk86326591"/>
      <w:r w:rsidRPr="00863699">
        <w:t xml:space="preserve">Natural Background Calculation of </w:t>
      </w:r>
      <w:r>
        <w:t xml:space="preserve">Chromium, Mercury, and </w:t>
      </w:r>
      <w:r w:rsidRPr="00863699">
        <w:t>Selenium in Soi</w:t>
      </w:r>
      <w:bookmarkEnd w:id="239"/>
      <w:r w:rsidRPr="00863699">
        <w:t>l</w:t>
      </w:r>
    </w:p>
    <w:p w14:paraId="36D5BFFA" w14:textId="77777777" w:rsidR="009634A5" w:rsidRDefault="009634A5" w:rsidP="009634A5">
      <w:pPr>
        <w:pStyle w:val="RptAppendixTitle"/>
      </w:pPr>
      <w:r>
        <w:t>Appendix H</w:t>
      </w:r>
    </w:p>
    <w:p w14:paraId="0E2042ED" w14:textId="77777777" w:rsidR="009634A5" w:rsidRDefault="009634A5" w:rsidP="009634A5">
      <w:pPr>
        <w:pStyle w:val="RptAppendixSubtitle"/>
        <w:sectPr w:rsidR="009634A5" w:rsidSect="00942FE5">
          <w:pgSz w:w="12240" w:h="15840" w:code="1"/>
          <w:pgMar w:top="1440" w:right="1440" w:bottom="1440" w:left="1440" w:header="720" w:footer="720" w:gutter="0"/>
          <w:pgNumType w:start="1"/>
          <w:cols w:space="708"/>
          <w:docGrid w:linePitch="360"/>
        </w:sectPr>
      </w:pPr>
      <w:r>
        <w:t>Remedial Investigation Work Plan (provided as a separate PDF file)</w:t>
      </w:r>
    </w:p>
    <w:p w14:paraId="51C0784C" w14:textId="77777777" w:rsidR="009634A5" w:rsidRDefault="009634A5" w:rsidP="009634A5">
      <w:pPr>
        <w:pStyle w:val="RptAppendixTitle"/>
      </w:pPr>
      <w:r>
        <w:t>Appendix I</w:t>
      </w:r>
    </w:p>
    <w:p w14:paraId="7657DFD9" w14:textId="20810F02" w:rsidR="00190175" w:rsidRDefault="009634A5" w:rsidP="009634A5">
      <w:pPr>
        <w:pStyle w:val="RptAppendixSubtitle"/>
      </w:pPr>
      <w:r>
        <w:t>Laboratory Analytical Data and Chains of Custody (to be provided electronically)</w:t>
      </w:r>
    </w:p>
    <w:p w14:paraId="12297DB2" w14:textId="77777777" w:rsidR="00190175" w:rsidRDefault="00190175">
      <w:pPr>
        <w:rPr>
          <w:b/>
          <w:bCs/>
          <w:caps/>
          <w:snapToGrid w:val="0"/>
          <w:color w:val="009DE0" w:themeColor="text2"/>
          <w:sz w:val="22"/>
          <w:szCs w:val="24"/>
          <w:lang w:eastAsia="en-US"/>
        </w:rPr>
      </w:pPr>
      <w:r>
        <w:br w:type="page"/>
      </w:r>
    </w:p>
    <w:p w14:paraId="41FC5F3C" w14:textId="6C8D2494" w:rsidR="000963BC" w:rsidRDefault="000963BC" w:rsidP="000963BC">
      <w:pPr>
        <w:pStyle w:val="RptAppendixTitle"/>
      </w:pPr>
    </w:p>
    <w:p w14:paraId="72A78AB4" w14:textId="4AB12C84" w:rsidR="009634A5" w:rsidRDefault="000963BC" w:rsidP="003B0795">
      <w:pPr>
        <w:pStyle w:val="RptAppendixTitle"/>
      </w:pPr>
      <w:r>
        <w:t xml:space="preserve">Appendix </w:t>
      </w:r>
      <w:r w:rsidR="003B0795">
        <w:t>J</w:t>
      </w:r>
    </w:p>
    <w:p w14:paraId="5214DC99" w14:textId="02B907F2" w:rsidR="00183D29" w:rsidRDefault="003B0795" w:rsidP="003B0795">
      <w:pPr>
        <w:pStyle w:val="RptAppendixSubtitle"/>
      </w:pPr>
      <w:r>
        <w:t>soil management plan</w:t>
      </w:r>
    </w:p>
    <w:p w14:paraId="0F729294" w14:textId="77777777" w:rsidR="00183D29" w:rsidRDefault="00183D29">
      <w:pPr>
        <w:rPr>
          <w:b/>
          <w:bCs/>
          <w:caps/>
          <w:snapToGrid w:val="0"/>
          <w:color w:val="009DE0" w:themeColor="text2"/>
          <w:sz w:val="22"/>
          <w:szCs w:val="24"/>
          <w:lang w:eastAsia="en-US"/>
        </w:rPr>
      </w:pPr>
      <w:r>
        <w:br w:type="page"/>
      </w:r>
    </w:p>
    <w:p w14:paraId="7BEE7F18" w14:textId="77777777" w:rsidR="00183D29" w:rsidRDefault="00183D29" w:rsidP="00183D29">
      <w:pPr>
        <w:pStyle w:val="RptAppendixTitle"/>
      </w:pPr>
    </w:p>
    <w:p w14:paraId="772F95F8" w14:textId="7CDE6C52" w:rsidR="00183D29" w:rsidRDefault="00183D29" w:rsidP="00183D29">
      <w:pPr>
        <w:pStyle w:val="RptAppendixTitle"/>
      </w:pPr>
      <w:r>
        <w:t>Appendix K</w:t>
      </w:r>
    </w:p>
    <w:p w14:paraId="0BF37121" w14:textId="50ACCE25" w:rsidR="00183D29" w:rsidRPr="006B1191" w:rsidRDefault="00183D29" w:rsidP="002F24DF">
      <w:pPr>
        <w:pStyle w:val="RptAppendixSubtitle"/>
      </w:pPr>
      <w:r>
        <w:t>Health and safety plan</w:t>
      </w:r>
    </w:p>
    <w:p w14:paraId="79E6CFF8" w14:textId="2357E095" w:rsidR="00183D29" w:rsidRDefault="00183D29" w:rsidP="002F24DF">
      <w:pPr>
        <w:pStyle w:val="RptAppendixTitle"/>
      </w:pPr>
    </w:p>
    <w:p w14:paraId="72AD7045" w14:textId="77777777" w:rsidR="003B0795" w:rsidRPr="003B0795" w:rsidRDefault="003B0795">
      <w:pPr>
        <w:pStyle w:val="RptAppendixSubtitle"/>
      </w:pPr>
    </w:p>
    <w:sectPr w:rsidR="003B0795" w:rsidRPr="003B0795" w:rsidSect="00942FE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9E890" w14:textId="77777777" w:rsidR="00C77D86" w:rsidRDefault="00C77D86">
      <w:r>
        <w:separator/>
      </w:r>
    </w:p>
  </w:endnote>
  <w:endnote w:type="continuationSeparator" w:id="0">
    <w:p w14:paraId="36BD0B34" w14:textId="77777777" w:rsidR="00C77D86" w:rsidRDefault="00C77D86">
      <w:r>
        <w:continuationSeparator/>
      </w:r>
    </w:p>
  </w:endnote>
  <w:endnote w:type="continuationNotice" w:id="1">
    <w:p w14:paraId="414B1D17" w14:textId="77777777" w:rsidR="00C77D86" w:rsidRDefault="00C77D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B1D7" w14:textId="77777777" w:rsidR="009610D1" w:rsidRPr="00065712" w:rsidRDefault="009610D1" w:rsidP="005240D2">
    <w:r>
      <w:fldChar w:fldCharType="begin"/>
    </w:r>
    <w:r>
      <w:instrText xml:space="preserve"> REF  bmkFldtx2OptionalFooter </w:instrText>
    </w:r>
    <w:r>
      <w:fldChar w:fldCharType="separate"/>
    </w:r>
    <w:r>
      <w:rPr>
        <w:b/>
        <w:bCs/>
      </w:rPr>
      <w:t>Error! Reference source not found.</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8AEFE" w14:textId="77777777" w:rsidR="009610D1" w:rsidRPr="0051547B" w:rsidRDefault="009610D1" w:rsidP="005240D2">
    <w:pPr>
      <w:pStyle w:val="RptFooter-Portrait"/>
    </w:pPr>
    <w:r w:rsidRPr="0051547B">
      <w:tab/>
      <w:t>Ramboll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40696" w14:textId="77777777" w:rsidR="009610D1" w:rsidRPr="0051547B" w:rsidRDefault="009610D1" w:rsidP="00023A9C">
    <w:pPr>
      <w:ind w:left="8820" w:hanging="8820"/>
    </w:pPr>
    <w:r>
      <w:rPr>
        <w:noProof/>
        <w:lang w:eastAsia="en-US"/>
      </w:rPr>
      <w:drawing>
        <wp:anchor distT="0" distB="0" distL="114300" distR="114300" simplePos="0" relativeHeight="251658248" behindDoc="0" locked="1" layoutInCell="1" allowOverlap="1" wp14:anchorId="66394892" wp14:editId="3EA2098B">
          <wp:simplePos x="0" y="0"/>
          <wp:positionH relativeFrom="margin">
            <wp:posOffset>-3810</wp:posOffset>
          </wp:positionH>
          <wp:positionV relativeFrom="page">
            <wp:posOffset>9372600</wp:posOffset>
          </wp:positionV>
          <wp:extent cx="1144905" cy="237490"/>
          <wp:effectExtent l="0" t="0" r="0" b="0"/>
          <wp:wrapNone/>
          <wp:docPr id="8" name="TopLogoPrimary_HIDE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905" cy="237490"/>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B68E" w14:textId="77777777" w:rsidR="009610D1" w:rsidRDefault="009610D1" w:rsidP="005240D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F8ABA" w14:textId="57980855" w:rsidR="009610D1" w:rsidRPr="005240D2" w:rsidRDefault="009610D1" w:rsidP="005240D2">
    <w:pPr>
      <w:pStyle w:val="RptFooter-Portrait"/>
    </w:pPr>
    <w:r w:rsidRPr="005240D2">
      <w:t>Environmental Professional Statement</w:t>
    </w:r>
    <w:r w:rsidRPr="005240D2">
      <w:tab/>
      <w:t>Ramboll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F32F" w14:textId="77777777" w:rsidR="009610D1" w:rsidRDefault="009610D1" w:rsidP="005240D2">
    <w:bookmarkStart w:id="4" w:name="SD_DocumentFileName"/>
    <w:r>
      <w:t xml:space="preserve"> </w:t>
    </w:r>
    <w:bookmarkEnd w:id="4"/>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6C73" w14:textId="5760ABDD" w:rsidR="009610D1" w:rsidRPr="005240D2" w:rsidRDefault="00C77D86" w:rsidP="005240D2">
    <w:pPr>
      <w:pStyle w:val="RptFooter-Portrait"/>
    </w:pPr>
    <w:r>
      <w:fldChar w:fldCharType="begin"/>
    </w:r>
    <w:r>
      <w:instrText>STYLEREF  "(Rpt) Heading - Level 0"  \* MERGEFORMAT</w:instrText>
    </w:r>
    <w:r>
      <w:fldChar w:fldCharType="separate"/>
    </w:r>
    <w:r w:rsidR="00162FBA">
      <w:rPr>
        <w:noProof/>
      </w:rPr>
      <w:t>Contents</w:t>
    </w:r>
    <w:r>
      <w:rPr>
        <w:noProof/>
      </w:rPr>
      <w:fldChar w:fldCharType="end"/>
    </w:r>
    <w:r w:rsidR="009610D1">
      <w:tab/>
      <w:t>Ramboll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FD489" w14:textId="3A057F4A" w:rsidR="009610D1" w:rsidRPr="005240D2" w:rsidRDefault="00C77D86" w:rsidP="005240D2">
    <w:pPr>
      <w:pStyle w:val="RptFooter-Portrait"/>
    </w:pPr>
    <w:r>
      <w:fldChar w:fldCharType="begin"/>
    </w:r>
    <w:r>
      <w:instrText>STYLEREF  "(Rpt) Heading - Level 0"  \* MERGEFORMAT</w:instrText>
    </w:r>
    <w:r>
      <w:fldChar w:fldCharType="separate"/>
    </w:r>
    <w:r w:rsidR="00420803">
      <w:rPr>
        <w:noProof/>
      </w:rPr>
      <w:t>Acronyms and Abbreviations</w:t>
    </w:r>
    <w:r>
      <w:rPr>
        <w:noProof/>
      </w:rPr>
      <w:fldChar w:fldCharType="end"/>
    </w:r>
    <w:r w:rsidR="009610D1" w:rsidRPr="005240D2">
      <w:tab/>
      <w:t>Ramboll</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41CAA" w14:textId="26E7EF9D" w:rsidR="009610D1" w:rsidRPr="005240D2" w:rsidRDefault="00C77D86" w:rsidP="005240D2">
    <w:pPr>
      <w:pStyle w:val="RptFooter-Portrait"/>
    </w:pPr>
    <w:r>
      <w:fldChar w:fldCharType="begin"/>
    </w:r>
    <w:r>
      <w:instrText>STYLEREF  "(Rpt) Heading - Level 1"  \* MERGEFORMAT</w:instrText>
    </w:r>
    <w:r>
      <w:fldChar w:fldCharType="separate"/>
    </w:r>
    <w:r w:rsidR="00420803">
      <w:rPr>
        <w:noProof/>
      </w:rPr>
      <w:t>Limitations</w:t>
    </w:r>
    <w:r>
      <w:rPr>
        <w:noProof/>
      </w:rPr>
      <w:fldChar w:fldCharType="end"/>
    </w:r>
    <w:r w:rsidR="009610D1" w:rsidRPr="005240D2">
      <w:tab/>
      <w:t>Ramboll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32936" w14:textId="49124F2B" w:rsidR="00CB5368" w:rsidRPr="005240D2" w:rsidRDefault="00C77D86" w:rsidP="005240D2">
    <w:pPr>
      <w:pStyle w:val="RptFooter-Portrait"/>
    </w:pPr>
    <w:r>
      <w:fldChar w:fldCharType="begin"/>
    </w:r>
    <w:r>
      <w:instrText>STYLEREF  "(Rpt) Heading - Level 1"  \* MERGEFORMAT</w:instrText>
    </w:r>
    <w:r>
      <w:fldChar w:fldCharType="separate"/>
    </w:r>
    <w:r w:rsidR="00B663AB">
      <w:rPr>
        <w:noProof/>
      </w:rPr>
      <w:t>References</w:t>
    </w:r>
    <w:r>
      <w:rPr>
        <w:noProof/>
      </w:rPr>
      <w:fldChar w:fldCharType="end"/>
    </w:r>
    <w:r w:rsidR="00CB5368" w:rsidRPr="005240D2">
      <w:tab/>
      <w:t>Ramboll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5C799" w14:textId="77777777" w:rsidR="00C77D86" w:rsidRDefault="00C77D86">
      <w:r>
        <w:separator/>
      </w:r>
    </w:p>
  </w:footnote>
  <w:footnote w:type="continuationSeparator" w:id="0">
    <w:p w14:paraId="70717951" w14:textId="77777777" w:rsidR="00C77D86" w:rsidRDefault="00C77D86">
      <w:r>
        <w:continuationSeparator/>
      </w:r>
    </w:p>
  </w:footnote>
  <w:footnote w:type="continuationNotice" w:id="1">
    <w:p w14:paraId="0159531B" w14:textId="77777777" w:rsidR="00C77D86" w:rsidRDefault="00C77D86">
      <w:pPr>
        <w:spacing w:line="240" w:lineRule="auto"/>
      </w:pPr>
    </w:p>
  </w:footnote>
  <w:footnote w:id="2">
    <w:p w14:paraId="140B931A" w14:textId="5BE2EDF1" w:rsidR="009610D1" w:rsidRDefault="009610D1" w:rsidP="00774F45">
      <w:pPr>
        <w:pStyle w:val="RptFootnote-Text"/>
      </w:pPr>
      <w:r>
        <w:rPr>
          <w:rStyle w:val="FootnoteReference"/>
        </w:rPr>
        <w:footnoteRef/>
      </w:r>
      <w:r>
        <w:tab/>
      </w:r>
      <w:r>
        <w:rPr>
          <w:lang w:val="en"/>
        </w:rPr>
        <w:t>In 1964, the State of Washington Department of Highways was renamed WSDOT.</w:t>
      </w:r>
    </w:p>
  </w:footnote>
  <w:footnote w:id="3">
    <w:p w14:paraId="43608F26" w14:textId="687F7EDA" w:rsidR="009610D1" w:rsidRDefault="009610D1" w:rsidP="00BB5E36">
      <w:pPr>
        <w:pStyle w:val="RptFootnote-Text"/>
      </w:pPr>
      <w:r w:rsidRPr="00403C83">
        <w:rPr>
          <w:rStyle w:val="FootnoteReference"/>
        </w:rPr>
        <w:footnoteRef/>
      </w:r>
      <w:r w:rsidRPr="00403C83">
        <w:t xml:space="preserve"> </w:t>
      </w:r>
      <w:r w:rsidRPr="00403C83">
        <w:tab/>
      </w:r>
      <w:r>
        <w:t>There is n</w:t>
      </w:r>
      <w:r w:rsidRPr="00403C83">
        <w:t xml:space="preserve">o information regarding decommissioning/abandonment of this well </w:t>
      </w:r>
      <w:r>
        <w:t xml:space="preserve">in </w:t>
      </w:r>
      <w:r w:rsidR="00DC7C07">
        <w:t>Skokomish Tribe</w:t>
      </w:r>
      <w:r>
        <w:t xml:space="preserve"> records or in </w:t>
      </w:r>
      <w:r w:rsidRPr="00E06708">
        <w:t>Ecology</w:t>
      </w:r>
      <w:r>
        <w:t xml:space="preserve">’s </w:t>
      </w:r>
      <w:r w:rsidRPr="00E06708">
        <w:t>Well Report Viewer</w:t>
      </w:r>
      <w:r>
        <w:t xml:space="preserve"> (</w:t>
      </w:r>
      <w:r w:rsidRPr="004412D9">
        <w:t>https://appswr.ecology.wa.gov/wellconstruction/map/WCLSWebMap/default.aspx</w:t>
      </w:r>
      <w:r>
        <w:t>)</w:t>
      </w:r>
      <w:r w:rsidRPr="00403C83">
        <w:t>.</w:t>
      </w:r>
      <w:r>
        <w:t xml:space="preserve"> </w:t>
      </w:r>
    </w:p>
  </w:footnote>
  <w:footnote w:id="4">
    <w:p w14:paraId="6A608EAD" w14:textId="77777777" w:rsidR="009610D1" w:rsidRDefault="009610D1" w:rsidP="00BB5E36">
      <w:pPr>
        <w:pStyle w:val="RptFootnote-Text"/>
      </w:pPr>
      <w:r>
        <w:rPr>
          <w:rStyle w:val="FootnoteReference"/>
        </w:rPr>
        <w:footnoteRef/>
      </w:r>
      <w:r>
        <w:t xml:space="preserve"> </w:t>
      </w:r>
      <w:r>
        <w:tab/>
      </w:r>
      <w:r>
        <w:rPr>
          <w:lang w:val="en"/>
        </w:rPr>
        <w:t>In 1964, the State of Washington Department of Highways was renamed WSDOT.</w:t>
      </w:r>
    </w:p>
  </w:footnote>
  <w:footnote w:id="5">
    <w:p w14:paraId="154E75F1" w14:textId="77777777" w:rsidR="009610D1" w:rsidRDefault="009610D1" w:rsidP="00223B19">
      <w:pPr>
        <w:pStyle w:val="RptFootnote-Text"/>
      </w:pPr>
      <w:r>
        <w:rPr>
          <w:rStyle w:val="FootnoteReference"/>
        </w:rPr>
        <w:footnoteRef/>
      </w:r>
      <w:r>
        <w:t xml:space="preserve"> </w:t>
      </w:r>
      <w:r>
        <w:tab/>
        <w:t>A “sander” is a truck attachment for dispensing sand on the highway for improved traction</w:t>
      </w:r>
      <w:r w:rsidRPr="000D127E">
        <w:t xml:space="preserve"> </w:t>
      </w:r>
      <w:r>
        <w:t>during snow/ice conditions. The “sander storage rack” was likely for storage and/or loading of the sander onto the truck.</w:t>
      </w:r>
    </w:p>
  </w:footnote>
  <w:footnote w:id="6">
    <w:p w14:paraId="7E0F5206" w14:textId="77777777" w:rsidR="009610D1" w:rsidRDefault="009610D1" w:rsidP="00BB5E36">
      <w:pPr>
        <w:pStyle w:val="RptFootnote-Text"/>
      </w:pPr>
      <w:r>
        <w:rPr>
          <w:rStyle w:val="FootnoteReference"/>
        </w:rPr>
        <w:footnoteRef/>
      </w:r>
      <w:r>
        <w:t xml:space="preserve"> </w:t>
      </w:r>
      <w:r>
        <w:tab/>
        <w:t>The condition of the 5-gallon buckets of tar was not noted (PGG 2005).</w:t>
      </w:r>
    </w:p>
  </w:footnote>
  <w:footnote w:id="7">
    <w:p w14:paraId="2CCAA837" w14:textId="77777777" w:rsidR="009610D1" w:rsidRDefault="009610D1" w:rsidP="00BB5E36">
      <w:pPr>
        <w:pStyle w:val="RptFootnote-Text"/>
      </w:pPr>
      <w:r>
        <w:rPr>
          <w:rStyle w:val="FootnoteReference"/>
        </w:rPr>
        <w:footnoteRef/>
      </w:r>
      <w:r>
        <w:t xml:space="preserve"> </w:t>
      </w:r>
      <w:r>
        <w:tab/>
        <w:t>The former WSDOT employee is presumably referring to herbicides used for roadside spraying, not pesticides, which are not expected to have been used.</w:t>
      </w:r>
    </w:p>
  </w:footnote>
  <w:footnote w:id="8">
    <w:p w14:paraId="75A41F84" w14:textId="5F048FA5" w:rsidR="009610D1" w:rsidRDefault="009610D1" w:rsidP="00BB5E36">
      <w:pPr>
        <w:pStyle w:val="RptFootnote-Text"/>
      </w:pPr>
      <w:r>
        <w:rPr>
          <w:rStyle w:val="FootnoteReference"/>
        </w:rPr>
        <w:footnoteRef/>
      </w:r>
      <w:r>
        <w:tab/>
        <w:t>ESA (2013b) does not specify if the drum was full or empty, just that “One burn pile had a 55-gallon steel drum placed on top of the brush, which had not yet been burned.”</w:t>
      </w:r>
    </w:p>
  </w:footnote>
  <w:footnote w:id="9">
    <w:p w14:paraId="345A0D7B" w14:textId="77777777" w:rsidR="009610D1" w:rsidRDefault="009610D1" w:rsidP="003963E6">
      <w:pPr>
        <w:pStyle w:val="RptFootnote-Text"/>
      </w:pPr>
      <w:r>
        <w:rPr>
          <w:rStyle w:val="FootnoteReference"/>
        </w:rPr>
        <w:footnoteRef/>
      </w:r>
      <w:r>
        <w:t xml:space="preserve"> </w:t>
      </w:r>
      <w:r>
        <w:tab/>
        <w:t>Note that surface soil from EX-SS-3 and EX-SS-6 were also part of the Area 4 composite sample collected from locations EX-SS-1 through EX-SS-10 discussed in the paragraph above.</w:t>
      </w:r>
    </w:p>
  </w:footnote>
  <w:footnote w:id="10">
    <w:p w14:paraId="7DC3EB57" w14:textId="77777777" w:rsidR="009610D1" w:rsidRDefault="009610D1" w:rsidP="003963E6">
      <w:pPr>
        <w:pStyle w:val="RptFootnote-Text"/>
      </w:pPr>
      <w:r>
        <w:rPr>
          <w:rStyle w:val="FootnoteReference"/>
        </w:rPr>
        <w:footnoteRef/>
      </w:r>
      <w:r>
        <w:t xml:space="preserve"> </w:t>
      </w:r>
      <w:r>
        <w:tab/>
        <w:t>Field parameters were measured in purged groundwater (not downhole). Therefore, field measurements of Eh and DO were not representative of aquifer conditions.</w:t>
      </w:r>
    </w:p>
  </w:footnote>
  <w:footnote w:id="11">
    <w:p w14:paraId="602869A1" w14:textId="77777777" w:rsidR="009610D1" w:rsidRDefault="009610D1" w:rsidP="006C0371">
      <w:pPr>
        <w:pStyle w:val="RptFootnote-Text"/>
      </w:pPr>
      <w:r>
        <w:rPr>
          <w:rStyle w:val="FootnoteReference"/>
        </w:rPr>
        <w:footnoteRef/>
      </w:r>
      <w:r>
        <w:t xml:space="preserve"> </w:t>
      </w:r>
      <w:r>
        <w:tab/>
        <w:t xml:space="preserve">A turbidity goal was </w:t>
      </w:r>
      <w:r w:rsidRPr="00070D2F">
        <w:t xml:space="preserve">set out in the RI Work Plan, Exponent </w:t>
      </w:r>
      <w:r>
        <w:t>(</w:t>
      </w:r>
      <w:r w:rsidRPr="00070D2F">
        <w:t>2019, Appendix H, herein</w:t>
      </w:r>
      <w:r>
        <w:t>) in order to obtain samples more representative of dissolved metals in groundwater. Dissolved metals are expected to be more representative of aquifer water quality, whereas total metals are expected to be influenced by soil particulates.</w:t>
      </w:r>
    </w:p>
  </w:footnote>
  <w:footnote w:id="12">
    <w:p w14:paraId="09693D9A" w14:textId="77777777" w:rsidR="009610D1" w:rsidRDefault="009610D1" w:rsidP="006C0371">
      <w:pPr>
        <w:pStyle w:val="RptFootnote-Text"/>
      </w:pPr>
      <w:r>
        <w:rPr>
          <w:rStyle w:val="FootnoteReference"/>
        </w:rPr>
        <w:footnoteRef/>
      </w:r>
      <w:r>
        <w:t xml:space="preserve"> </w:t>
      </w:r>
      <w:r>
        <w:tab/>
        <w:t>Although natural background values were calculated for mercury and selenium, these calculated background values are below the Method A cleanup levels (Table 5). Therefore, the Method A cleanup levels for mercury and selenium are used as the soil screening levels.</w:t>
      </w:r>
    </w:p>
  </w:footnote>
  <w:footnote w:id="13">
    <w:p w14:paraId="256CF6F1" w14:textId="77777777" w:rsidR="009610D1" w:rsidRDefault="009610D1" w:rsidP="00641FB7">
      <w:pPr>
        <w:pStyle w:val="RptFootnote-Text"/>
      </w:pPr>
      <w:r>
        <w:rPr>
          <w:rStyle w:val="FootnoteReference"/>
        </w:rPr>
        <w:footnoteRef/>
      </w:r>
      <w:r>
        <w:t xml:space="preserve"> </w:t>
      </w:r>
      <w:r>
        <w:tab/>
        <w:t xml:space="preserve">The VOCs with MCLs that are lower than the Standard Method B cleanup level are: </w:t>
      </w:r>
      <w:r w:rsidRPr="00C00547">
        <w:t>1,1-</w:t>
      </w:r>
      <w:r>
        <w:t>d</w:t>
      </w:r>
      <w:r w:rsidRPr="00C00547">
        <w:t>ichloroethene</w:t>
      </w:r>
      <w:r>
        <w:t xml:space="preserve">, </w:t>
      </w:r>
      <w:r w:rsidRPr="00C00547">
        <w:t>1,1-</w:t>
      </w:r>
      <w:r>
        <w:t>d</w:t>
      </w:r>
      <w:r w:rsidRPr="00C00547">
        <w:t>ichloropropene</w:t>
      </w:r>
      <w:r>
        <w:t xml:space="preserve">, </w:t>
      </w:r>
      <w:r w:rsidRPr="00C00547">
        <w:t>1,2-</w:t>
      </w:r>
      <w:r>
        <w:t>d</w:t>
      </w:r>
      <w:r w:rsidRPr="00C00547">
        <w:t>ichlorobenzene</w:t>
      </w:r>
      <w:r>
        <w:t>, c</w:t>
      </w:r>
      <w:r w:rsidRPr="00C00547">
        <w:t>hlorobenzene</w:t>
      </w:r>
      <w:r>
        <w:t>, e</w:t>
      </w:r>
      <w:r w:rsidRPr="00C00547">
        <w:t>thylbenzene</w:t>
      </w:r>
      <w:r>
        <w:t>, styrene, tetrachloroethene, trans-1,2-dichloroethene (Table 6).</w:t>
      </w:r>
    </w:p>
  </w:footnote>
  <w:footnote w:id="14">
    <w:p w14:paraId="604A45A7" w14:textId="77777777" w:rsidR="009610D1" w:rsidRDefault="009610D1" w:rsidP="006C0371">
      <w:pPr>
        <w:pStyle w:val="RptFootnote-Text"/>
      </w:pPr>
      <w:r>
        <w:rPr>
          <w:rStyle w:val="FootnoteReference"/>
        </w:rPr>
        <w:footnoteRef/>
      </w:r>
      <w:r>
        <w:t xml:space="preserve"> </w:t>
      </w:r>
      <w:r>
        <w:tab/>
        <w:t xml:space="preserve">PAH results from EPA Method 8270D-SIM (Table 13) were used to calculate TTECs because this analytical method has lower analytical detection limits than EPA Method 8270D (Table 12). </w:t>
      </w:r>
    </w:p>
  </w:footnote>
  <w:footnote w:id="15">
    <w:p w14:paraId="1C5F0A29" w14:textId="77777777" w:rsidR="009610D1" w:rsidRDefault="009610D1" w:rsidP="006C0371">
      <w:pPr>
        <w:pStyle w:val="RptFootnote-Text"/>
      </w:pPr>
      <w:r>
        <w:rPr>
          <w:rStyle w:val="FootnoteReference"/>
        </w:rPr>
        <w:footnoteRef/>
      </w:r>
      <w:r>
        <w:t xml:space="preserve"> </w:t>
      </w:r>
      <w:r>
        <w:tab/>
      </w:r>
      <w:r w:rsidRPr="00D267A8">
        <w:t>See WAC Table 749-3, Footnote a.</w:t>
      </w:r>
    </w:p>
  </w:footnote>
  <w:footnote w:id="16">
    <w:p w14:paraId="05158F5B" w14:textId="77777777" w:rsidR="009610D1" w:rsidRDefault="009610D1" w:rsidP="006C0371">
      <w:pPr>
        <w:pStyle w:val="RptFootnote-Text"/>
      </w:pPr>
      <w:r>
        <w:rPr>
          <w:rStyle w:val="FootnoteReference"/>
        </w:rPr>
        <w:footnoteRef/>
      </w:r>
      <w:r>
        <w:t xml:space="preserve"> </w:t>
      </w:r>
      <w:r>
        <w:tab/>
        <w:t>Methods described in WAC 173-340-7493(2)(a)(i) and Ecology (2017).</w:t>
      </w:r>
    </w:p>
  </w:footnote>
  <w:footnote w:id="17">
    <w:p w14:paraId="60C4208E" w14:textId="253D093B" w:rsidR="006809DE" w:rsidRDefault="006809DE">
      <w:pPr>
        <w:pStyle w:val="FootnoteText"/>
      </w:pPr>
      <w:r>
        <w:rPr>
          <w:rStyle w:val="FootnoteReference"/>
        </w:rPr>
        <w:footnoteRef/>
      </w:r>
      <w:r>
        <w:t xml:space="preserve"> </w:t>
      </w:r>
      <w:r w:rsidR="00BE5905">
        <w:t xml:space="preserve"> </w:t>
      </w:r>
      <w:r>
        <w:t>Pre-RI</w:t>
      </w:r>
      <w:r w:rsidR="00F22155">
        <w:t xml:space="preserve"> data includes samples of soils that have not been removed from the Site</w:t>
      </w:r>
      <w:r w:rsidR="00D24789">
        <w:t xml:space="preserve"> during prior excavation work</w:t>
      </w:r>
      <w:r w:rsidR="00F22155">
        <w:t>.</w:t>
      </w:r>
      <w:r w:rsidR="000A2641">
        <w:t xml:space="preserve"> Locations and sample dates for pre-RI investigations can be found in the RI Work Plan (Exponent 2019).</w:t>
      </w:r>
    </w:p>
  </w:footnote>
  <w:footnote w:id="18">
    <w:p w14:paraId="5ABF3858" w14:textId="77777777" w:rsidR="00C85A9B" w:rsidRPr="0019136C" w:rsidRDefault="00C85A9B" w:rsidP="00C85A9B">
      <w:pPr>
        <w:pStyle w:val="FootnoteText"/>
        <w:rPr>
          <w:rFonts w:asciiTheme="majorHAnsi" w:hAnsiTheme="majorHAnsi"/>
        </w:rPr>
      </w:pPr>
      <w:r>
        <w:rPr>
          <w:rStyle w:val="FootnoteReference"/>
        </w:rPr>
        <w:footnoteRef/>
      </w:r>
      <w:r>
        <w:t xml:space="preserve"> </w:t>
      </w:r>
      <w:r w:rsidRPr="0019136C">
        <w:rPr>
          <w:rFonts w:asciiTheme="majorHAnsi" w:hAnsiTheme="majorHAnsi"/>
          <w:sz w:val="16"/>
          <w:szCs w:val="16"/>
        </w:rPr>
        <w:t>“Live loading” refers to direct loading of excavated soils into haul trucks without intermediate stockpiling.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7ACD" w14:textId="77777777" w:rsidR="009610D1" w:rsidRDefault="00C77D86">
    <w:r>
      <w:rPr>
        <w:noProof/>
      </w:rPr>
      <w:pict w14:anchorId="5F450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68" o:spid="_x0000_s2050" type="#_x0000_t136" style="position:absolute;margin-left:0;margin-top:0;width:549.9pt;height:109.95pt;rotation:315;z-index:-251658240;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BA5C" w14:textId="77777777" w:rsidR="009610D1" w:rsidRDefault="00C77D86">
    <w:r>
      <w:rPr>
        <w:noProof/>
      </w:rPr>
      <w:pict w14:anchorId="7FE51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77" o:spid="_x0000_s2059" type="#_x0000_t136" style="position:absolute;margin-left:0;margin-top:0;width:549.9pt;height:109.95pt;rotation:315;z-index:-251658231;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AD5F" w14:textId="77777777" w:rsidR="009610D1" w:rsidRDefault="00C77D86">
    <w:r>
      <w:rPr>
        <w:noProof/>
      </w:rPr>
      <w:pict w14:anchorId="12B14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76" o:spid="_x0000_s2058" type="#_x0000_t136" style="position:absolute;margin-left:0;margin-top:0;width:549.9pt;height:109.95pt;rotation:315;z-index:-251658233;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E2DEB" w14:textId="77777777" w:rsidR="009610D1" w:rsidRDefault="00C77D86">
    <w:r>
      <w:rPr>
        <w:noProof/>
      </w:rPr>
      <w:pict w14:anchorId="501CE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86" o:spid="_x0000_s2068" type="#_x0000_t136" style="position:absolute;margin-left:0;margin-top:0;width:549.9pt;height:109.95pt;rotation:315;z-index:-251658229;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6B32" w14:textId="77777777" w:rsidR="009610D1" w:rsidRDefault="00C77D86">
    <w:r>
      <w:rPr>
        <w:noProof/>
      </w:rPr>
      <w:pict w14:anchorId="7F8CC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85" o:spid="_x0000_s2067" type="#_x0000_t136" style="position:absolute;margin-left:0;margin-top:0;width:549.9pt;height:109.95pt;rotation:315;z-index:-251658230;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DF52" w14:textId="77777777" w:rsidR="009610D1" w:rsidRDefault="00C77D86" w:rsidP="0051547B">
    <w:r>
      <w:rPr>
        <w:noProof/>
      </w:rPr>
      <w:pict w14:anchorId="5638A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89" o:spid="_x0000_s2071" type="#_x0000_t136" style="position:absolute;margin-left:0;margin-top:0;width:549.9pt;height:109.95pt;rotation:315;z-index:-251658227;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r w:rsidR="009610D1">
      <w:rPr>
        <w:noProof/>
        <w:lang w:eastAsia="en-US"/>
      </w:rPr>
      <mc:AlternateContent>
        <mc:Choice Requires="wps">
          <w:drawing>
            <wp:anchor distT="0" distB="0" distL="114300" distR="114300" simplePos="0" relativeHeight="251658244" behindDoc="0" locked="0" layoutInCell="1" allowOverlap="1" wp14:anchorId="5610FC52" wp14:editId="64ACC056">
              <wp:simplePos x="0" y="0"/>
              <wp:positionH relativeFrom="column">
                <wp:posOffset>-396875</wp:posOffset>
              </wp:positionH>
              <wp:positionV relativeFrom="paragraph">
                <wp:posOffset>145415</wp:posOffset>
              </wp:positionV>
              <wp:extent cx="1383665" cy="238760"/>
              <wp:effectExtent l="0" t="0" r="6985" b="8890"/>
              <wp:wrapNone/>
              <wp:docPr id="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869D" w14:textId="77777777" w:rsidR="009610D1" w:rsidRPr="00A475C0" w:rsidRDefault="009610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10FC52" id="_x0000_t202" coordsize="21600,21600" o:spt="202" path="m,l,21600r21600,l21600,xe">
              <v:stroke joinstyle="miter"/>
              <v:path gradientshapeok="t" o:connecttype="rect"/>
            </v:shapetype>
            <v:shape id="Text Box 113" o:spid="_x0000_s1026" type="#_x0000_t202" style="position:absolute;margin-left:-31.25pt;margin-top:11.45pt;width:108.95pt;height:1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" filled="f" stroked="f">
              <v:textbox inset="0,0,0,0">
                <w:txbxContent>
                  <w:p w14:paraId="1D20869D" w14:textId="77777777" w:rsidR="009610D1" w:rsidRPr="00A475C0" w:rsidRDefault="009610D1"/>
                </w:txbxContent>
              </v:textbox>
            </v:shape>
          </w:pict>
        </mc:Fallback>
      </mc:AlternateContent>
    </w:r>
  </w:p>
  <w:p w14:paraId="7DE42E1E" w14:textId="77777777" w:rsidR="009610D1" w:rsidRPr="00E309DC" w:rsidRDefault="009610D1" w:rsidP="0051547B">
    <w:r>
      <w:fldChar w:fldCharType="begin"/>
    </w:r>
    <w:r>
      <w:instrText xml:space="preserve"> STYLEREF  "Normal - Supplement title" \l \n  \* MERGEFORMAT </w:instrText>
    </w:r>
    <w:r>
      <w:fldChar w:fldCharType="separate"/>
    </w:r>
    <w:r>
      <w:rPr>
        <w:b/>
        <w:bCs/>
        <w:noProof/>
      </w:rPr>
      <w:t>Error! Use the Home tab to apply Normal - Supplement title to the text that you want to appear here.</w:t>
    </w:r>
    <w:r>
      <w:rPr>
        <w:noProof/>
      </w:rPr>
      <w:fldChar w:fldCharType="end"/>
    </w:r>
    <w:r w:rsidRPr="00783AC3">
      <w:t>-</w:t>
    </w:r>
    <w:r>
      <w:fldChar w:fldCharType="begin"/>
    </w:r>
    <w:r>
      <w:instrText xml:space="preserve"> page </w:instrText>
    </w:r>
    <w:r>
      <w:fldChar w:fldCharType="separate"/>
    </w:r>
    <w:r>
      <w:rPr>
        <w:noProof/>
      </w:rPr>
      <w:t>2</w:t>
    </w:r>
    <w:r>
      <w:rPr>
        <w:noProof/>
      </w:rPr>
      <w:fldChar w:fldCharType="end"/>
    </w:r>
    <w:r w:rsidRPr="00E309DC">
      <w:tab/>
    </w:r>
    <w:r w:rsidRPr="00E309DC">
      <w:fldChar w:fldCharType="begin"/>
    </w:r>
    <w:r w:rsidRPr="00E309DC">
      <w:instrText xml:space="preserve"> STYLEREF  "Normal - Frontpage Heading 2"</w:instrText>
    </w:r>
    <w:r w:rsidRPr="00E309DC">
      <w:fldChar w:fldCharType="separate"/>
    </w:r>
    <w:r>
      <w:rPr>
        <w:b/>
        <w:bCs/>
        <w:noProof/>
      </w:rPr>
      <w:t>Error! Use the Home tab to apply Normal - Frontpage Heading 2 to the text that you want to appear here.</w:t>
    </w:r>
    <w:r w:rsidRPr="00E309DC">
      <w:fldChar w:fldCharType="end"/>
    </w:r>
  </w:p>
  <w:p w14:paraId="35CA334E" w14:textId="77777777" w:rsidR="009610D1" w:rsidRDefault="009610D1" w:rsidP="0051547B"/>
  <w:p w14:paraId="291EFB4C" w14:textId="77777777" w:rsidR="009610D1" w:rsidRDefault="009610D1" w:rsidP="0051547B"/>
  <w:p w14:paraId="249B62C9" w14:textId="77777777" w:rsidR="009610D1" w:rsidRDefault="009610D1" w:rsidP="0051547B"/>
  <w:p w14:paraId="78297A21" w14:textId="77777777" w:rsidR="009610D1" w:rsidRDefault="009610D1" w:rsidP="0051547B"/>
  <w:p w14:paraId="6A3F3E45" w14:textId="77777777" w:rsidR="009610D1" w:rsidRDefault="009610D1" w:rsidP="0051547B"/>
  <w:p w14:paraId="1744C7B1" w14:textId="77777777" w:rsidR="009610D1" w:rsidRDefault="009610D1" w:rsidP="0051547B"/>
  <w:p w14:paraId="44AD96FC" w14:textId="77777777" w:rsidR="009610D1" w:rsidRDefault="009610D1"/>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7874" w14:textId="77777777" w:rsidR="00686E88" w:rsidRDefault="00686E88" w:rsidP="00686E88">
    <w:pPr>
      <w:pStyle w:val="RptHeader-Portrait"/>
    </w:pPr>
    <w:r w:rsidRPr="00270E95">
      <w:rPr>
        <w:b/>
      </w:rPr>
      <w:t>D</w:t>
    </w:r>
    <w:r>
      <w:rPr>
        <w:b/>
      </w:rPr>
      <w:t xml:space="preserve"> </w:t>
    </w:r>
    <w:r w:rsidRPr="00270E95">
      <w:rPr>
        <w:b/>
      </w:rPr>
      <w:t>R</w:t>
    </w:r>
    <w:r>
      <w:rPr>
        <w:b/>
      </w:rPr>
      <w:t xml:space="preserve"> </w:t>
    </w:r>
    <w:r w:rsidRPr="00270E95">
      <w:rPr>
        <w:b/>
      </w:rPr>
      <w:t>A</w:t>
    </w:r>
    <w:r>
      <w:rPr>
        <w:b/>
      </w:rPr>
      <w:t xml:space="preserve"> </w:t>
    </w:r>
    <w:r w:rsidRPr="00270E95">
      <w:rPr>
        <w:b/>
      </w:rPr>
      <w:t>F</w:t>
    </w:r>
    <w:r>
      <w:rPr>
        <w:b/>
      </w:rPr>
      <w:t xml:space="preserve"> </w:t>
    </w:r>
    <w:r w:rsidRPr="00270E95">
      <w:rPr>
        <w:b/>
      </w:rPr>
      <w:t>T</w:t>
    </w:r>
    <w:r w:rsidRPr="002B03BD">
      <w:rPr>
        <w:b/>
        <w:spacing w:val="60"/>
      </w:rPr>
      <w:tab/>
    </w:r>
    <w:r>
      <w:t>Remedial Investigation/</w:t>
    </w:r>
  </w:p>
  <w:p w14:paraId="6D59BC00" w14:textId="77777777" w:rsidR="00686E88" w:rsidRPr="00E575B4" w:rsidRDefault="00686E88" w:rsidP="00686E88">
    <w:pPr>
      <w:pStyle w:val="RptHeader-Portrait"/>
      <w:jc w:val="right"/>
    </w:pPr>
    <w:r>
      <w:t>Feasibility Study and Cleanup Action Plan</w:t>
    </w:r>
  </w:p>
  <w:p w14:paraId="268E3F3E" w14:textId="7393B817" w:rsidR="00686E88" w:rsidRPr="00D00873" w:rsidRDefault="00686E88" w:rsidP="00686E88">
    <w:pPr>
      <w:pStyle w:val="RptHeader-Portrait"/>
    </w:pPr>
    <w:r w:rsidRPr="002B03BD">
      <w:tab/>
    </w:r>
    <w:r>
      <w:t xml:space="preserve">Skokomish </w:t>
    </w:r>
    <w:r w:rsidR="00E30502">
      <w:t xml:space="preserve">Indian </w:t>
    </w:r>
    <w:r>
      <w:t>Tribe</w:t>
    </w:r>
  </w:p>
  <w:p w14:paraId="3A1CEF16" w14:textId="77777777" w:rsidR="00686E88" w:rsidRDefault="00686E88" w:rsidP="00686E88">
    <w:pPr>
      <w:pStyle w:val="RptHeader-Portrait"/>
    </w:pPr>
    <w:r w:rsidRPr="002B03BD">
      <w:tab/>
    </w:r>
    <w:r>
      <w:t>Skokomish, Washington</w:t>
    </w:r>
  </w:p>
  <w:p w14:paraId="5ED8675F" w14:textId="77777777" w:rsidR="009610D1" w:rsidRPr="002B03BD" w:rsidRDefault="009610D1" w:rsidP="00D36A3A">
    <w:pPr>
      <w:pStyle w:val="RptHeader-Portrai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4CAF" w14:textId="77777777" w:rsidR="009610D1" w:rsidRDefault="00C77D86">
    <w:r>
      <w:rPr>
        <w:noProof/>
      </w:rPr>
      <w:pict w14:anchorId="525B8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88" o:spid="_x0000_s2070" type="#_x0000_t136" style="position:absolute;margin-left:0;margin-top:0;width:549.9pt;height:109.95pt;rotation:315;z-index:-251658228;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87BF3" w14:textId="77777777" w:rsidR="009610D1" w:rsidRDefault="00C77D86">
    <w:r>
      <w:rPr>
        <w:noProof/>
      </w:rPr>
      <w:pict w14:anchorId="1C898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98" o:spid="_x0000_s2080" type="#_x0000_t136" style="position:absolute;margin-left:0;margin-top:0;width:549.9pt;height:109.95pt;rotation:315;z-index:-251658225;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8A5F1" w14:textId="77777777" w:rsidR="009610D1" w:rsidRDefault="00C77D86">
    <w:r>
      <w:rPr>
        <w:noProof/>
      </w:rPr>
      <w:pict w14:anchorId="63EF4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97" o:spid="_x0000_s2079" type="#_x0000_t136" style="position:absolute;margin-left:0;margin-top:0;width:549.9pt;height:109.95pt;rotation:315;z-index:-251658226;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0945" w14:textId="77777777" w:rsidR="009610D1" w:rsidRDefault="00C77D86">
    <w:r>
      <w:rPr>
        <w:noProof/>
      </w:rPr>
      <w:pict w14:anchorId="76B3A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69" o:spid="_x0000_s2051" type="#_x0000_t136" style="position:absolute;margin-left:0;margin-top:0;width:549.9pt;height:109.95pt;rotation:315;z-index:-251658239;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20B0" w14:textId="77777777" w:rsidR="009610D1" w:rsidRPr="00D36A3A" w:rsidRDefault="009610D1" w:rsidP="00D36A3A">
    <w:pPr>
      <w:pStyle w:val="RptHeader-Portrait"/>
      <w:rPr>
        <w:b/>
      </w:rPr>
    </w:pPr>
    <w:r w:rsidRPr="00D36A3A">
      <w:rPr>
        <w:b/>
      </w:rPr>
      <w:t>D R A F T</w:t>
    </w:r>
  </w:p>
  <w:p w14:paraId="67775080" w14:textId="3FC6B1D0" w:rsidR="009610D1" w:rsidRPr="00D36A3A" w:rsidRDefault="009610D1" w:rsidP="00D36A3A">
    <w:pPr>
      <w:pStyle w:val="RptHeader-Portrait"/>
      <w:rPr>
        <w:rStyle w:val="RptText-Bold"/>
        <w:b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21B3" w14:textId="77777777" w:rsidR="009610D1" w:rsidRDefault="00C77D86" w:rsidP="0051547B">
    <w:r>
      <w:rPr>
        <w:noProof/>
      </w:rPr>
      <w:pict w14:anchorId="6954E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71" o:spid="_x0000_s2053" type="#_x0000_t136" style="position:absolute;margin-left:0;margin-top:0;width:549.9pt;height:109.95pt;rotation:315;z-index:-251658237;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p w14:paraId="69578ED1" w14:textId="77777777" w:rsidR="009610D1" w:rsidRDefault="009610D1" w:rsidP="0051547B"/>
  <w:p w14:paraId="5F0ECA01" w14:textId="77777777" w:rsidR="009610D1" w:rsidRDefault="009610D1" w:rsidP="0051547B"/>
  <w:p w14:paraId="55687FA6" w14:textId="77777777" w:rsidR="009610D1" w:rsidRDefault="009610D1" w:rsidP="0051547B"/>
  <w:p w14:paraId="24F5E3BD" w14:textId="77777777" w:rsidR="009610D1" w:rsidRDefault="009610D1" w:rsidP="0051547B"/>
  <w:p w14:paraId="082E9ABC" w14:textId="77777777" w:rsidR="009610D1" w:rsidRDefault="009610D1" w:rsidP="0051547B"/>
  <w:p w14:paraId="7EF2E64D" w14:textId="77777777" w:rsidR="009610D1" w:rsidRDefault="009610D1" w:rsidP="0051547B"/>
  <w:p w14:paraId="477A072B" w14:textId="77777777" w:rsidR="009610D1" w:rsidRDefault="009610D1" w:rsidP="0051547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17CF" w14:textId="385FBA98" w:rsidR="009610D1" w:rsidRDefault="009610D1" w:rsidP="00142657">
    <w:pPr>
      <w:pStyle w:val="RptHeader-Portrait"/>
    </w:pPr>
    <w:r w:rsidRPr="00270E95">
      <w:rPr>
        <w:b/>
      </w:rPr>
      <w:t>D</w:t>
    </w:r>
    <w:r>
      <w:rPr>
        <w:b/>
      </w:rPr>
      <w:t xml:space="preserve"> </w:t>
    </w:r>
    <w:r w:rsidRPr="00270E95">
      <w:rPr>
        <w:b/>
      </w:rPr>
      <w:t>R</w:t>
    </w:r>
    <w:r>
      <w:rPr>
        <w:b/>
      </w:rPr>
      <w:t xml:space="preserve"> </w:t>
    </w:r>
    <w:r w:rsidRPr="00270E95">
      <w:rPr>
        <w:b/>
      </w:rPr>
      <w:t>A</w:t>
    </w:r>
    <w:r>
      <w:rPr>
        <w:b/>
      </w:rPr>
      <w:t xml:space="preserve"> </w:t>
    </w:r>
    <w:r w:rsidRPr="00270E95">
      <w:rPr>
        <w:b/>
      </w:rPr>
      <w:t>F</w:t>
    </w:r>
    <w:r>
      <w:rPr>
        <w:b/>
      </w:rPr>
      <w:t xml:space="preserve"> </w:t>
    </w:r>
    <w:r w:rsidRPr="00270E95">
      <w:rPr>
        <w:b/>
      </w:rPr>
      <w:t>T</w:t>
    </w:r>
    <w:r w:rsidRPr="002B03BD">
      <w:rPr>
        <w:b/>
        <w:spacing w:val="60"/>
      </w:rPr>
      <w:tab/>
    </w:r>
    <w:r>
      <w:t>Remedial Investigation/</w:t>
    </w:r>
  </w:p>
  <w:p w14:paraId="3AADDC07" w14:textId="6B88666E" w:rsidR="009610D1" w:rsidRPr="00E575B4" w:rsidRDefault="009610D1" w:rsidP="00142657">
    <w:pPr>
      <w:pStyle w:val="RptHeader-Portrait"/>
      <w:jc w:val="right"/>
    </w:pPr>
    <w:r>
      <w:t>Feasibility Study and Cleanup Action Plan</w:t>
    </w:r>
  </w:p>
  <w:p w14:paraId="3ADEBE74" w14:textId="417C645C" w:rsidR="009610D1" w:rsidRPr="00D00873" w:rsidRDefault="009610D1" w:rsidP="00D36A3A">
    <w:pPr>
      <w:pStyle w:val="RptHeader-Portrait"/>
    </w:pPr>
    <w:r w:rsidRPr="002B03BD">
      <w:tab/>
    </w:r>
    <w:r>
      <w:t xml:space="preserve">Skokomish </w:t>
    </w:r>
    <w:r w:rsidR="005B0985">
      <w:t xml:space="preserve">Indian </w:t>
    </w:r>
    <w:r>
      <w:t>Tribe</w:t>
    </w:r>
  </w:p>
  <w:p w14:paraId="0E3D2DAD" w14:textId="19201E45" w:rsidR="009610D1" w:rsidRDefault="009610D1" w:rsidP="00D36A3A">
    <w:pPr>
      <w:pStyle w:val="RptHeader-Portrait"/>
    </w:pPr>
    <w:r w:rsidRPr="002B03BD">
      <w:tab/>
    </w:r>
    <w:r>
      <w:t>Skokomish, Washington</w:t>
    </w:r>
  </w:p>
  <w:p w14:paraId="5C0E0EE7" w14:textId="77777777" w:rsidR="009610D1" w:rsidRPr="002B03BD" w:rsidRDefault="009610D1" w:rsidP="00D36A3A">
    <w:pPr>
      <w:pStyle w:val="RptHeader-Portrai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FDFD" w14:textId="77777777" w:rsidR="009610D1" w:rsidRDefault="00C77D86" w:rsidP="0051547B">
    <w:r>
      <w:rPr>
        <w:noProof/>
      </w:rPr>
      <w:pict w14:anchorId="783C3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70" o:spid="_x0000_s2052" type="#_x0000_t136" style="position:absolute;margin-left:0;margin-top:0;width:549.9pt;height:109.95pt;rotation:315;z-index:-251658238;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62762" w14:textId="77777777" w:rsidR="009610D1" w:rsidRDefault="00C77D86">
    <w:r>
      <w:rPr>
        <w:noProof/>
      </w:rPr>
      <w:pict w14:anchorId="39DB1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74" o:spid="_x0000_s2056" type="#_x0000_t136" style="position:absolute;margin-left:0;margin-top:0;width:549.9pt;height:109.95pt;rotation:315;z-index:-251658234;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15820" w14:textId="77777777" w:rsidR="009610D1" w:rsidRDefault="009610D1" w:rsidP="00142657">
    <w:pPr>
      <w:pStyle w:val="RptHeader-Portrait"/>
    </w:pPr>
    <w:r w:rsidRPr="00270E95">
      <w:rPr>
        <w:b/>
      </w:rPr>
      <w:t>D</w:t>
    </w:r>
    <w:r>
      <w:rPr>
        <w:b/>
      </w:rPr>
      <w:t xml:space="preserve"> </w:t>
    </w:r>
    <w:r w:rsidRPr="00270E95">
      <w:rPr>
        <w:b/>
      </w:rPr>
      <w:t>R</w:t>
    </w:r>
    <w:r>
      <w:rPr>
        <w:b/>
      </w:rPr>
      <w:t xml:space="preserve"> </w:t>
    </w:r>
    <w:r w:rsidRPr="00270E95">
      <w:rPr>
        <w:b/>
      </w:rPr>
      <w:t>A</w:t>
    </w:r>
    <w:r>
      <w:rPr>
        <w:b/>
      </w:rPr>
      <w:t xml:space="preserve"> </w:t>
    </w:r>
    <w:r w:rsidRPr="00270E95">
      <w:rPr>
        <w:b/>
      </w:rPr>
      <w:t>F</w:t>
    </w:r>
    <w:r>
      <w:rPr>
        <w:b/>
      </w:rPr>
      <w:t xml:space="preserve"> </w:t>
    </w:r>
    <w:r w:rsidRPr="00270E95">
      <w:rPr>
        <w:b/>
      </w:rPr>
      <w:t>T</w:t>
    </w:r>
    <w:r w:rsidRPr="002B03BD">
      <w:rPr>
        <w:b/>
        <w:spacing w:val="60"/>
      </w:rPr>
      <w:tab/>
    </w:r>
    <w:r>
      <w:t>Remedial Investigation/</w:t>
    </w:r>
  </w:p>
  <w:p w14:paraId="41FEA7A8" w14:textId="73B5C642" w:rsidR="009610D1" w:rsidRPr="00E575B4" w:rsidRDefault="009610D1" w:rsidP="00142657">
    <w:pPr>
      <w:pStyle w:val="RptHeader-Portrait"/>
      <w:jc w:val="right"/>
    </w:pPr>
    <w:r>
      <w:t>Feasibility Study and Cleanup Action Plan</w:t>
    </w:r>
  </w:p>
  <w:p w14:paraId="61729E50" w14:textId="4B86083E" w:rsidR="009610D1" w:rsidRPr="00D00873" w:rsidRDefault="009610D1" w:rsidP="00142657">
    <w:pPr>
      <w:pStyle w:val="RptHeader-Portrait"/>
    </w:pPr>
    <w:r w:rsidRPr="002B03BD">
      <w:tab/>
    </w:r>
    <w:r>
      <w:t xml:space="preserve">Skokomish </w:t>
    </w:r>
    <w:r w:rsidR="005B0985">
      <w:t xml:space="preserve">Indian </w:t>
    </w:r>
    <w:r>
      <w:t>Tribe</w:t>
    </w:r>
  </w:p>
  <w:p w14:paraId="05304B71" w14:textId="77777777" w:rsidR="009610D1" w:rsidRDefault="009610D1" w:rsidP="00142657">
    <w:pPr>
      <w:pStyle w:val="RptHeader-Portrait"/>
    </w:pPr>
    <w:r w:rsidRPr="002B03BD">
      <w:tab/>
    </w:r>
    <w:r>
      <w:t>Skokomish, Washington</w:t>
    </w:r>
  </w:p>
  <w:p w14:paraId="4884051B" w14:textId="4C2807F2" w:rsidR="005B6CA9" w:rsidRPr="002B03BD" w:rsidRDefault="009610D1" w:rsidP="005B6CA9">
    <w:pPr>
      <w:pStyle w:val="RptHeader-Portrait"/>
      <w:spacing w:after="120"/>
    </w:pPr>
    <w:r>
      <w:tab/>
    </w:r>
    <w:r w:rsidR="009229B6">
      <w:fldChar w:fldCharType="begin"/>
    </w:r>
    <w:r w:rsidR="009229B6">
      <w:instrText xml:space="preserve"> PAGE   \* MERGEFORMAT </w:instrText>
    </w:r>
    <w:r w:rsidR="009229B6">
      <w:fldChar w:fldCharType="separate"/>
    </w:r>
    <w:r w:rsidR="00162FBA">
      <w:rPr>
        <w:noProof/>
      </w:rPr>
      <w:t>iii</w:t>
    </w:r>
    <w:r w:rsidR="009229B6">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6BC3" w14:textId="77777777" w:rsidR="009610D1" w:rsidRDefault="00C77D86">
    <w:r>
      <w:rPr>
        <w:noProof/>
      </w:rPr>
      <w:pict w14:anchorId="25992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59773" o:spid="_x0000_s2055" type="#_x0000_t136" style="position:absolute;margin-left:0;margin-top:0;width:549.9pt;height:109.95pt;rotation:315;z-index:-251658235;mso-position-horizontal:center;mso-position-horizontal-relative:margin;mso-position-vertical:center;mso-position-vertical-relative:margin" o:allowincell="f" fillcolor="#d0cfc5" stroked="f">
          <v:textpath style="font-family:&quot;Verdana&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8CC4306"/>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9EC0921C"/>
    <w:lvl w:ilvl="0">
      <w:start w:val="1"/>
      <w:numFmt w:val="decimal"/>
      <w:lvlText w:val="%1."/>
      <w:lvlJc w:val="left"/>
      <w:pPr>
        <w:tabs>
          <w:tab w:val="num" w:pos="360"/>
        </w:tabs>
        <w:ind w:left="360" w:hanging="360"/>
      </w:pPr>
    </w:lvl>
  </w:abstractNum>
  <w:abstractNum w:abstractNumId="2" w15:restartNumberingAfterBreak="0">
    <w:nsid w:val="025E0A14"/>
    <w:multiLevelType w:val="singleLevel"/>
    <w:tmpl w:val="52920110"/>
    <w:lvl w:ilvl="0">
      <w:start w:val="1"/>
      <w:numFmt w:val="bullet"/>
      <w:lvlText w:val=""/>
      <w:lvlJc w:val="left"/>
      <w:pPr>
        <w:tabs>
          <w:tab w:val="num" w:pos="1080"/>
        </w:tabs>
        <w:ind w:left="1080" w:hanging="360"/>
      </w:pPr>
      <w:rPr>
        <w:rFonts w:ascii="Symbol" w:hAnsi="Symbol" w:hint="default"/>
        <w:b w:val="0"/>
      </w:rPr>
    </w:lvl>
  </w:abstractNum>
  <w:abstractNum w:abstractNumId="3" w15:restartNumberingAfterBreak="0">
    <w:nsid w:val="04027212"/>
    <w:multiLevelType w:val="hybridMultilevel"/>
    <w:tmpl w:val="32E6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B5FAA"/>
    <w:multiLevelType w:val="singleLevel"/>
    <w:tmpl w:val="598E2E78"/>
    <w:lvl w:ilvl="0">
      <w:start w:val="1"/>
      <w:numFmt w:val="bullet"/>
      <w:lvlText w:val=""/>
      <w:lvlJc w:val="left"/>
      <w:pPr>
        <w:tabs>
          <w:tab w:val="num" w:pos="1440"/>
        </w:tabs>
        <w:ind w:left="1440" w:hanging="360"/>
      </w:pPr>
      <w:rPr>
        <w:rFonts w:ascii="Symbol" w:hAnsi="Symbol" w:cs="Courier New" w:hint="default"/>
        <w:b w:val="0"/>
      </w:rPr>
    </w:lvl>
  </w:abstractNum>
  <w:abstractNum w:abstractNumId="5" w15:restartNumberingAfterBreak="0">
    <w:nsid w:val="05750807"/>
    <w:multiLevelType w:val="multilevel"/>
    <w:tmpl w:val="26BC45CE"/>
    <w:lvl w:ilvl="0">
      <w:start w:val="1"/>
      <w:numFmt w:val="decimal"/>
      <w:lvlRestart w:val="0"/>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0"/>
        </w:tabs>
        <w:ind w:left="0" w:firstLine="0"/>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2F7C40"/>
    <w:multiLevelType w:val="singleLevel"/>
    <w:tmpl w:val="62C47BC8"/>
    <w:lvl w:ilvl="0">
      <w:start w:val="1"/>
      <w:numFmt w:val="bullet"/>
      <w:lvlText w:val=""/>
      <w:lvlJc w:val="left"/>
      <w:pPr>
        <w:tabs>
          <w:tab w:val="num" w:pos="1080"/>
        </w:tabs>
        <w:ind w:left="1080" w:hanging="360"/>
      </w:pPr>
      <w:rPr>
        <w:rFonts w:ascii="Symbol" w:hAnsi="Symbol" w:hint="default"/>
        <w:b w:val="0"/>
      </w:rPr>
    </w:lvl>
  </w:abstractNum>
  <w:abstractNum w:abstractNumId="7" w15:restartNumberingAfterBreak="0">
    <w:nsid w:val="06C90A0B"/>
    <w:multiLevelType w:val="hybridMultilevel"/>
    <w:tmpl w:val="FE209DBA"/>
    <w:lvl w:ilvl="0" w:tplc="657CCD1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4E72BC"/>
    <w:multiLevelType w:val="hybridMultilevel"/>
    <w:tmpl w:val="BE206AF4"/>
    <w:lvl w:ilvl="0" w:tplc="E0B28E64">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69000A"/>
    <w:multiLevelType w:val="hybridMultilevel"/>
    <w:tmpl w:val="D2045B02"/>
    <w:lvl w:ilvl="0" w:tplc="57D8725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0CF70FBF"/>
    <w:multiLevelType w:val="hybridMultilevel"/>
    <w:tmpl w:val="F8EAF32A"/>
    <w:lvl w:ilvl="0" w:tplc="69ECEDD4">
      <w:start w:val="1"/>
      <w:numFmt w:val="decimal"/>
      <w:pStyle w:val="RptBullet-Level2Numbered"/>
      <w:lvlText w:val="%1."/>
      <w:lvlJc w:val="left"/>
      <w:pPr>
        <w:ind w:left="1584" w:hanging="360"/>
      </w:pPr>
      <w:rPr>
        <w:rFonts w:ascii="Verdana" w:hAnsi="Verdana" w:hint="default"/>
        <w:color w:val="auto"/>
        <w:sz w:val="18"/>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15:restartNumberingAfterBreak="0">
    <w:nsid w:val="0F6A7EE1"/>
    <w:multiLevelType w:val="singleLevel"/>
    <w:tmpl w:val="F1CE05FE"/>
    <w:lvl w:ilvl="0">
      <w:start w:val="1"/>
      <w:numFmt w:val="bullet"/>
      <w:lvlText w:val=""/>
      <w:lvlJc w:val="left"/>
      <w:pPr>
        <w:tabs>
          <w:tab w:val="num" w:pos="1080"/>
        </w:tabs>
        <w:ind w:left="1080" w:hanging="360"/>
      </w:pPr>
      <w:rPr>
        <w:rFonts w:ascii="Symbol" w:hAnsi="Symbol" w:hint="default"/>
        <w:b w:val="0"/>
      </w:rPr>
    </w:lvl>
  </w:abstractNum>
  <w:abstractNum w:abstractNumId="12" w15:restartNumberingAfterBreak="0">
    <w:nsid w:val="0F7B2269"/>
    <w:multiLevelType w:val="singleLevel"/>
    <w:tmpl w:val="FF4A420C"/>
    <w:lvl w:ilvl="0">
      <w:start w:val="1"/>
      <w:numFmt w:val="bullet"/>
      <w:lvlText w:val=""/>
      <w:lvlJc w:val="left"/>
      <w:pPr>
        <w:tabs>
          <w:tab w:val="num" w:pos="1080"/>
        </w:tabs>
        <w:ind w:left="1080" w:hanging="360"/>
      </w:pPr>
      <w:rPr>
        <w:rFonts w:ascii="Symbol" w:hAnsi="Symbol" w:hint="default"/>
        <w:b w:val="0"/>
      </w:rPr>
    </w:lvl>
  </w:abstractNum>
  <w:abstractNum w:abstractNumId="13" w15:restartNumberingAfterBreak="0">
    <w:nsid w:val="1897215F"/>
    <w:multiLevelType w:val="singleLevel"/>
    <w:tmpl w:val="DDF80C32"/>
    <w:lvl w:ilvl="0">
      <w:start w:val="1"/>
      <w:numFmt w:val="bullet"/>
      <w:lvlText w:val=""/>
      <w:lvlJc w:val="left"/>
      <w:pPr>
        <w:tabs>
          <w:tab w:val="num" w:pos="1080"/>
        </w:tabs>
        <w:ind w:left="1080" w:hanging="360"/>
      </w:pPr>
      <w:rPr>
        <w:rFonts w:ascii="Symbol" w:hAnsi="Symbol" w:hint="default"/>
        <w:b w:val="0"/>
      </w:rPr>
    </w:lvl>
  </w:abstractNum>
  <w:abstractNum w:abstractNumId="14" w15:restartNumberingAfterBreak="0">
    <w:nsid w:val="19B27015"/>
    <w:multiLevelType w:val="singleLevel"/>
    <w:tmpl w:val="E35620D6"/>
    <w:lvl w:ilvl="0">
      <w:start w:val="1"/>
      <w:numFmt w:val="bullet"/>
      <w:lvlText w:val=""/>
      <w:lvlJc w:val="left"/>
      <w:pPr>
        <w:tabs>
          <w:tab w:val="num" w:pos="1080"/>
        </w:tabs>
        <w:ind w:left="1080" w:hanging="360"/>
      </w:pPr>
      <w:rPr>
        <w:rFonts w:ascii="Symbol" w:hAnsi="Symbol" w:hint="default"/>
        <w:b w:val="0"/>
      </w:rPr>
    </w:lvl>
  </w:abstractNum>
  <w:abstractNum w:abstractNumId="15" w15:restartNumberingAfterBreak="0">
    <w:nsid w:val="1E277F9D"/>
    <w:multiLevelType w:val="hybridMultilevel"/>
    <w:tmpl w:val="B8923D06"/>
    <w:lvl w:ilvl="0" w:tplc="90EE5DBA">
      <w:start w:val="1"/>
      <w:numFmt w:val="upperLetter"/>
      <w:pStyle w:val="RptBullet-Level1Lettered"/>
      <w:lvlText w:val="%1."/>
      <w:lvlJc w:val="left"/>
      <w:pPr>
        <w:ind w:left="1584" w:hanging="360"/>
      </w:pPr>
      <w:rPr>
        <w:rFonts w:ascii="Verdana" w:hAnsi="Verdana" w:hint="default"/>
        <w:sz w:val="18"/>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15:restartNumberingAfterBreak="0">
    <w:nsid w:val="1E4C0409"/>
    <w:multiLevelType w:val="singleLevel"/>
    <w:tmpl w:val="A5147134"/>
    <w:lvl w:ilvl="0">
      <w:start w:val="1"/>
      <w:numFmt w:val="bullet"/>
      <w:lvlText w:val=""/>
      <w:lvlJc w:val="left"/>
      <w:pPr>
        <w:tabs>
          <w:tab w:val="num" w:pos="1080"/>
        </w:tabs>
        <w:ind w:left="1080" w:hanging="360"/>
      </w:pPr>
      <w:rPr>
        <w:rFonts w:ascii="Symbol" w:hAnsi="Symbol" w:hint="default"/>
        <w:b w:val="0"/>
      </w:rPr>
    </w:lvl>
  </w:abstractNum>
  <w:abstractNum w:abstractNumId="17" w15:restartNumberingAfterBreak="0">
    <w:nsid w:val="1FC878C3"/>
    <w:multiLevelType w:val="singleLevel"/>
    <w:tmpl w:val="7D689CFE"/>
    <w:lvl w:ilvl="0">
      <w:start w:val="1"/>
      <w:numFmt w:val="bullet"/>
      <w:lvlText w:val=""/>
      <w:lvlJc w:val="left"/>
      <w:pPr>
        <w:tabs>
          <w:tab w:val="num" w:pos="1080"/>
        </w:tabs>
        <w:ind w:left="1080" w:hanging="360"/>
      </w:pPr>
      <w:rPr>
        <w:rFonts w:ascii="Symbol" w:hAnsi="Symbol" w:hint="default"/>
        <w:b w:val="0"/>
      </w:rPr>
    </w:lvl>
  </w:abstractNum>
  <w:abstractNum w:abstractNumId="18" w15:restartNumberingAfterBreak="0">
    <w:nsid w:val="23227FF1"/>
    <w:multiLevelType w:val="singleLevel"/>
    <w:tmpl w:val="2D269ABA"/>
    <w:lvl w:ilvl="0">
      <w:start w:val="1"/>
      <w:numFmt w:val="bullet"/>
      <w:lvlText w:val=""/>
      <w:lvlJc w:val="left"/>
      <w:pPr>
        <w:tabs>
          <w:tab w:val="num" w:pos="1080"/>
        </w:tabs>
        <w:ind w:left="1080" w:hanging="360"/>
      </w:pPr>
      <w:rPr>
        <w:rFonts w:ascii="Symbol" w:hAnsi="Symbol" w:hint="default"/>
        <w:b w:val="0"/>
      </w:rPr>
    </w:lvl>
  </w:abstractNum>
  <w:abstractNum w:abstractNumId="19" w15:restartNumberingAfterBreak="0">
    <w:nsid w:val="281036C6"/>
    <w:multiLevelType w:val="hybridMultilevel"/>
    <w:tmpl w:val="01B0351C"/>
    <w:lvl w:ilvl="0" w:tplc="D87209C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0E43A4"/>
    <w:multiLevelType w:val="hybridMultilevel"/>
    <w:tmpl w:val="61B8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753F"/>
    <w:multiLevelType w:val="hybridMultilevel"/>
    <w:tmpl w:val="19228D54"/>
    <w:lvl w:ilvl="0" w:tplc="53880392">
      <w:start w:val="1"/>
      <w:numFmt w:val="bullet"/>
      <w:pStyle w:val="RptBullet-Level1"/>
      <w:lvlText w:val="•"/>
      <w:lvlJc w:val="left"/>
      <w:pPr>
        <w:ind w:left="1080" w:hanging="360"/>
      </w:pPr>
      <w:rPr>
        <w:rFonts w:ascii="Arial" w:hAnsi="Arial" w:hint="default"/>
        <w:b w:val="0"/>
        <w:i w:val="0"/>
        <w:caps w:val="0"/>
        <w:strike w:val="0"/>
        <w:dstrike w:val="0"/>
        <w:vanish w:val="0"/>
        <w:sz w:val="22"/>
        <w:szCs w:val="18"/>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017092"/>
    <w:multiLevelType w:val="singleLevel"/>
    <w:tmpl w:val="438E1956"/>
    <w:lvl w:ilvl="0">
      <w:start w:val="1"/>
      <w:numFmt w:val="bullet"/>
      <w:lvlText w:val=""/>
      <w:lvlJc w:val="left"/>
      <w:pPr>
        <w:tabs>
          <w:tab w:val="num" w:pos="1080"/>
        </w:tabs>
        <w:ind w:left="1080" w:hanging="360"/>
      </w:pPr>
      <w:rPr>
        <w:rFonts w:ascii="Symbol" w:hAnsi="Symbol" w:hint="default"/>
        <w:b w:val="0"/>
      </w:rPr>
    </w:lvl>
  </w:abstractNum>
  <w:abstractNum w:abstractNumId="23" w15:restartNumberingAfterBreak="0">
    <w:nsid w:val="37364204"/>
    <w:multiLevelType w:val="hybridMultilevel"/>
    <w:tmpl w:val="C57A7CFA"/>
    <w:lvl w:ilvl="0" w:tplc="1D9078C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7406E"/>
    <w:multiLevelType w:val="singleLevel"/>
    <w:tmpl w:val="0E04F8CC"/>
    <w:lvl w:ilvl="0">
      <w:start w:val="1"/>
      <w:numFmt w:val="bullet"/>
      <w:lvlText w:val=""/>
      <w:lvlJc w:val="left"/>
      <w:pPr>
        <w:tabs>
          <w:tab w:val="num" w:pos="1080"/>
        </w:tabs>
        <w:ind w:left="1080" w:hanging="360"/>
      </w:pPr>
      <w:rPr>
        <w:rFonts w:ascii="Symbol" w:hAnsi="Symbol" w:hint="default"/>
        <w:b w:val="0"/>
      </w:rPr>
    </w:lvl>
  </w:abstractNum>
  <w:abstractNum w:abstractNumId="25" w15:restartNumberingAfterBreak="0">
    <w:nsid w:val="3C8618D8"/>
    <w:multiLevelType w:val="multilevel"/>
    <w:tmpl w:val="47760A8E"/>
    <w:name w:val="Document Headings"/>
    <w:lvl w:ilvl="0">
      <w:start w:val="1"/>
      <w:numFmt w:val="decimal"/>
      <w:lvlText w:val="%1."/>
      <w:lvlJc w:val="left"/>
      <w:pPr>
        <w:ind w:left="0" w:hanging="624"/>
      </w:pPr>
      <w:rPr>
        <w:rFonts w:hint="default"/>
        <w:b/>
        <w:i w:val="0"/>
        <w:color w:val="009DE0"/>
        <w:sz w:val="28"/>
      </w:rPr>
    </w:lvl>
    <w:lvl w:ilvl="1">
      <w:start w:val="1"/>
      <w:numFmt w:val="decimal"/>
      <w:lvlRestart w:val="0"/>
      <w:lvlText w:val="%1.%2"/>
      <w:lvlJc w:val="left"/>
      <w:pPr>
        <w:tabs>
          <w:tab w:val="num" w:pos="454"/>
        </w:tabs>
        <w:ind w:left="0" w:hanging="624"/>
      </w:pPr>
      <w:rPr>
        <w:rFonts w:ascii="Verdana" w:hAnsi="Verdana" w:hint="default"/>
        <w:b/>
        <w:i w:val="0"/>
        <w:color w:val="000000"/>
        <w:sz w:val="18"/>
      </w:rPr>
    </w:lvl>
    <w:lvl w:ilvl="2">
      <w:start w:val="1"/>
      <w:numFmt w:val="decimal"/>
      <w:lvlRestart w:val="0"/>
      <w:lvlText w:val="%1.%2.%3"/>
      <w:lvlJc w:val="right"/>
      <w:pPr>
        <w:tabs>
          <w:tab w:val="num" w:pos="0"/>
        </w:tabs>
        <w:ind w:left="0" w:hanging="624"/>
      </w:pPr>
      <w:rPr>
        <w:rFonts w:ascii="Verdana" w:hAnsi="Verdana" w:hint="default"/>
        <w:b w:val="0"/>
        <w:i w:val="0"/>
        <w:color w:val="000000"/>
        <w:sz w:val="17"/>
      </w:rPr>
    </w:lvl>
    <w:lvl w:ilvl="3">
      <w:start w:val="1"/>
      <w:numFmt w:val="decimal"/>
      <w:lvlText w:val="%1.%2.%3.%4"/>
      <w:lvlJc w:val="right"/>
      <w:pPr>
        <w:tabs>
          <w:tab w:val="num" w:pos="284"/>
        </w:tabs>
        <w:ind w:left="0" w:hanging="624"/>
      </w:pPr>
      <w:rPr>
        <w:rFonts w:ascii="Verdana" w:hAnsi="Verdana" w:hint="default"/>
        <w:b w:val="0"/>
        <w:i w:val="0"/>
        <w:color w:val="auto"/>
        <w:sz w:val="17"/>
      </w:rPr>
    </w:lvl>
    <w:lvl w:ilvl="4">
      <w:start w:val="1"/>
      <w:numFmt w:val="decimal"/>
      <w:lvlRestart w:val="0"/>
      <w:lvlText w:val="%1.%2.%3.%4.%5"/>
      <w:lvlJc w:val="right"/>
      <w:pPr>
        <w:tabs>
          <w:tab w:val="num" w:pos="567"/>
        </w:tabs>
        <w:ind w:left="0" w:hanging="624"/>
      </w:pPr>
      <w:rPr>
        <w:rFonts w:hint="default"/>
      </w:rPr>
    </w:lvl>
    <w:lvl w:ilvl="5">
      <w:start w:val="1"/>
      <w:numFmt w:val="decimal"/>
      <w:lvlText w:val="%1.%2.%3.%4.%5.%6"/>
      <w:lvlJc w:val="right"/>
      <w:pPr>
        <w:tabs>
          <w:tab w:val="num" w:pos="567"/>
        </w:tabs>
        <w:ind w:left="0" w:hanging="624"/>
      </w:pPr>
      <w:rPr>
        <w:rFonts w:hint="default"/>
      </w:rPr>
    </w:lvl>
    <w:lvl w:ilvl="6">
      <w:start w:val="1"/>
      <w:numFmt w:val="decimal"/>
      <w:lvlText w:val="%1.%2.%3.%4.%5.%6.%7"/>
      <w:lvlJc w:val="right"/>
      <w:pPr>
        <w:tabs>
          <w:tab w:val="num" w:pos="851"/>
        </w:tabs>
        <w:ind w:left="0" w:hanging="624"/>
      </w:pPr>
      <w:rPr>
        <w:rFonts w:hint="default"/>
      </w:rPr>
    </w:lvl>
    <w:lvl w:ilvl="7">
      <w:start w:val="1"/>
      <w:numFmt w:val="decimal"/>
      <w:lvlText w:val="%1.%2.%3.%4.%5.%6.%7.%8"/>
      <w:lvlJc w:val="right"/>
      <w:pPr>
        <w:tabs>
          <w:tab w:val="num" w:pos="851"/>
        </w:tabs>
        <w:ind w:left="0" w:hanging="624"/>
      </w:pPr>
      <w:rPr>
        <w:rFonts w:hint="default"/>
      </w:rPr>
    </w:lvl>
    <w:lvl w:ilvl="8">
      <w:start w:val="1"/>
      <w:numFmt w:val="decimal"/>
      <w:lvlText w:val="%1.%2.%3.%4.%5.%6.%7.%8.%9"/>
      <w:lvlJc w:val="right"/>
      <w:pPr>
        <w:tabs>
          <w:tab w:val="num" w:pos="1134"/>
        </w:tabs>
        <w:ind w:left="0" w:hanging="624"/>
      </w:pPr>
      <w:rPr>
        <w:rFonts w:hint="default"/>
      </w:rPr>
    </w:lvl>
  </w:abstractNum>
  <w:abstractNum w:abstractNumId="26" w15:restartNumberingAfterBreak="0">
    <w:nsid w:val="3EB316A0"/>
    <w:multiLevelType w:val="singleLevel"/>
    <w:tmpl w:val="0F1E52F2"/>
    <w:lvl w:ilvl="0">
      <w:start w:val="1"/>
      <w:numFmt w:val="bullet"/>
      <w:lvlText w:val=""/>
      <w:lvlJc w:val="left"/>
      <w:pPr>
        <w:tabs>
          <w:tab w:val="num" w:pos="1440"/>
        </w:tabs>
        <w:ind w:left="1440" w:hanging="360"/>
      </w:pPr>
      <w:rPr>
        <w:rFonts w:ascii="Symbol" w:hAnsi="Symbol" w:cs="Courier New" w:hint="default"/>
        <w:b w:val="0"/>
      </w:rPr>
    </w:lvl>
  </w:abstractNum>
  <w:abstractNum w:abstractNumId="27" w15:restartNumberingAfterBreak="0">
    <w:nsid w:val="3FE162A7"/>
    <w:multiLevelType w:val="hybridMultilevel"/>
    <w:tmpl w:val="3F2ABC1E"/>
    <w:lvl w:ilvl="0" w:tplc="4C862810">
      <w:start w:val="1"/>
      <w:numFmt w:val="lowerLetter"/>
      <w:pStyle w:val="RptBullet-Level2Lettered"/>
      <w:lvlText w:val="%1."/>
      <w:lvlJc w:val="left"/>
      <w:pPr>
        <w:ind w:left="1584" w:hanging="360"/>
      </w:pPr>
      <w:rPr>
        <w:rFonts w:ascii="Verdana" w:hAnsi="Verdana" w:hint="default"/>
        <w:sz w:val="18"/>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8" w15:restartNumberingAfterBreak="0">
    <w:nsid w:val="41FF2630"/>
    <w:multiLevelType w:val="singleLevel"/>
    <w:tmpl w:val="E8EE98F6"/>
    <w:lvl w:ilvl="0">
      <w:start w:val="1"/>
      <w:numFmt w:val="bullet"/>
      <w:lvlText w:val=""/>
      <w:lvlJc w:val="left"/>
      <w:pPr>
        <w:tabs>
          <w:tab w:val="num" w:pos="1440"/>
        </w:tabs>
        <w:ind w:left="1440" w:hanging="360"/>
      </w:pPr>
      <w:rPr>
        <w:rFonts w:ascii="Symbol" w:hAnsi="Symbol" w:cs="Courier New" w:hint="default"/>
        <w:b w:val="0"/>
      </w:rPr>
    </w:lvl>
  </w:abstractNum>
  <w:abstractNum w:abstractNumId="29" w15:restartNumberingAfterBreak="0">
    <w:nsid w:val="421D1117"/>
    <w:multiLevelType w:val="singleLevel"/>
    <w:tmpl w:val="0E204990"/>
    <w:lvl w:ilvl="0">
      <w:start w:val="1"/>
      <w:numFmt w:val="bullet"/>
      <w:lvlText w:val=""/>
      <w:lvlJc w:val="left"/>
      <w:pPr>
        <w:tabs>
          <w:tab w:val="num" w:pos="1080"/>
        </w:tabs>
        <w:ind w:left="1080" w:hanging="360"/>
      </w:pPr>
      <w:rPr>
        <w:rFonts w:ascii="Symbol" w:hAnsi="Symbol" w:hint="default"/>
        <w:b w:val="0"/>
      </w:rPr>
    </w:lvl>
  </w:abstractNum>
  <w:abstractNum w:abstractNumId="30" w15:restartNumberingAfterBreak="0">
    <w:nsid w:val="4692178C"/>
    <w:multiLevelType w:val="multilevel"/>
    <w:tmpl w:val="ABBA6C34"/>
    <w:lvl w:ilvl="0">
      <w:start w:val="1"/>
      <w:numFmt w:val="decimal"/>
      <w:lvlRestart w:val="0"/>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0"/>
        </w:tabs>
        <w:ind w:left="0" w:firstLine="0"/>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D5030B7"/>
    <w:multiLevelType w:val="hybridMultilevel"/>
    <w:tmpl w:val="4D3C885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15:restartNumberingAfterBreak="0">
    <w:nsid w:val="512964F8"/>
    <w:multiLevelType w:val="singleLevel"/>
    <w:tmpl w:val="96163320"/>
    <w:lvl w:ilvl="0">
      <w:start w:val="1"/>
      <w:numFmt w:val="bullet"/>
      <w:lvlText w:val=""/>
      <w:lvlJc w:val="left"/>
      <w:pPr>
        <w:tabs>
          <w:tab w:val="num" w:pos="1080"/>
        </w:tabs>
        <w:ind w:left="1080" w:hanging="360"/>
      </w:pPr>
      <w:rPr>
        <w:rFonts w:ascii="Symbol" w:hAnsi="Symbol" w:hint="default"/>
        <w:b w:val="0"/>
      </w:rPr>
    </w:lvl>
  </w:abstractNum>
  <w:abstractNum w:abstractNumId="33" w15:restartNumberingAfterBreak="0">
    <w:nsid w:val="52055F2B"/>
    <w:multiLevelType w:val="hybridMultilevel"/>
    <w:tmpl w:val="F3583DF2"/>
    <w:lvl w:ilvl="0" w:tplc="D2EC29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F39AB"/>
    <w:multiLevelType w:val="singleLevel"/>
    <w:tmpl w:val="6A6E8876"/>
    <w:lvl w:ilvl="0">
      <w:start w:val="1"/>
      <w:numFmt w:val="bullet"/>
      <w:lvlText w:val=""/>
      <w:lvlJc w:val="left"/>
      <w:pPr>
        <w:tabs>
          <w:tab w:val="num" w:pos="1080"/>
        </w:tabs>
        <w:ind w:left="1080" w:hanging="360"/>
      </w:pPr>
      <w:rPr>
        <w:rFonts w:ascii="Symbol" w:hAnsi="Symbol" w:hint="default"/>
        <w:b w:val="0"/>
      </w:rPr>
    </w:lvl>
  </w:abstractNum>
  <w:abstractNum w:abstractNumId="35" w15:restartNumberingAfterBreak="0">
    <w:nsid w:val="55E923D8"/>
    <w:multiLevelType w:val="hybridMultilevel"/>
    <w:tmpl w:val="C302A10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5B2C7539"/>
    <w:multiLevelType w:val="singleLevel"/>
    <w:tmpl w:val="55C4C53A"/>
    <w:lvl w:ilvl="0">
      <w:start w:val="1"/>
      <w:numFmt w:val="bullet"/>
      <w:lvlText w:val=""/>
      <w:lvlJc w:val="left"/>
      <w:pPr>
        <w:tabs>
          <w:tab w:val="num" w:pos="1080"/>
        </w:tabs>
        <w:ind w:left="1080" w:hanging="360"/>
      </w:pPr>
      <w:rPr>
        <w:rFonts w:ascii="Symbol" w:hAnsi="Symbol" w:hint="default"/>
        <w:b w:val="0"/>
      </w:rPr>
    </w:lvl>
  </w:abstractNum>
  <w:abstractNum w:abstractNumId="37" w15:restartNumberingAfterBreak="0">
    <w:nsid w:val="5B68777F"/>
    <w:multiLevelType w:val="singleLevel"/>
    <w:tmpl w:val="AE44E76C"/>
    <w:lvl w:ilvl="0">
      <w:start w:val="1"/>
      <w:numFmt w:val="bullet"/>
      <w:lvlText w:val=""/>
      <w:lvlJc w:val="left"/>
      <w:pPr>
        <w:tabs>
          <w:tab w:val="num" w:pos="1440"/>
        </w:tabs>
        <w:ind w:left="1440" w:hanging="360"/>
      </w:pPr>
      <w:rPr>
        <w:rFonts w:ascii="Symbol" w:hAnsi="Symbol" w:cs="Courier New" w:hint="default"/>
        <w:b w:val="0"/>
      </w:rPr>
    </w:lvl>
  </w:abstractNum>
  <w:abstractNum w:abstractNumId="38" w15:restartNumberingAfterBreak="0">
    <w:nsid w:val="5BF6468B"/>
    <w:multiLevelType w:val="singleLevel"/>
    <w:tmpl w:val="B57AB574"/>
    <w:lvl w:ilvl="0">
      <w:start w:val="1"/>
      <w:numFmt w:val="bullet"/>
      <w:lvlText w:val=""/>
      <w:lvlJc w:val="left"/>
      <w:pPr>
        <w:tabs>
          <w:tab w:val="num" w:pos="1440"/>
        </w:tabs>
        <w:ind w:left="1440" w:hanging="360"/>
      </w:pPr>
      <w:rPr>
        <w:rFonts w:ascii="Symbol" w:hAnsi="Symbol" w:cs="Courier New" w:hint="default"/>
        <w:b w:val="0"/>
      </w:rPr>
    </w:lvl>
  </w:abstractNum>
  <w:abstractNum w:abstractNumId="39" w15:restartNumberingAfterBreak="0">
    <w:nsid w:val="5C5629BD"/>
    <w:multiLevelType w:val="multilevel"/>
    <w:tmpl w:val="C21E7F62"/>
    <w:lvl w:ilvl="0">
      <w:start w:val="1"/>
      <w:numFmt w:val="decimal"/>
      <w:pStyle w:val="RptHeading-Level1"/>
      <w:lvlText w:val="%1."/>
      <w:lvlJc w:val="left"/>
      <w:pPr>
        <w:tabs>
          <w:tab w:val="num" w:pos="864"/>
        </w:tabs>
        <w:ind w:left="864" w:hanging="864"/>
      </w:pPr>
      <w:rPr>
        <w:rFonts w:ascii="Verdana" w:hAnsi="Verdana" w:hint="default"/>
        <w:b/>
        <w:i w:val="0"/>
        <w:caps/>
        <w:strike w:val="0"/>
        <w:dstrike w:val="0"/>
        <w:vanish w:val="0"/>
        <w:color w:val="009DE0" w:themeColor="text2"/>
        <w:spacing w:val="0"/>
        <w:w w:val="100"/>
        <w:kern w:val="0"/>
        <w:position w:val="0"/>
        <w:sz w:val="28"/>
        <w:vertAlign w:val="baseline"/>
        <w14:cntxtAlts w14:val="0"/>
      </w:rPr>
    </w:lvl>
    <w:lvl w:ilvl="1">
      <w:start w:val="1"/>
      <w:numFmt w:val="decimal"/>
      <w:pStyle w:val="RptHeading-Level2"/>
      <w:lvlText w:val="%1.%2"/>
      <w:lvlJc w:val="left"/>
      <w:pPr>
        <w:tabs>
          <w:tab w:val="num" w:pos="864"/>
        </w:tabs>
        <w:ind w:left="864" w:hanging="864"/>
      </w:pPr>
      <w:rPr>
        <w:rFonts w:ascii="Verdana" w:hAnsi="Verdana" w:hint="default"/>
        <w:b/>
        <w:i w:val="0"/>
        <w:caps w:val="0"/>
        <w:strike w:val="0"/>
        <w:dstrike w:val="0"/>
        <w:vanish w:val="0"/>
        <w:color w:val="auto"/>
        <w:spacing w:val="0"/>
        <w:w w:val="100"/>
        <w:kern w:val="0"/>
        <w:position w:val="0"/>
        <w:sz w:val="20"/>
        <w:u w:val="none"/>
        <w:vertAlign w:val="baseline"/>
      </w:rPr>
    </w:lvl>
    <w:lvl w:ilvl="2">
      <w:start w:val="1"/>
      <w:numFmt w:val="decimal"/>
      <w:pStyle w:val="RptHeading-Level3"/>
      <w:lvlText w:val="%1.%2.%3"/>
      <w:lvlJc w:val="left"/>
      <w:pPr>
        <w:tabs>
          <w:tab w:val="num" w:pos="864"/>
        </w:tabs>
        <w:ind w:left="864" w:hanging="864"/>
      </w:pPr>
      <w:rPr>
        <w:rFonts w:ascii="Verdana" w:hAnsi="Verdana" w:hint="default"/>
        <w:b/>
        <w:i w:val="0"/>
        <w:caps w:val="0"/>
        <w:strike w:val="0"/>
        <w:dstrike w:val="0"/>
        <w:vanish w:val="0"/>
        <w:color w:val="auto"/>
        <w:spacing w:val="0"/>
        <w:w w:val="100"/>
        <w:kern w:val="0"/>
        <w:position w:val="0"/>
        <w:sz w:val="20"/>
        <w:vertAlign w:val="baseline"/>
      </w:rPr>
    </w:lvl>
    <w:lvl w:ilvl="3">
      <w:start w:val="1"/>
      <w:numFmt w:val="decimal"/>
      <w:pStyle w:val="RptHeading-Level4"/>
      <w:lvlText w:val="%1.%2.%3.%4"/>
      <w:lvlJc w:val="left"/>
      <w:pPr>
        <w:tabs>
          <w:tab w:val="num" w:pos="864"/>
        </w:tabs>
        <w:ind w:left="864" w:hanging="864"/>
      </w:pPr>
      <w:rPr>
        <w:rFonts w:ascii="Verdana" w:hAnsi="Verdana" w:hint="default"/>
        <w:b/>
        <w:i w:val="0"/>
        <w:caps w:val="0"/>
        <w:strike w:val="0"/>
        <w:dstrike w:val="0"/>
        <w:vanish w:val="0"/>
        <w:color w:val="auto"/>
        <w:spacing w:val="0"/>
        <w:w w:val="100"/>
        <w:kern w:val="0"/>
        <w:position w:val="0"/>
        <w:sz w:val="20"/>
        <w:vertAlign w:val="baseline"/>
      </w:rPr>
    </w:lvl>
    <w:lvl w:ilvl="4">
      <w:start w:val="1"/>
      <w:numFmt w:val="decimal"/>
      <w:lvlRestart w:val="0"/>
      <w:lvlText w:val="%1.%2.%3.%4.%5"/>
      <w:lvlJc w:val="right"/>
      <w:pPr>
        <w:tabs>
          <w:tab w:val="num" w:pos="567"/>
        </w:tabs>
        <w:ind w:left="0" w:hanging="624"/>
      </w:pPr>
      <w:rPr>
        <w:rFonts w:hint="default"/>
      </w:rPr>
    </w:lvl>
    <w:lvl w:ilvl="5">
      <w:start w:val="1"/>
      <w:numFmt w:val="decimal"/>
      <w:lvlText w:val="%1.%2.%3.%4.%5.%6"/>
      <w:lvlJc w:val="right"/>
      <w:pPr>
        <w:tabs>
          <w:tab w:val="num" w:pos="567"/>
        </w:tabs>
        <w:ind w:left="0" w:hanging="624"/>
      </w:pPr>
      <w:rPr>
        <w:rFonts w:hint="default"/>
      </w:rPr>
    </w:lvl>
    <w:lvl w:ilvl="6">
      <w:start w:val="1"/>
      <w:numFmt w:val="decimal"/>
      <w:lvlText w:val="%1.%2.%3.%4.%5.%6.%7"/>
      <w:lvlJc w:val="right"/>
      <w:pPr>
        <w:tabs>
          <w:tab w:val="num" w:pos="851"/>
        </w:tabs>
        <w:ind w:left="0" w:hanging="624"/>
      </w:pPr>
      <w:rPr>
        <w:rFonts w:hint="default"/>
      </w:rPr>
    </w:lvl>
    <w:lvl w:ilvl="7">
      <w:start w:val="1"/>
      <w:numFmt w:val="decimal"/>
      <w:lvlText w:val="%1.%2.%3.%4.%5.%6.%7.%8"/>
      <w:lvlJc w:val="right"/>
      <w:pPr>
        <w:tabs>
          <w:tab w:val="num" w:pos="851"/>
        </w:tabs>
        <w:ind w:left="0" w:hanging="624"/>
      </w:pPr>
      <w:rPr>
        <w:rFonts w:hint="default"/>
      </w:rPr>
    </w:lvl>
    <w:lvl w:ilvl="8">
      <w:start w:val="1"/>
      <w:numFmt w:val="decimal"/>
      <w:lvlText w:val="%1.%2.%3.%4.%5.%6.%7.%8.%9"/>
      <w:lvlJc w:val="right"/>
      <w:pPr>
        <w:tabs>
          <w:tab w:val="num" w:pos="1134"/>
        </w:tabs>
        <w:ind w:left="0" w:hanging="624"/>
      </w:pPr>
      <w:rPr>
        <w:rFonts w:hint="default"/>
      </w:rPr>
    </w:lvl>
  </w:abstractNum>
  <w:abstractNum w:abstractNumId="40" w15:restartNumberingAfterBreak="0">
    <w:nsid w:val="5CA4408D"/>
    <w:multiLevelType w:val="multilevel"/>
    <w:tmpl w:val="C7663E84"/>
    <w:lvl w:ilvl="0">
      <w:start w:val="1"/>
      <w:numFmt w:val="decimal"/>
      <w:lvlText w:val="%1."/>
      <w:lvlJc w:val="left"/>
      <w:pPr>
        <w:ind w:left="0" w:hanging="624"/>
      </w:pPr>
      <w:rPr>
        <w:rFonts w:hint="default"/>
      </w:rPr>
    </w:lvl>
    <w:lvl w:ilvl="1">
      <w:start w:val="1"/>
      <w:numFmt w:val="decimal"/>
      <w:lvlText w:val="%1.%2"/>
      <w:lvlJc w:val="left"/>
      <w:pPr>
        <w:ind w:left="0" w:hanging="624"/>
      </w:pPr>
      <w:rPr>
        <w:rFonts w:hint="default"/>
      </w:rPr>
    </w:lvl>
    <w:lvl w:ilvl="2">
      <w:start w:val="1"/>
      <w:numFmt w:val="decimal"/>
      <w:lvlText w:val="%1.%2.%3"/>
      <w:lvlJc w:val="left"/>
      <w:pPr>
        <w:tabs>
          <w:tab w:val="num" w:pos="0"/>
        </w:tabs>
        <w:ind w:left="0" w:hanging="624"/>
      </w:pPr>
      <w:rPr>
        <w:rFonts w:hint="default"/>
      </w:rPr>
    </w:lvl>
    <w:lvl w:ilvl="3">
      <w:start w:val="1"/>
      <w:numFmt w:val="decimal"/>
      <w:lvlText w:val="%1.%2.%3.%4"/>
      <w:lvlJc w:val="left"/>
      <w:pPr>
        <w:tabs>
          <w:tab w:val="num" w:pos="170"/>
        </w:tabs>
        <w:ind w:left="170" w:hanging="794"/>
      </w:pPr>
      <w:rPr>
        <w:rFonts w:hint="default"/>
      </w:rPr>
    </w:lvl>
    <w:lvl w:ilvl="4">
      <w:start w:val="1"/>
      <w:numFmt w:val="decimal"/>
      <w:pStyle w:val="Heading5"/>
      <w:lvlText w:val="%1.%2.%3.%4.%5"/>
      <w:lvlJc w:val="left"/>
      <w:pPr>
        <w:tabs>
          <w:tab w:val="num" w:pos="567"/>
        </w:tabs>
        <w:ind w:left="567" w:hanging="1191"/>
      </w:pPr>
      <w:rPr>
        <w:rFonts w:hint="default"/>
      </w:rPr>
    </w:lvl>
    <w:lvl w:ilvl="5">
      <w:start w:val="1"/>
      <w:numFmt w:val="decimal"/>
      <w:pStyle w:val="Heading6"/>
      <w:lvlText w:val="%1.%2.%3.%4.%5.%6"/>
      <w:lvlJc w:val="left"/>
      <w:pPr>
        <w:tabs>
          <w:tab w:val="num" w:pos="737"/>
        </w:tabs>
        <w:ind w:left="737" w:hanging="1361"/>
      </w:pPr>
      <w:rPr>
        <w:rFonts w:hint="default"/>
      </w:rPr>
    </w:lvl>
    <w:lvl w:ilvl="6">
      <w:start w:val="1"/>
      <w:numFmt w:val="decimal"/>
      <w:pStyle w:val="Heading7"/>
      <w:lvlText w:val="%1.%2.%3.%4.%5.%6.%7"/>
      <w:lvlJc w:val="left"/>
      <w:pPr>
        <w:tabs>
          <w:tab w:val="num" w:pos="851"/>
        </w:tabs>
        <w:ind w:left="851" w:hanging="1475"/>
      </w:pPr>
      <w:rPr>
        <w:rFonts w:hint="default"/>
      </w:rPr>
    </w:lvl>
    <w:lvl w:ilvl="7">
      <w:start w:val="1"/>
      <w:numFmt w:val="decimal"/>
      <w:pStyle w:val="Heading8"/>
      <w:lvlText w:val="%1.%2.%3.%4.%5.%6.%7.%8"/>
      <w:lvlJc w:val="left"/>
      <w:pPr>
        <w:tabs>
          <w:tab w:val="num" w:pos="1021"/>
        </w:tabs>
        <w:ind w:left="1021" w:hanging="1645"/>
      </w:pPr>
      <w:rPr>
        <w:rFonts w:hint="default"/>
      </w:rPr>
    </w:lvl>
    <w:lvl w:ilvl="8">
      <w:start w:val="1"/>
      <w:numFmt w:val="decimal"/>
      <w:pStyle w:val="Heading9"/>
      <w:lvlText w:val="%1.%2.%3.%4.%5.%6.%7.%8.%9"/>
      <w:lvlJc w:val="left"/>
      <w:pPr>
        <w:tabs>
          <w:tab w:val="num" w:pos="1134"/>
        </w:tabs>
        <w:ind w:left="1134" w:hanging="1758"/>
      </w:pPr>
      <w:rPr>
        <w:rFonts w:hint="default"/>
      </w:rPr>
    </w:lvl>
  </w:abstractNum>
  <w:abstractNum w:abstractNumId="41" w15:restartNumberingAfterBreak="0">
    <w:nsid w:val="5DFF4684"/>
    <w:multiLevelType w:val="singleLevel"/>
    <w:tmpl w:val="046AAB78"/>
    <w:lvl w:ilvl="0">
      <w:start w:val="1"/>
      <w:numFmt w:val="bullet"/>
      <w:lvlText w:val=""/>
      <w:lvlJc w:val="left"/>
      <w:pPr>
        <w:tabs>
          <w:tab w:val="num" w:pos="1440"/>
        </w:tabs>
        <w:ind w:left="1440" w:hanging="360"/>
      </w:pPr>
      <w:rPr>
        <w:rFonts w:ascii="Symbol" w:hAnsi="Symbol" w:cs="Courier New" w:hint="default"/>
        <w:b w:val="0"/>
      </w:rPr>
    </w:lvl>
  </w:abstractNum>
  <w:abstractNum w:abstractNumId="42" w15:restartNumberingAfterBreak="0">
    <w:nsid w:val="62BF0CC5"/>
    <w:multiLevelType w:val="singleLevel"/>
    <w:tmpl w:val="44D4EDBC"/>
    <w:lvl w:ilvl="0">
      <w:start w:val="1"/>
      <w:numFmt w:val="bullet"/>
      <w:lvlText w:val=""/>
      <w:lvlJc w:val="left"/>
      <w:pPr>
        <w:tabs>
          <w:tab w:val="num" w:pos="1080"/>
        </w:tabs>
        <w:ind w:left="1080" w:hanging="360"/>
      </w:pPr>
      <w:rPr>
        <w:rFonts w:ascii="Symbol" w:hAnsi="Symbol" w:hint="default"/>
        <w:b w:val="0"/>
      </w:rPr>
    </w:lvl>
  </w:abstractNum>
  <w:abstractNum w:abstractNumId="43" w15:restartNumberingAfterBreak="0">
    <w:nsid w:val="657A5615"/>
    <w:multiLevelType w:val="hybridMultilevel"/>
    <w:tmpl w:val="3516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045625"/>
    <w:multiLevelType w:val="singleLevel"/>
    <w:tmpl w:val="54ACCB9C"/>
    <w:lvl w:ilvl="0">
      <w:start w:val="1"/>
      <w:numFmt w:val="bullet"/>
      <w:lvlText w:val=""/>
      <w:lvlJc w:val="left"/>
      <w:pPr>
        <w:tabs>
          <w:tab w:val="num" w:pos="1440"/>
        </w:tabs>
        <w:ind w:left="1440" w:hanging="360"/>
      </w:pPr>
      <w:rPr>
        <w:rFonts w:ascii="Symbol" w:hAnsi="Symbol" w:cs="Courier New" w:hint="default"/>
        <w:b w:val="0"/>
      </w:rPr>
    </w:lvl>
  </w:abstractNum>
  <w:abstractNum w:abstractNumId="45" w15:restartNumberingAfterBreak="0">
    <w:nsid w:val="67806104"/>
    <w:multiLevelType w:val="singleLevel"/>
    <w:tmpl w:val="8EAE1E82"/>
    <w:lvl w:ilvl="0">
      <w:start w:val="1"/>
      <w:numFmt w:val="bullet"/>
      <w:lvlText w:val=""/>
      <w:lvlJc w:val="left"/>
      <w:pPr>
        <w:tabs>
          <w:tab w:val="num" w:pos="1080"/>
        </w:tabs>
        <w:ind w:left="1080" w:hanging="360"/>
      </w:pPr>
      <w:rPr>
        <w:rFonts w:ascii="Symbol" w:hAnsi="Symbol" w:hint="default"/>
        <w:b w:val="0"/>
      </w:rPr>
    </w:lvl>
  </w:abstractNum>
  <w:abstractNum w:abstractNumId="46" w15:restartNumberingAfterBreak="0">
    <w:nsid w:val="68485BC1"/>
    <w:multiLevelType w:val="singleLevel"/>
    <w:tmpl w:val="E9F4CB18"/>
    <w:lvl w:ilvl="0">
      <w:start w:val="1"/>
      <w:numFmt w:val="bullet"/>
      <w:lvlText w:val=""/>
      <w:lvlJc w:val="left"/>
      <w:pPr>
        <w:tabs>
          <w:tab w:val="num" w:pos="1080"/>
        </w:tabs>
        <w:ind w:left="1080" w:hanging="360"/>
      </w:pPr>
      <w:rPr>
        <w:rFonts w:ascii="Symbol" w:hAnsi="Symbol" w:hint="default"/>
        <w:b w:val="0"/>
      </w:rPr>
    </w:lvl>
  </w:abstractNum>
  <w:abstractNum w:abstractNumId="47" w15:restartNumberingAfterBreak="0">
    <w:nsid w:val="693849CA"/>
    <w:multiLevelType w:val="hybridMultilevel"/>
    <w:tmpl w:val="17242AD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BA90C176">
      <w:start w:val="1"/>
      <w:numFmt w:val="decimal"/>
      <w:pStyle w:val="RptList-Numeric"/>
      <w:lvlText w:val="%7."/>
      <w:lvlJc w:val="left"/>
      <w:pPr>
        <w:ind w:left="5184" w:hanging="360"/>
      </w:pPr>
      <w:rPr>
        <w:i w:val="0"/>
        <w:caps w:val="0"/>
        <w:smallCaps w:val="0"/>
        <w:strike w:val="0"/>
        <w:dstrike w:val="0"/>
        <w:vanish w:val="0"/>
        <w:color w:val="FF00F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8" w15:restartNumberingAfterBreak="0">
    <w:nsid w:val="6D0E0150"/>
    <w:multiLevelType w:val="hybridMultilevel"/>
    <w:tmpl w:val="1FD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EC27F2"/>
    <w:multiLevelType w:val="hybridMultilevel"/>
    <w:tmpl w:val="835AAD46"/>
    <w:lvl w:ilvl="0" w:tplc="E61C72E2">
      <w:start w:val="1"/>
      <w:numFmt w:val="bullet"/>
      <w:pStyle w:val="RptBullet-Level2"/>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0" w15:restartNumberingAfterBreak="0">
    <w:nsid w:val="725B630C"/>
    <w:multiLevelType w:val="hybridMultilevel"/>
    <w:tmpl w:val="58C04776"/>
    <w:lvl w:ilvl="0" w:tplc="094025BA">
      <w:start w:val="1"/>
      <w:numFmt w:val="bullet"/>
      <w:pStyle w:val="RptTable-Bullet"/>
      <w:lvlText w:val=""/>
      <w:lvlJc w:val="left"/>
      <w:pPr>
        <w:ind w:left="864" w:hanging="360"/>
      </w:pPr>
      <w:rPr>
        <w:rFonts w:ascii="Symbol" w:hAnsi="Symbol" w:hint="default"/>
        <w:sz w:val="16"/>
        <w:szCs w:val="1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1" w15:restartNumberingAfterBreak="0">
    <w:nsid w:val="72FA3F0A"/>
    <w:multiLevelType w:val="hybridMultilevel"/>
    <w:tmpl w:val="5AC0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AA21C5"/>
    <w:multiLevelType w:val="singleLevel"/>
    <w:tmpl w:val="0492C428"/>
    <w:lvl w:ilvl="0">
      <w:start w:val="1"/>
      <w:numFmt w:val="bullet"/>
      <w:lvlText w:val=""/>
      <w:lvlJc w:val="left"/>
      <w:pPr>
        <w:tabs>
          <w:tab w:val="num" w:pos="1080"/>
        </w:tabs>
        <w:ind w:left="1080" w:hanging="360"/>
      </w:pPr>
      <w:rPr>
        <w:rFonts w:ascii="Symbol" w:hAnsi="Symbol" w:hint="default"/>
        <w:b w:val="0"/>
      </w:rPr>
    </w:lvl>
  </w:abstractNum>
  <w:abstractNum w:abstractNumId="53" w15:restartNumberingAfterBreak="0">
    <w:nsid w:val="74B502BF"/>
    <w:multiLevelType w:val="singleLevel"/>
    <w:tmpl w:val="7BA4DE0A"/>
    <w:lvl w:ilvl="0">
      <w:start w:val="1"/>
      <w:numFmt w:val="bullet"/>
      <w:lvlText w:val=""/>
      <w:lvlJc w:val="left"/>
      <w:pPr>
        <w:tabs>
          <w:tab w:val="num" w:pos="1080"/>
        </w:tabs>
        <w:ind w:left="1080" w:hanging="360"/>
      </w:pPr>
      <w:rPr>
        <w:rFonts w:ascii="Symbol" w:hAnsi="Symbol" w:hint="default"/>
        <w:b w:val="0"/>
      </w:rPr>
    </w:lvl>
  </w:abstractNum>
  <w:abstractNum w:abstractNumId="54" w15:restartNumberingAfterBreak="0">
    <w:nsid w:val="77C45D01"/>
    <w:multiLevelType w:val="singleLevel"/>
    <w:tmpl w:val="84AA04DC"/>
    <w:lvl w:ilvl="0">
      <w:start w:val="1"/>
      <w:numFmt w:val="bullet"/>
      <w:lvlText w:val=""/>
      <w:lvlJc w:val="left"/>
      <w:pPr>
        <w:tabs>
          <w:tab w:val="num" w:pos="1080"/>
        </w:tabs>
        <w:ind w:left="1080" w:hanging="360"/>
      </w:pPr>
      <w:rPr>
        <w:rFonts w:ascii="Symbol" w:hAnsi="Symbol" w:hint="default"/>
        <w:b w:val="0"/>
      </w:rPr>
    </w:lvl>
  </w:abstractNum>
  <w:abstractNum w:abstractNumId="55" w15:restartNumberingAfterBreak="0">
    <w:nsid w:val="7AED3BBF"/>
    <w:multiLevelType w:val="hybridMultilevel"/>
    <w:tmpl w:val="CF38434C"/>
    <w:lvl w:ilvl="0" w:tplc="30CED414">
      <w:start w:val="1"/>
      <w:numFmt w:val="bullet"/>
      <w:pStyle w:val="RptBullet-Level3"/>
      <w:lvlText w:val="▪"/>
      <w:lvlJc w:val="left"/>
      <w:pPr>
        <w:ind w:left="1944" w:hanging="360"/>
      </w:pPr>
      <w:rPr>
        <w:rFonts w:ascii="Verdana" w:hAnsi="Verdana" w:hint="default"/>
        <w:sz w:val="24"/>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6" w15:restartNumberingAfterBreak="0">
    <w:nsid w:val="7B5540DB"/>
    <w:multiLevelType w:val="singleLevel"/>
    <w:tmpl w:val="606ED500"/>
    <w:lvl w:ilvl="0">
      <w:start w:val="1"/>
      <w:numFmt w:val="bullet"/>
      <w:lvlText w:val=""/>
      <w:lvlJc w:val="left"/>
      <w:pPr>
        <w:tabs>
          <w:tab w:val="num" w:pos="1080"/>
        </w:tabs>
        <w:ind w:left="1080" w:hanging="360"/>
      </w:pPr>
      <w:rPr>
        <w:rFonts w:ascii="Symbol" w:hAnsi="Symbol" w:hint="default"/>
        <w:b w:val="0"/>
      </w:rPr>
    </w:lvl>
  </w:abstractNum>
  <w:abstractNum w:abstractNumId="57" w15:restartNumberingAfterBreak="0">
    <w:nsid w:val="7C8F4B63"/>
    <w:multiLevelType w:val="singleLevel"/>
    <w:tmpl w:val="0FFA5010"/>
    <w:lvl w:ilvl="0">
      <w:start w:val="1"/>
      <w:numFmt w:val="bullet"/>
      <w:lvlText w:val=""/>
      <w:lvlJc w:val="left"/>
      <w:pPr>
        <w:tabs>
          <w:tab w:val="num" w:pos="1080"/>
        </w:tabs>
        <w:ind w:left="1080" w:hanging="360"/>
      </w:pPr>
      <w:rPr>
        <w:rFonts w:ascii="Symbol" w:hAnsi="Symbol" w:hint="default"/>
        <w:b w:val="0"/>
      </w:rPr>
    </w:lvl>
  </w:abstractNum>
  <w:num w:numId="1">
    <w:abstractNumId w:val="40"/>
  </w:num>
  <w:num w:numId="2">
    <w:abstractNumId w:val="21"/>
  </w:num>
  <w:num w:numId="3">
    <w:abstractNumId w:val="49"/>
  </w:num>
  <w:num w:numId="4">
    <w:abstractNumId w:val="27"/>
  </w:num>
  <w:num w:numId="5">
    <w:abstractNumId w:val="10"/>
  </w:num>
  <w:num w:numId="6">
    <w:abstractNumId w:val="55"/>
  </w:num>
  <w:num w:numId="7">
    <w:abstractNumId w:val="39"/>
  </w:num>
  <w:num w:numId="8">
    <w:abstractNumId w:val="47"/>
  </w:num>
  <w:num w:numId="9">
    <w:abstractNumId w:val="50"/>
  </w:num>
  <w:num w:numId="10">
    <w:abstractNumId w:val="1"/>
  </w:num>
  <w:num w:numId="11">
    <w:abstractNumId w:val="15"/>
  </w:num>
  <w:num w:numId="12">
    <w:abstractNumId w:val="30"/>
  </w:num>
  <w:num w:numId="13">
    <w:abstractNumId w:val="7"/>
  </w:num>
  <w:num w:numId="14">
    <w:abstractNumId w:val="8"/>
  </w:num>
  <w:num w:numId="15">
    <w:abstractNumId w:val="14"/>
  </w:num>
  <w:num w:numId="16">
    <w:abstractNumId w:val="19"/>
  </w:num>
  <w:num w:numId="17">
    <w:abstractNumId w:val="53"/>
  </w:num>
  <w:num w:numId="18">
    <w:abstractNumId w:val="32"/>
  </w:num>
  <w:num w:numId="19">
    <w:abstractNumId w:val="56"/>
  </w:num>
  <w:num w:numId="20">
    <w:abstractNumId w:val="2"/>
  </w:num>
  <w:num w:numId="21">
    <w:abstractNumId w:val="52"/>
  </w:num>
  <w:num w:numId="22">
    <w:abstractNumId w:val="22"/>
  </w:num>
  <w:num w:numId="23">
    <w:abstractNumId w:val="46"/>
  </w:num>
  <w:num w:numId="24">
    <w:abstractNumId w:val="11"/>
  </w:num>
  <w:num w:numId="25">
    <w:abstractNumId w:val="6"/>
  </w:num>
  <w:num w:numId="26">
    <w:abstractNumId w:val="54"/>
  </w:num>
  <w:num w:numId="27">
    <w:abstractNumId w:val="18"/>
  </w:num>
  <w:num w:numId="28">
    <w:abstractNumId w:val="13"/>
  </w:num>
  <w:num w:numId="29">
    <w:abstractNumId w:val="57"/>
  </w:num>
  <w:num w:numId="30">
    <w:abstractNumId w:val="42"/>
  </w:num>
  <w:num w:numId="31">
    <w:abstractNumId w:val="20"/>
  </w:num>
  <w:num w:numId="32">
    <w:abstractNumId w:val="33"/>
  </w:num>
  <w:num w:numId="33">
    <w:abstractNumId w:val="45"/>
  </w:num>
  <w:num w:numId="34">
    <w:abstractNumId w:val="29"/>
  </w:num>
  <w:num w:numId="35">
    <w:abstractNumId w:val="26"/>
  </w:num>
  <w:num w:numId="36">
    <w:abstractNumId w:val="34"/>
  </w:num>
  <w:num w:numId="37">
    <w:abstractNumId w:val="23"/>
  </w:num>
  <w:num w:numId="38">
    <w:abstractNumId w:val="41"/>
  </w:num>
  <w:num w:numId="39">
    <w:abstractNumId w:val="38"/>
  </w:num>
  <w:num w:numId="40">
    <w:abstractNumId w:val="37"/>
  </w:num>
  <w:num w:numId="41">
    <w:abstractNumId w:val="44"/>
  </w:num>
  <w:num w:numId="42">
    <w:abstractNumId w:val="28"/>
  </w:num>
  <w:num w:numId="43">
    <w:abstractNumId w:val="4"/>
  </w:num>
  <w:num w:numId="44">
    <w:abstractNumId w:val="5"/>
  </w:num>
  <w:num w:numId="45">
    <w:abstractNumId w:val="36"/>
  </w:num>
  <w:num w:numId="46">
    <w:abstractNumId w:val="24"/>
  </w:num>
  <w:num w:numId="47">
    <w:abstractNumId w:val="16"/>
  </w:num>
  <w:num w:numId="48">
    <w:abstractNumId w:val="12"/>
  </w:num>
  <w:num w:numId="49">
    <w:abstractNumId w:val="17"/>
  </w:num>
  <w:num w:numId="50">
    <w:abstractNumId w:val="0"/>
  </w:num>
  <w:num w:numId="51">
    <w:abstractNumId w:val="39"/>
  </w:num>
  <w:num w:numId="52">
    <w:abstractNumId w:val="35"/>
  </w:num>
  <w:num w:numId="53">
    <w:abstractNumId w:val="9"/>
  </w:num>
  <w:num w:numId="54">
    <w:abstractNumId w:val="48"/>
  </w:num>
  <w:num w:numId="55">
    <w:abstractNumId w:val="39"/>
  </w:num>
  <w:num w:numId="56">
    <w:abstractNumId w:val="39"/>
  </w:num>
  <w:num w:numId="57">
    <w:abstractNumId w:val="43"/>
  </w:num>
  <w:num w:numId="58">
    <w:abstractNumId w:val="39"/>
  </w:num>
  <w:num w:numId="59">
    <w:abstractNumId w:val="39"/>
  </w:num>
  <w:num w:numId="60">
    <w:abstractNumId w:val="39"/>
  </w:num>
  <w:num w:numId="61">
    <w:abstractNumId w:val="39"/>
  </w:num>
  <w:num w:numId="62">
    <w:abstractNumId w:val="39"/>
  </w:num>
  <w:num w:numId="63">
    <w:abstractNumId w:val="39"/>
  </w:num>
  <w:num w:numId="64">
    <w:abstractNumId w:val="31"/>
  </w:num>
  <w:num w:numId="65">
    <w:abstractNumId w:val="3"/>
  </w:num>
  <w:num w:numId="66">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doNotHyphenateCaps/>
  <w:drawingGridHorizontalSpacing w:val="90"/>
  <w:displayHorizontalDrawingGridEvery w:val="2"/>
  <w:characterSpacingControl w:val="doNotCompress"/>
  <w:hdrShapeDefaults>
    <o:shapedefaults v:ext="edit" spidmax="2081">
      <o:colormru v:ext="edit" colors="#a1bf36,#d0cfc5"/>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9F"/>
    <w:rsid w:val="0000004C"/>
    <w:rsid w:val="00000392"/>
    <w:rsid w:val="00001269"/>
    <w:rsid w:val="0000218A"/>
    <w:rsid w:val="000023AB"/>
    <w:rsid w:val="000031AE"/>
    <w:rsid w:val="00003807"/>
    <w:rsid w:val="00005112"/>
    <w:rsid w:val="000054B7"/>
    <w:rsid w:val="0000609F"/>
    <w:rsid w:val="000067B2"/>
    <w:rsid w:val="00010653"/>
    <w:rsid w:val="0001186D"/>
    <w:rsid w:val="0001198D"/>
    <w:rsid w:val="00012E30"/>
    <w:rsid w:val="0001346E"/>
    <w:rsid w:val="00014D1C"/>
    <w:rsid w:val="00016049"/>
    <w:rsid w:val="00016A72"/>
    <w:rsid w:val="00020C10"/>
    <w:rsid w:val="0002101F"/>
    <w:rsid w:val="00021146"/>
    <w:rsid w:val="00021A78"/>
    <w:rsid w:val="0002384A"/>
    <w:rsid w:val="00023A9C"/>
    <w:rsid w:val="00024055"/>
    <w:rsid w:val="000242F8"/>
    <w:rsid w:val="00024418"/>
    <w:rsid w:val="00024D1F"/>
    <w:rsid w:val="000253D0"/>
    <w:rsid w:val="00025637"/>
    <w:rsid w:val="00026051"/>
    <w:rsid w:val="00027798"/>
    <w:rsid w:val="00030825"/>
    <w:rsid w:val="00030C4F"/>
    <w:rsid w:val="00030E6E"/>
    <w:rsid w:val="000310D8"/>
    <w:rsid w:val="00031684"/>
    <w:rsid w:val="00033AC3"/>
    <w:rsid w:val="00033AC7"/>
    <w:rsid w:val="00034317"/>
    <w:rsid w:val="000344AD"/>
    <w:rsid w:val="000406DB"/>
    <w:rsid w:val="00040889"/>
    <w:rsid w:val="00041783"/>
    <w:rsid w:val="00041943"/>
    <w:rsid w:val="000427E7"/>
    <w:rsid w:val="00043211"/>
    <w:rsid w:val="00043556"/>
    <w:rsid w:val="000439DF"/>
    <w:rsid w:val="00043CCC"/>
    <w:rsid w:val="000441C6"/>
    <w:rsid w:val="00044984"/>
    <w:rsid w:val="00045689"/>
    <w:rsid w:val="00047722"/>
    <w:rsid w:val="00047E92"/>
    <w:rsid w:val="00050112"/>
    <w:rsid w:val="00050EAC"/>
    <w:rsid w:val="0005109A"/>
    <w:rsid w:val="000513CA"/>
    <w:rsid w:val="000517F6"/>
    <w:rsid w:val="00051889"/>
    <w:rsid w:val="00052D69"/>
    <w:rsid w:val="00053639"/>
    <w:rsid w:val="00053D4D"/>
    <w:rsid w:val="00054088"/>
    <w:rsid w:val="00054410"/>
    <w:rsid w:val="000555E1"/>
    <w:rsid w:val="00055C1F"/>
    <w:rsid w:val="000561E5"/>
    <w:rsid w:val="00056695"/>
    <w:rsid w:val="00061A4F"/>
    <w:rsid w:val="00063329"/>
    <w:rsid w:val="00063AFA"/>
    <w:rsid w:val="00063B01"/>
    <w:rsid w:val="00063B50"/>
    <w:rsid w:val="00063CD5"/>
    <w:rsid w:val="000651BC"/>
    <w:rsid w:val="0006528C"/>
    <w:rsid w:val="00065712"/>
    <w:rsid w:val="000658E2"/>
    <w:rsid w:val="00065C76"/>
    <w:rsid w:val="0006651A"/>
    <w:rsid w:val="00066B32"/>
    <w:rsid w:val="00067083"/>
    <w:rsid w:val="000701EF"/>
    <w:rsid w:val="00070EF1"/>
    <w:rsid w:val="00071247"/>
    <w:rsid w:val="00072340"/>
    <w:rsid w:val="00073162"/>
    <w:rsid w:val="00073337"/>
    <w:rsid w:val="00074677"/>
    <w:rsid w:val="00074899"/>
    <w:rsid w:val="00075EC2"/>
    <w:rsid w:val="00075FA5"/>
    <w:rsid w:val="00076640"/>
    <w:rsid w:val="00076BA1"/>
    <w:rsid w:val="000771CA"/>
    <w:rsid w:val="000773CC"/>
    <w:rsid w:val="000777C8"/>
    <w:rsid w:val="00080987"/>
    <w:rsid w:val="000809D2"/>
    <w:rsid w:val="000809F6"/>
    <w:rsid w:val="00080D63"/>
    <w:rsid w:val="000813F5"/>
    <w:rsid w:val="00083389"/>
    <w:rsid w:val="000838E8"/>
    <w:rsid w:val="00084828"/>
    <w:rsid w:val="00084CA5"/>
    <w:rsid w:val="000850A6"/>
    <w:rsid w:val="000851DA"/>
    <w:rsid w:val="00085242"/>
    <w:rsid w:val="00086024"/>
    <w:rsid w:val="0009030A"/>
    <w:rsid w:val="00090A69"/>
    <w:rsid w:val="00091AFC"/>
    <w:rsid w:val="00092E13"/>
    <w:rsid w:val="0009336F"/>
    <w:rsid w:val="000933AA"/>
    <w:rsid w:val="000937C9"/>
    <w:rsid w:val="0009582B"/>
    <w:rsid w:val="00095DC7"/>
    <w:rsid w:val="00095E18"/>
    <w:rsid w:val="00095EC9"/>
    <w:rsid w:val="000961B2"/>
    <w:rsid w:val="000963BC"/>
    <w:rsid w:val="000972B1"/>
    <w:rsid w:val="00097569"/>
    <w:rsid w:val="000A04E7"/>
    <w:rsid w:val="000A08FC"/>
    <w:rsid w:val="000A0A78"/>
    <w:rsid w:val="000A1DBE"/>
    <w:rsid w:val="000A1F5F"/>
    <w:rsid w:val="000A21B2"/>
    <w:rsid w:val="000A21EB"/>
    <w:rsid w:val="000A2641"/>
    <w:rsid w:val="000A2A37"/>
    <w:rsid w:val="000A2E7E"/>
    <w:rsid w:val="000A31DF"/>
    <w:rsid w:val="000A67BF"/>
    <w:rsid w:val="000A6E1C"/>
    <w:rsid w:val="000A6EB3"/>
    <w:rsid w:val="000A765C"/>
    <w:rsid w:val="000B25BC"/>
    <w:rsid w:val="000B2A20"/>
    <w:rsid w:val="000B2AAF"/>
    <w:rsid w:val="000B2D27"/>
    <w:rsid w:val="000B3589"/>
    <w:rsid w:val="000B3683"/>
    <w:rsid w:val="000B392A"/>
    <w:rsid w:val="000B41C2"/>
    <w:rsid w:val="000B5D5C"/>
    <w:rsid w:val="000B62A3"/>
    <w:rsid w:val="000B65F0"/>
    <w:rsid w:val="000B668A"/>
    <w:rsid w:val="000B67E3"/>
    <w:rsid w:val="000B6AC3"/>
    <w:rsid w:val="000B6E78"/>
    <w:rsid w:val="000B779C"/>
    <w:rsid w:val="000B7BA9"/>
    <w:rsid w:val="000C0330"/>
    <w:rsid w:val="000C1CC8"/>
    <w:rsid w:val="000C3DB3"/>
    <w:rsid w:val="000C43B8"/>
    <w:rsid w:val="000C446D"/>
    <w:rsid w:val="000C4E5B"/>
    <w:rsid w:val="000C515D"/>
    <w:rsid w:val="000C54D9"/>
    <w:rsid w:val="000C5706"/>
    <w:rsid w:val="000C5E91"/>
    <w:rsid w:val="000C5F1B"/>
    <w:rsid w:val="000C614D"/>
    <w:rsid w:val="000C721B"/>
    <w:rsid w:val="000C729E"/>
    <w:rsid w:val="000D16F1"/>
    <w:rsid w:val="000D182E"/>
    <w:rsid w:val="000D2AC8"/>
    <w:rsid w:val="000D50C0"/>
    <w:rsid w:val="000D5D29"/>
    <w:rsid w:val="000D5DEA"/>
    <w:rsid w:val="000D6D81"/>
    <w:rsid w:val="000D7A42"/>
    <w:rsid w:val="000D7FCC"/>
    <w:rsid w:val="000E0A72"/>
    <w:rsid w:val="000E1198"/>
    <w:rsid w:val="000E24E5"/>
    <w:rsid w:val="000E30CA"/>
    <w:rsid w:val="000E3373"/>
    <w:rsid w:val="000E33B6"/>
    <w:rsid w:val="000E544A"/>
    <w:rsid w:val="000E5AD2"/>
    <w:rsid w:val="000E6F13"/>
    <w:rsid w:val="000E70B5"/>
    <w:rsid w:val="000E7A91"/>
    <w:rsid w:val="000E7B7A"/>
    <w:rsid w:val="000F0643"/>
    <w:rsid w:val="000F2F50"/>
    <w:rsid w:val="000F382F"/>
    <w:rsid w:val="000F43E5"/>
    <w:rsid w:val="000F6093"/>
    <w:rsid w:val="000F62EE"/>
    <w:rsid w:val="000F697B"/>
    <w:rsid w:val="000F7246"/>
    <w:rsid w:val="00100C7D"/>
    <w:rsid w:val="00101172"/>
    <w:rsid w:val="001013B1"/>
    <w:rsid w:val="00101596"/>
    <w:rsid w:val="00101959"/>
    <w:rsid w:val="00101D4D"/>
    <w:rsid w:val="00101D6D"/>
    <w:rsid w:val="00103D27"/>
    <w:rsid w:val="001041DC"/>
    <w:rsid w:val="00104A92"/>
    <w:rsid w:val="00105AB7"/>
    <w:rsid w:val="0010612D"/>
    <w:rsid w:val="00106802"/>
    <w:rsid w:val="00106F2C"/>
    <w:rsid w:val="001107B5"/>
    <w:rsid w:val="00110C80"/>
    <w:rsid w:val="00111F10"/>
    <w:rsid w:val="0011296E"/>
    <w:rsid w:val="00113C6B"/>
    <w:rsid w:val="001168E7"/>
    <w:rsid w:val="00117739"/>
    <w:rsid w:val="0012177D"/>
    <w:rsid w:val="00121E33"/>
    <w:rsid w:val="0012304E"/>
    <w:rsid w:val="00124230"/>
    <w:rsid w:val="0012509C"/>
    <w:rsid w:val="00125F9A"/>
    <w:rsid w:val="001260CD"/>
    <w:rsid w:val="00126165"/>
    <w:rsid w:val="001269EE"/>
    <w:rsid w:val="00127039"/>
    <w:rsid w:val="001273A1"/>
    <w:rsid w:val="00127DBD"/>
    <w:rsid w:val="00127ECB"/>
    <w:rsid w:val="001307A8"/>
    <w:rsid w:val="00130ABD"/>
    <w:rsid w:val="0013159B"/>
    <w:rsid w:val="001321D4"/>
    <w:rsid w:val="00132585"/>
    <w:rsid w:val="00132B50"/>
    <w:rsid w:val="0013330D"/>
    <w:rsid w:val="00133741"/>
    <w:rsid w:val="00133865"/>
    <w:rsid w:val="00133BC5"/>
    <w:rsid w:val="001347B7"/>
    <w:rsid w:val="001362EC"/>
    <w:rsid w:val="00136DDB"/>
    <w:rsid w:val="001370FA"/>
    <w:rsid w:val="00142252"/>
    <w:rsid w:val="00142657"/>
    <w:rsid w:val="001426D7"/>
    <w:rsid w:val="001427BF"/>
    <w:rsid w:val="00142CBD"/>
    <w:rsid w:val="00142CCC"/>
    <w:rsid w:val="00142F57"/>
    <w:rsid w:val="00143F83"/>
    <w:rsid w:val="0014436F"/>
    <w:rsid w:val="00144928"/>
    <w:rsid w:val="00146A64"/>
    <w:rsid w:val="00146D6E"/>
    <w:rsid w:val="00147843"/>
    <w:rsid w:val="00147A0C"/>
    <w:rsid w:val="00151B7C"/>
    <w:rsid w:val="00152593"/>
    <w:rsid w:val="00153219"/>
    <w:rsid w:val="00153791"/>
    <w:rsid w:val="00153AC5"/>
    <w:rsid w:val="00153E5B"/>
    <w:rsid w:val="00154AB5"/>
    <w:rsid w:val="00155A24"/>
    <w:rsid w:val="00156FC5"/>
    <w:rsid w:val="001572CA"/>
    <w:rsid w:val="00157732"/>
    <w:rsid w:val="0016037A"/>
    <w:rsid w:val="00160449"/>
    <w:rsid w:val="00160562"/>
    <w:rsid w:val="00160BF6"/>
    <w:rsid w:val="0016292A"/>
    <w:rsid w:val="00162AEF"/>
    <w:rsid w:val="00162FBA"/>
    <w:rsid w:val="001641DB"/>
    <w:rsid w:val="00164D5A"/>
    <w:rsid w:val="00165381"/>
    <w:rsid w:val="00166967"/>
    <w:rsid w:val="0016776B"/>
    <w:rsid w:val="0017375F"/>
    <w:rsid w:val="001739C4"/>
    <w:rsid w:val="00173BF3"/>
    <w:rsid w:val="00174814"/>
    <w:rsid w:val="001749D3"/>
    <w:rsid w:val="0017590B"/>
    <w:rsid w:val="00175A55"/>
    <w:rsid w:val="00176550"/>
    <w:rsid w:val="00176C20"/>
    <w:rsid w:val="001806EA"/>
    <w:rsid w:val="00180896"/>
    <w:rsid w:val="00180EF1"/>
    <w:rsid w:val="001817C2"/>
    <w:rsid w:val="00181C75"/>
    <w:rsid w:val="00181CB1"/>
    <w:rsid w:val="00181E51"/>
    <w:rsid w:val="00181F53"/>
    <w:rsid w:val="001829EE"/>
    <w:rsid w:val="00183D29"/>
    <w:rsid w:val="0018417F"/>
    <w:rsid w:val="001852B3"/>
    <w:rsid w:val="0018607C"/>
    <w:rsid w:val="001868FA"/>
    <w:rsid w:val="00186F7A"/>
    <w:rsid w:val="0018727E"/>
    <w:rsid w:val="00187587"/>
    <w:rsid w:val="001877AE"/>
    <w:rsid w:val="00190175"/>
    <w:rsid w:val="00190776"/>
    <w:rsid w:val="0019136C"/>
    <w:rsid w:val="001915DB"/>
    <w:rsid w:val="00193D05"/>
    <w:rsid w:val="001942B0"/>
    <w:rsid w:val="0019431B"/>
    <w:rsid w:val="00194329"/>
    <w:rsid w:val="001946CB"/>
    <w:rsid w:val="001959FD"/>
    <w:rsid w:val="00195FD7"/>
    <w:rsid w:val="001A0F1F"/>
    <w:rsid w:val="001A11A9"/>
    <w:rsid w:val="001A25E6"/>
    <w:rsid w:val="001A2C23"/>
    <w:rsid w:val="001A4372"/>
    <w:rsid w:val="001A5477"/>
    <w:rsid w:val="001A577B"/>
    <w:rsid w:val="001A57A0"/>
    <w:rsid w:val="001A63C2"/>
    <w:rsid w:val="001A6F1B"/>
    <w:rsid w:val="001A7055"/>
    <w:rsid w:val="001B17BE"/>
    <w:rsid w:val="001B1D43"/>
    <w:rsid w:val="001B1F9F"/>
    <w:rsid w:val="001B288C"/>
    <w:rsid w:val="001B31E2"/>
    <w:rsid w:val="001B3B10"/>
    <w:rsid w:val="001B4559"/>
    <w:rsid w:val="001B59E6"/>
    <w:rsid w:val="001B5B24"/>
    <w:rsid w:val="001B7E6B"/>
    <w:rsid w:val="001C0856"/>
    <w:rsid w:val="001C121F"/>
    <w:rsid w:val="001C17D4"/>
    <w:rsid w:val="001C1F91"/>
    <w:rsid w:val="001C3019"/>
    <w:rsid w:val="001C3E19"/>
    <w:rsid w:val="001C3F04"/>
    <w:rsid w:val="001C47BA"/>
    <w:rsid w:val="001C48AB"/>
    <w:rsid w:val="001C5179"/>
    <w:rsid w:val="001C639A"/>
    <w:rsid w:val="001C7DB5"/>
    <w:rsid w:val="001C7FCE"/>
    <w:rsid w:val="001D006C"/>
    <w:rsid w:val="001D0CB5"/>
    <w:rsid w:val="001D21E5"/>
    <w:rsid w:val="001D2AB8"/>
    <w:rsid w:val="001D2E8C"/>
    <w:rsid w:val="001D3C28"/>
    <w:rsid w:val="001D3E2A"/>
    <w:rsid w:val="001D4315"/>
    <w:rsid w:val="001D4956"/>
    <w:rsid w:val="001D4B79"/>
    <w:rsid w:val="001D5D45"/>
    <w:rsid w:val="001D602C"/>
    <w:rsid w:val="001D63D1"/>
    <w:rsid w:val="001D73A8"/>
    <w:rsid w:val="001D7746"/>
    <w:rsid w:val="001D7C6F"/>
    <w:rsid w:val="001E2B77"/>
    <w:rsid w:val="001E3934"/>
    <w:rsid w:val="001E3F3D"/>
    <w:rsid w:val="001E4A3E"/>
    <w:rsid w:val="001E4A7B"/>
    <w:rsid w:val="001E7180"/>
    <w:rsid w:val="001E71F4"/>
    <w:rsid w:val="001F0079"/>
    <w:rsid w:val="001F1206"/>
    <w:rsid w:val="001F23C8"/>
    <w:rsid w:val="001F2490"/>
    <w:rsid w:val="001F2ED6"/>
    <w:rsid w:val="001F39F2"/>
    <w:rsid w:val="001F4C8E"/>
    <w:rsid w:val="001F516A"/>
    <w:rsid w:val="001F5B7B"/>
    <w:rsid w:val="001F5E0D"/>
    <w:rsid w:val="001F757D"/>
    <w:rsid w:val="002006DB"/>
    <w:rsid w:val="00200E40"/>
    <w:rsid w:val="0020116F"/>
    <w:rsid w:val="00201428"/>
    <w:rsid w:val="00202B03"/>
    <w:rsid w:val="0020412A"/>
    <w:rsid w:val="002043FE"/>
    <w:rsid w:val="0020467E"/>
    <w:rsid w:val="002056F2"/>
    <w:rsid w:val="00205B40"/>
    <w:rsid w:val="00205C0B"/>
    <w:rsid w:val="00206D2B"/>
    <w:rsid w:val="00206EC7"/>
    <w:rsid w:val="002123EC"/>
    <w:rsid w:val="00212D00"/>
    <w:rsid w:val="00212E94"/>
    <w:rsid w:val="00212ED8"/>
    <w:rsid w:val="00212EE3"/>
    <w:rsid w:val="00213058"/>
    <w:rsid w:val="00215A06"/>
    <w:rsid w:val="002162F4"/>
    <w:rsid w:val="00216A63"/>
    <w:rsid w:val="00217BF6"/>
    <w:rsid w:val="00217FCA"/>
    <w:rsid w:val="00221849"/>
    <w:rsid w:val="00223B19"/>
    <w:rsid w:val="00224929"/>
    <w:rsid w:val="00224BC4"/>
    <w:rsid w:val="00225149"/>
    <w:rsid w:val="00226055"/>
    <w:rsid w:val="00226464"/>
    <w:rsid w:val="0022646F"/>
    <w:rsid w:val="002266D6"/>
    <w:rsid w:val="0022692B"/>
    <w:rsid w:val="00226DD0"/>
    <w:rsid w:val="00231DF5"/>
    <w:rsid w:val="00231F58"/>
    <w:rsid w:val="002341A7"/>
    <w:rsid w:val="00234FD4"/>
    <w:rsid w:val="0023547F"/>
    <w:rsid w:val="00235DB8"/>
    <w:rsid w:val="00236556"/>
    <w:rsid w:val="00236993"/>
    <w:rsid w:val="00237080"/>
    <w:rsid w:val="00237491"/>
    <w:rsid w:val="002417E2"/>
    <w:rsid w:val="002422CA"/>
    <w:rsid w:val="00242665"/>
    <w:rsid w:val="002434AC"/>
    <w:rsid w:val="00245AF9"/>
    <w:rsid w:val="002461B0"/>
    <w:rsid w:val="0024761A"/>
    <w:rsid w:val="002479D9"/>
    <w:rsid w:val="00247E97"/>
    <w:rsid w:val="00250234"/>
    <w:rsid w:val="002519AD"/>
    <w:rsid w:val="00252C5F"/>
    <w:rsid w:val="0025322D"/>
    <w:rsid w:val="0025460C"/>
    <w:rsid w:val="00255516"/>
    <w:rsid w:val="00256600"/>
    <w:rsid w:val="00256D51"/>
    <w:rsid w:val="0025724F"/>
    <w:rsid w:val="00257669"/>
    <w:rsid w:val="00262703"/>
    <w:rsid w:val="00262D5F"/>
    <w:rsid w:val="0026342E"/>
    <w:rsid w:val="00263944"/>
    <w:rsid w:val="00263EC9"/>
    <w:rsid w:val="002647C7"/>
    <w:rsid w:val="0026565D"/>
    <w:rsid w:val="00266FBF"/>
    <w:rsid w:val="0026733A"/>
    <w:rsid w:val="00267EEE"/>
    <w:rsid w:val="00270371"/>
    <w:rsid w:val="002707FB"/>
    <w:rsid w:val="00270E95"/>
    <w:rsid w:val="00271CED"/>
    <w:rsid w:val="0027208B"/>
    <w:rsid w:val="002727E6"/>
    <w:rsid w:val="0027290D"/>
    <w:rsid w:val="002736F0"/>
    <w:rsid w:val="0027452F"/>
    <w:rsid w:val="0027466F"/>
    <w:rsid w:val="0027629B"/>
    <w:rsid w:val="00276E39"/>
    <w:rsid w:val="00276F97"/>
    <w:rsid w:val="002774FA"/>
    <w:rsid w:val="00277AE7"/>
    <w:rsid w:val="00282182"/>
    <w:rsid w:val="0028237F"/>
    <w:rsid w:val="00282753"/>
    <w:rsid w:val="00282CED"/>
    <w:rsid w:val="00284157"/>
    <w:rsid w:val="002849D5"/>
    <w:rsid w:val="002849F9"/>
    <w:rsid w:val="00284B47"/>
    <w:rsid w:val="002854CB"/>
    <w:rsid w:val="002863F1"/>
    <w:rsid w:val="0028693B"/>
    <w:rsid w:val="002875CE"/>
    <w:rsid w:val="00290C1E"/>
    <w:rsid w:val="00290EFF"/>
    <w:rsid w:val="00291221"/>
    <w:rsid w:val="002952E1"/>
    <w:rsid w:val="0029595A"/>
    <w:rsid w:val="00296205"/>
    <w:rsid w:val="00296DB6"/>
    <w:rsid w:val="00296F63"/>
    <w:rsid w:val="00297CD6"/>
    <w:rsid w:val="002A01B1"/>
    <w:rsid w:val="002A07FF"/>
    <w:rsid w:val="002A1266"/>
    <w:rsid w:val="002A1CA0"/>
    <w:rsid w:val="002A442C"/>
    <w:rsid w:val="002A4597"/>
    <w:rsid w:val="002A460A"/>
    <w:rsid w:val="002A5989"/>
    <w:rsid w:val="002A6187"/>
    <w:rsid w:val="002A634C"/>
    <w:rsid w:val="002A774C"/>
    <w:rsid w:val="002A7C4A"/>
    <w:rsid w:val="002A7C76"/>
    <w:rsid w:val="002A7E8B"/>
    <w:rsid w:val="002B025A"/>
    <w:rsid w:val="002B03BD"/>
    <w:rsid w:val="002B07D7"/>
    <w:rsid w:val="002B08D2"/>
    <w:rsid w:val="002B16B4"/>
    <w:rsid w:val="002B1F7D"/>
    <w:rsid w:val="002B2CF0"/>
    <w:rsid w:val="002B34E8"/>
    <w:rsid w:val="002B3E7E"/>
    <w:rsid w:val="002B4CAB"/>
    <w:rsid w:val="002B5739"/>
    <w:rsid w:val="002B65DB"/>
    <w:rsid w:val="002B687A"/>
    <w:rsid w:val="002B6C7A"/>
    <w:rsid w:val="002B6FA5"/>
    <w:rsid w:val="002B74CA"/>
    <w:rsid w:val="002B78AA"/>
    <w:rsid w:val="002B7D11"/>
    <w:rsid w:val="002C0B6F"/>
    <w:rsid w:val="002C0BC2"/>
    <w:rsid w:val="002C38B6"/>
    <w:rsid w:val="002C3CB3"/>
    <w:rsid w:val="002C3F69"/>
    <w:rsid w:val="002C4097"/>
    <w:rsid w:val="002C4910"/>
    <w:rsid w:val="002C4AE5"/>
    <w:rsid w:val="002C54C1"/>
    <w:rsid w:val="002C557A"/>
    <w:rsid w:val="002C57FA"/>
    <w:rsid w:val="002C6691"/>
    <w:rsid w:val="002C70B2"/>
    <w:rsid w:val="002C70B8"/>
    <w:rsid w:val="002C7B85"/>
    <w:rsid w:val="002D06E8"/>
    <w:rsid w:val="002D2292"/>
    <w:rsid w:val="002D2365"/>
    <w:rsid w:val="002D2545"/>
    <w:rsid w:val="002D2A7C"/>
    <w:rsid w:val="002D2B98"/>
    <w:rsid w:val="002D42A9"/>
    <w:rsid w:val="002D5DB6"/>
    <w:rsid w:val="002D5F11"/>
    <w:rsid w:val="002D6DA6"/>
    <w:rsid w:val="002D7BE6"/>
    <w:rsid w:val="002E032D"/>
    <w:rsid w:val="002E1212"/>
    <w:rsid w:val="002E1D45"/>
    <w:rsid w:val="002E2375"/>
    <w:rsid w:val="002E2440"/>
    <w:rsid w:val="002E43A8"/>
    <w:rsid w:val="002E5104"/>
    <w:rsid w:val="002E534A"/>
    <w:rsid w:val="002E5B2A"/>
    <w:rsid w:val="002E6205"/>
    <w:rsid w:val="002E7049"/>
    <w:rsid w:val="002E7D53"/>
    <w:rsid w:val="002F0314"/>
    <w:rsid w:val="002F11FE"/>
    <w:rsid w:val="002F1B4D"/>
    <w:rsid w:val="002F24DF"/>
    <w:rsid w:val="002F2587"/>
    <w:rsid w:val="002F3346"/>
    <w:rsid w:val="002F3C21"/>
    <w:rsid w:val="002F4324"/>
    <w:rsid w:val="002F4B33"/>
    <w:rsid w:val="002F4E73"/>
    <w:rsid w:val="002F50DD"/>
    <w:rsid w:val="002F60CF"/>
    <w:rsid w:val="002F685F"/>
    <w:rsid w:val="002F6AB8"/>
    <w:rsid w:val="0030087E"/>
    <w:rsid w:val="00301C3E"/>
    <w:rsid w:val="003040B9"/>
    <w:rsid w:val="00304434"/>
    <w:rsid w:val="00304D74"/>
    <w:rsid w:val="003050CD"/>
    <w:rsid w:val="003056C9"/>
    <w:rsid w:val="00305EBC"/>
    <w:rsid w:val="00306117"/>
    <w:rsid w:val="00306441"/>
    <w:rsid w:val="00306F63"/>
    <w:rsid w:val="00307622"/>
    <w:rsid w:val="003101E3"/>
    <w:rsid w:val="00310584"/>
    <w:rsid w:val="0031060C"/>
    <w:rsid w:val="00310AD6"/>
    <w:rsid w:val="00310B98"/>
    <w:rsid w:val="00311B37"/>
    <w:rsid w:val="003122A2"/>
    <w:rsid w:val="00312479"/>
    <w:rsid w:val="00313C73"/>
    <w:rsid w:val="003149E3"/>
    <w:rsid w:val="003157E5"/>
    <w:rsid w:val="003157FA"/>
    <w:rsid w:val="00316782"/>
    <w:rsid w:val="0031695A"/>
    <w:rsid w:val="0032052C"/>
    <w:rsid w:val="00321647"/>
    <w:rsid w:val="003222F0"/>
    <w:rsid w:val="00323476"/>
    <w:rsid w:val="003259B3"/>
    <w:rsid w:val="003262DA"/>
    <w:rsid w:val="0032737E"/>
    <w:rsid w:val="00330AE2"/>
    <w:rsid w:val="00330B53"/>
    <w:rsid w:val="003314FA"/>
    <w:rsid w:val="00331EA0"/>
    <w:rsid w:val="00333088"/>
    <w:rsid w:val="0033473F"/>
    <w:rsid w:val="003347F6"/>
    <w:rsid w:val="00336218"/>
    <w:rsid w:val="0033665D"/>
    <w:rsid w:val="00336863"/>
    <w:rsid w:val="00337C91"/>
    <w:rsid w:val="00337D53"/>
    <w:rsid w:val="0034059F"/>
    <w:rsid w:val="00340D77"/>
    <w:rsid w:val="00340E15"/>
    <w:rsid w:val="00340F35"/>
    <w:rsid w:val="00341584"/>
    <w:rsid w:val="00342A82"/>
    <w:rsid w:val="00342D59"/>
    <w:rsid w:val="0034358F"/>
    <w:rsid w:val="00344EAE"/>
    <w:rsid w:val="0034551F"/>
    <w:rsid w:val="00345DC9"/>
    <w:rsid w:val="003463F1"/>
    <w:rsid w:val="00346838"/>
    <w:rsid w:val="00350674"/>
    <w:rsid w:val="00350958"/>
    <w:rsid w:val="00352148"/>
    <w:rsid w:val="00352365"/>
    <w:rsid w:val="003523D3"/>
    <w:rsid w:val="003535E7"/>
    <w:rsid w:val="00353B63"/>
    <w:rsid w:val="00354020"/>
    <w:rsid w:val="00355529"/>
    <w:rsid w:val="003555F2"/>
    <w:rsid w:val="003562ED"/>
    <w:rsid w:val="00356F3C"/>
    <w:rsid w:val="00357BC5"/>
    <w:rsid w:val="00362DFC"/>
    <w:rsid w:val="00362FC4"/>
    <w:rsid w:val="00363730"/>
    <w:rsid w:val="00365652"/>
    <w:rsid w:val="003656D1"/>
    <w:rsid w:val="00365FF4"/>
    <w:rsid w:val="003669DF"/>
    <w:rsid w:val="003675E4"/>
    <w:rsid w:val="003679B2"/>
    <w:rsid w:val="00367B63"/>
    <w:rsid w:val="00367E40"/>
    <w:rsid w:val="00371004"/>
    <w:rsid w:val="00372A58"/>
    <w:rsid w:val="00372FFF"/>
    <w:rsid w:val="003730BC"/>
    <w:rsid w:val="00373258"/>
    <w:rsid w:val="00374D78"/>
    <w:rsid w:val="00375CBF"/>
    <w:rsid w:val="00375DBC"/>
    <w:rsid w:val="0037641C"/>
    <w:rsid w:val="00376FA5"/>
    <w:rsid w:val="00377076"/>
    <w:rsid w:val="003772A1"/>
    <w:rsid w:val="00380491"/>
    <w:rsid w:val="00381733"/>
    <w:rsid w:val="00381AA5"/>
    <w:rsid w:val="00384AF8"/>
    <w:rsid w:val="00384CDB"/>
    <w:rsid w:val="00385375"/>
    <w:rsid w:val="00385A88"/>
    <w:rsid w:val="0038720F"/>
    <w:rsid w:val="00387E9F"/>
    <w:rsid w:val="00390530"/>
    <w:rsid w:val="00390B1F"/>
    <w:rsid w:val="003910B2"/>
    <w:rsid w:val="00391149"/>
    <w:rsid w:val="00391415"/>
    <w:rsid w:val="003917BD"/>
    <w:rsid w:val="00391F3D"/>
    <w:rsid w:val="00391F58"/>
    <w:rsid w:val="0039299B"/>
    <w:rsid w:val="00392DBF"/>
    <w:rsid w:val="00393B4C"/>
    <w:rsid w:val="00393FAF"/>
    <w:rsid w:val="00394A12"/>
    <w:rsid w:val="00395FCE"/>
    <w:rsid w:val="003960E9"/>
    <w:rsid w:val="0039620B"/>
    <w:rsid w:val="003962A3"/>
    <w:rsid w:val="003963E6"/>
    <w:rsid w:val="003964A7"/>
    <w:rsid w:val="00396E6D"/>
    <w:rsid w:val="003A046B"/>
    <w:rsid w:val="003A083F"/>
    <w:rsid w:val="003A113B"/>
    <w:rsid w:val="003A11B3"/>
    <w:rsid w:val="003A2C9E"/>
    <w:rsid w:val="003A4012"/>
    <w:rsid w:val="003A5474"/>
    <w:rsid w:val="003A6D61"/>
    <w:rsid w:val="003A77F2"/>
    <w:rsid w:val="003B03BA"/>
    <w:rsid w:val="003B0795"/>
    <w:rsid w:val="003B0988"/>
    <w:rsid w:val="003B0A0B"/>
    <w:rsid w:val="003B0DCD"/>
    <w:rsid w:val="003B1AED"/>
    <w:rsid w:val="003B1C9F"/>
    <w:rsid w:val="003B3DD5"/>
    <w:rsid w:val="003B4830"/>
    <w:rsid w:val="003B491E"/>
    <w:rsid w:val="003B5A35"/>
    <w:rsid w:val="003B6287"/>
    <w:rsid w:val="003B62B5"/>
    <w:rsid w:val="003B6580"/>
    <w:rsid w:val="003B6903"/>
    <w:rsid w:val="003B692D"/>
    <w:rsid w:val="003C0244"/>
    <w:rsid w:val="003C0478"/>
    <w:rsid w:val="003C09A7"/>
    <w:rsid w:val="003C1158"/>
    <w:rsid w:val="003C1390"/>
    <w:rsid w:val="003C13BA"/>
    <w:rsid w:val="003C329F"/>
    <w:rsid w:val="003C349A"/>
    <w:rsid w:val="003C3F25"/>
    <w:rsid w:val="003C4213"/>
    <w:rsid w:val="003C57F0"/>
    <w:rsid w:val="003C593E"/>
    <w:rsid w:val="003C5948"/>
    <w:rsid w:val="003C787D"/>
    <w:rsid w:val="003C78E4"/>
    <w:rsid w:val="003D03B8"/>
    <w:rsid w:val="003D09CA"/>
    <w:rsid w:val="003D0FBF"/>
    <w:rsid w:val="003D1A55"/>
    <w:rsid w:val="003D1CBA"/>
    <w:rsid w:val="003D1E41"/>
    <w:rsid w:val="003D2336"/>
    <w:rsid w:val="003D2BB5"/>
    <w:rsid w:val="003D31D7"/>
    <w:rsid w:val="003D3204"/>
    <w:rsid w:val="003D491D"/>
    <w:rsid w:val="003D4B6E"/>
    <w:rsid w:val="003D4D24"/>
    <w:rsid w:val="003D5351"/>
    <w:rsid w:val="003D5EAA"/>
    <w:rsid w:val="003D5ED7"/>
    <w:rsid w:val="003E05C2"/>
    <w:rsid w:val="003E07D6"/>
    <w:rsid w:val="003E0EFC"/>
    <w:rsid w:val="003E19B0"/>
    <w:rsid w:val="003E3D21"/>
    <w:rsid w:val="003E4599"/>
    <w:rsid w:val="003E5F29"/>
    <w:rsid w:val="003E73B7"/>
    <w:rsid w:val="003F0CB1"/>
    <w:rsid w:val="003F3463"/>
    <w:rsid w:val="003F49F9"/>
    <w:rsid w:val="003F4AEC"/>
    <w:rsid w:val="003F4BA5"/>
    <w:rsid w:val="003F5DC2"/>
    <w:rsid w:val="003F64A8"/>
    <w:rsid w:val="003F68DF"/>
    <w:rsid w:val="003F6AE0"/>
    <w:rsid w:val="003F6D77"/>
    <w:rsid w:val="00400814"/>
    <w:rsid w:val="00400A94"/>
    <w:rsid w:val="004011BA"/>
    <w:rsid w:val="00401E2E"/>
    <w:rsid w:val="00404603"/>
    <w:rsid w:val="004054B6"/>
    <w:rsid w:val="0040560A"/>
    <w:rsid w:val="00405F59"/>
    <w:rsid w:val="00406E1F"/>
    <w:rsid w:val="004075E9"/>
    <w:rsid w:val="00407870"/>
    <w:rsid w:val="0041181F"/>
    <w:rsid w:val="00412D5B"/>
    <w:rsid w:val="0041412A"/>
    <w:rsid w:val="0041480C"/>
    <w:rsid w:val="00414F2A"/>
    <w:rsid w:val="00416A9C"/>
    <w:rsid w:val="00417C10"/>
    <w:rsid w:val="00417C59"/>
    <w:rsid w:val="00420458"/>
    <w:rsid w:val="00420803"/>
    <w:rsid w:val="004209F2"/>
    <w:rsid w:val="0042136E"/>
    <w:rsid w:val="0042168C"/>
    <w:rsid w:val="00423498"/>
    <w:rsid w:val="00423A37"/>
    <w:rsid w:val="00424CEE"/>
    <w:rsid w:val="00425479"/>
    <w:rsid w:val="00425AA6"/>
    <w:rsid w:val="00427C8C"/>
    <w:rsid w:val="00427FE2"/>
    <w:rsid w:val="00430097"/>
    <w:rsid w:val="0043062C"/>
    <w:rsid w:val="00432199"/>
    <w:rsid w:val="00432281"/>
    <w:rsid w:val="00433522"/>
    <w:rsid w:val="00433983"/>
    <w:rsid w:val="0043402B"/>
    <w:rsid w:val="0043428E"/>
    <w:rsid w:val="00434A69"/>
    <w:rsid w:val="00434F37"/>
    <w:rsid w:val="00434FF6"/>
    <w:rsid w:val="00435599"/>
    <w:rsid w:val="00435917"/>
    <w:rsid w:val="00436DF1"/>
    <w:rsid w:val="004376BC"/>
    <w:rsid w:val="0043780D"/>
    <w:rsid w:val="004422F7"/>
    <w:rsid w:val="00443C4D"/>
    <w:rsid w:val="0044420E"/>
    <w:rsid w:val="00446A3E"/>
    <w:rsid w:val="00450B14"/>
    <w:rsid w:val="004517A9"/>
    <w:rsid w:val="004538BC"/>
    <w:rsid w:val="00453ABD"/>
    <w:rsid w:val="004543B2"/>
    <w:rsid w:val="004544DD"/>
    <w:rsid w:val="00454946"/>
    <w:rsid w:val="00454B1D"/>
    <w:rsid w:val="00454BF9"/>
    <w:rsid w:val="00456FD9"/>
    <w:rsid w:val="0045739A"/>
    <w:rsid w:val="00457D1D"/>
    <w:rsid w:val="00457E5D"/>
    <w:rsid w:val="00460771"/>
    <w:rsid w:val="004614C2"/>
    <w:rsid w:val="00461861"/>
    <w:rsid w:val="00461A86"/>
    <w:rsid w:val="00461AE2"/>
    <w:rsid w:val="00461C5D"/>
    <w:rsid w:val="00461E89"/>
    <w:rsid w:val="00463425"/>
    <w:rsid w:val="004644C9"/>
    <w:rsid w:val="004644D0"/>
    <w:rsid w:val="0046527F"/>
    <w:rsid w:val="00465A42"/>
    <w:rsid w:val="00466121"/>
    <w:rsid w:val="0046622D"/>
    <w:rsid w:val="00466ABD"/>
    <w:rsid w:val="0046732F"/>
    <w:rsid w:val="004674CC"/>
    <w:rsid w:val="0047056A"/>
    <w:rsid w:val="00471C98"/>
    <w:rsid w:val="004733C8"/>
    <w:rsid w:val="00473700"/>
    <w:rsid w:val="004739B9"/>
    <w:rsid w:val="00473B27"/>
    <w:rsid w:val="0047401B"/>
    <w:rsid w:val="00474C2D"/>
    <w:rsid w:val="0047522B"/>
    <w:rsid w:val="0047576F"/>
    <w:rsid w:val="00476C0E"/>
    <w:rsid w:val="00477E23"/>
    <w:rsid w:val="004800FB"/>
    <w:rsid w:val="004801C9"/>
    <w:rsid w:val="004812BB"/>
    <w:rsid w:val="004817AB"/>
    <w:rsid w:val="00482C34"/>
    <w:rsid w:val="004837AB"/>
    <w:rsid w:val="00483F5B"/>
    <w:rsid w:val="00484A78"/>
    <w:rsid w:val="004856FD"/>
    <w:rsid w:val="00486740"/>
    <w:rsid w:val="00486B4B"/>
    <w:rsid w:val="00486C42"/>
    <w:rsid w:val="00486D17"/>
    <w:rsid w:val="00487287"/>
    <w:rsid w:val="004878C5"/>
    <w:rsid w:val="00487BBB"/>
    <w:rsid w:val="004900D1"/>
    <w:rsid w:val="004913F9"/>
    <w:rsid w:val="00492ACE"/>
    <w:rsid w:val="0049501F"/>
    <w:rsid w:val="00495920"/>
    <w:rsid w:val="00495DA5"/>
    <w:rsid w:val="0049634E"/>
    <w:rsid w:val="004977E9"/>
    <w:rsid w:val="00497C1F"/>
    <w:rsid w:val="00497CA5"/>
    <w:rsid w:val="00497EA2"/>
    <w:rsid w:val="004A0342"/>
    <w:rsid w:val="004A0F6C"/>
    <w:rsid w:val="004A1677"/>
    <w:rsid w:val="004A1A56"/>
    <w:rsid w:val="004A2C2C"/>
    <w:rsid w:val="004A3301"/>
    <w:rsid w:val="004A3365"/>
    <w:rsid w:val="004A36CC"/>
    <w:rsid w:val="004A3A9B"/>
    <w:rsid w:val="004A3C88"/>
    <w:rsid w:val="004A4883"/>
    <w:rsid w:val="004A58B3"/>
    <w:rsid w:val="004A5D70"/>
    <w:rsid w:val="004A5F79"/>
    <w:rsid w:val="004A791B"/>
    <w:rsid w:val="004A7A75"/>
    <w:rsid w:val="004B02FC"/>
    <w:rsid w:val="004B091E"/>
    <w:rsid w:val="004B0BA2"/>
    <w:rsid w:val="004B0F01"/>
    <w:rsid w:val="004B2A8C"/>
    <w:rsid w:val="004B2AE1"/>
    <w:rsid w:val="004B2DAC"/>
    <w:rsid w:val="004B2FD8"/>
    <w:rsid w:val="004B4654"/>
    <w:rsid w:val="004B6AFE"/>
    <w:rsid w:val="004B6CD2"/>
    <w:rsid w:val="004B77B9"/>
    <w:rsid w:val="004B7A64"/>
    <w:rsid w:val="004B7C2B"/>
    <w:rsid w:val="004C02AC"/>
    <w:rsid w:val="004C09B4"/>
    <w:rsid w:val="004C0ED5"/>
    <w:rsid w:val="004C1B32"/>
    <w:rsid w:val="004C1FE1"/>
    <w:rsid w:val="004C2A5E"/>
    <w:rsid w:val="004C382C"/>
    <w:rsid w:val="004C4A86"/>
    <w:rsid w:val="004C555F"/>
    <w:rsid w:val="004C5AE8"/>
    <w:rsid w:val="004C71FA"/>
    <w:rsid w:val="004C7C9C"/>
    <w:rsid w:val="004D0ECB"/>
    <w:rsid w:val="004D14DC"/>
    <w:rsid w:val="004D1F53"/>
    <w:rsid w:val="004D46B9"/>
    <w:rsid w:val="004D47C5"/>
    <w:rsid w:val="004D48B7"/>
    <w:rsid w:val="004D6F49"/>
    <w:rsid w:val="004D77F8"/>
    <w:rsid w:val="004D7963"/>
    <w:rsid w:val="004D7985"/>
    <w:rsid w:val="004E0CCD"/>
    <w:rsid w:val="004E0F42"/>
    <w:rsid w:val="004E1963"/>
    <w:rsid w:val="004E2CBB"/>
    <w:rsid w:val="004E3BF5"/>
    <w:rsid w:val="004E465D"/>
    <w:rsid w:val="004E4B65"/>
    <w:rsid w:val="004E572A"/>
    <w:rsid w:val="004E5B6D"/>
    <w:rsid w:val="004E5DB9"/>
    <w:rsid w:val="004E6899"/>
    <w:rsid w:val="004E7EF0"/>
    <w:rsid w:val="004F03A1"/>
    <w:rsid w:val="004F15A7"/>
    <w:rsid w:val="004F1854"/>
    <w:rsid w:val="004F2501"/>
    <w:rsid w:val="004F25E5"/>
    <w:rsid w:val="004F2D59"/>
    <w:rsid w:val="004F4B4E"/>
    <w:rsid w:val="004F4B9F"/>
    <w:rsid w:val="004F7923"/>
    <w:rsid w:val="004F7983"/>
    <w:rsid w:val="00500003"/>
    <w:rsid w:val="00500536"/>
    <w:rsid w:val="00501458"/>
    <w:rsid w:val="005026B7"/>
    <w:rsid w:val="005030DC"/>
    <w:rsid w:val="005036D9"/>
    <w:rsid w:val="00503D1C"/>
    <w:rsid w:val="005040A0"/>
    <w:rsid w:val="00504642"/>
    <w:rsid w:val="0050504E"/>
    <w:rsid w:val="00505F57"/>
    <w:rsid w:val="00510B42"/>
    <w:rsid w:val="00510EF6"/>
    <w:rsid w:val="0051111E"/>
    <w:rsid w:val="0051140F"/>
    <w:rsid w:val="0051158F"/>
    <w:rsid w:val="00511706"/>
    <w:rsid w:val="00511E5E"/>
    <w:rsid w:val="00512816"/>
    <w:rsid w:val="005130F5"/>
    <w:rsid w:val="0051340D"/>
    <w:rsid w:val="0051433B"/>
    <w:rsid w:val="005149F4"/>
    <w:rsid w:val="0051547B"/>
    <w:rsid w:val="0051598E"/>
    <w:rsid w:val="00515C73"/>
    <w:rsid w:val="00516FB1"/>
    <w:rsid w:val="0052002F"/>
    <w:rsid w:val="00520504"/>
    <w:rsid w:val="00520951"/>
    <w:rsid w:val="00521D03"/>
    <w:rsid w:val="00521E2D"/>
    <w:rsid w:val="005240D2"/>
    <w:rsid w:val="005249D7"/>
    <w:rsid w:val="00524BB1"/>
    <w:rsid w:val="00525054"/>
    <w:rsid w:val="00525834"/>
    <w:rsid w:val="00525B25"/>
    <w:rsid w:val="00526738"/>
    <w:rsid w:val="005269FE"/>
    <w:rsid w:val="0052763C"/>
    <w:rsid w:val="00527815"/>
    <w:rsid w:val="00527B16"/>
    <w:rsid w:val="00527CFA"/>
    <w:rsid w:val="005312D6"/>
    <w:rsid w:val="00531D46"/>
    <w:rsid w:val="00532714"/>
    <w:rsid w:val="00532AF7"/>
    <w:rsid w:val="0053431D"/>
    <w:rsid w:val="00534A67"/>
    <w:rsid w:val="00534B9A"/>
    <w:rsid w:val="00535BA8"/>
    <w:rsid w:val="00536558"/>
    <w:rsid w:val="00536815"/>
    <w:rsid w:val="00537B02"/>
    <w:rsid w:val="00537D54"/>
    <w:rsid w:val="00540A1B"/>
    <w:rsid w:val="00540A33"/>
    <w:rsid w:val="00541175"/>
    <w:rsid w:val="00541964"/>
    <w:rsid w:val="00541A07"/>
    <w:rsid w:val="00542115"/>
    <w:rsid w:val="00542C1A"/>
    <w:rsid w:val="005438A2"/>
    <w:rsid w:val="00543EB2"/>
    <w:rsid w:val="00544F71"/>
    <w:rsid w:val="00545CEE"/>
    <w:rsid w:val="005473A0"/>
    <w:rsid w:val="005500EC"/>
    <w:rsid w:val="005523A1"/>
    <w:rsid w:val="00552BC1"/>
    <w:rsid w:val="00553EB9"/>
    <w:rsid w:val="00554033"/>
    <w:rsid w:val="00554CDD"/>
    <w:rsid w:val="00554CE8"/>
    <w:rsid w:val="00555292"/>
    <w:rsid w:val="0055641A"/>
    <w:rsid w:val="005564FB"/>
    <w:rsid w:val="00556F6D"/>
    <w:rsid w:val="0055737E"/>
    <w:rsid w:val="00557E39"/>
    <w:rsid w:val="0056040E"/>
    <w:rsid w:val="00560B4D"/>
    <w:rsid w:val="00560E92"/>
    <w:rsid w:val="00561600"/>
    <w:rsid w:val="005626D0"/>
    <w:rsid w:val="00562D7E"/>
    <w:rsid w:val="00564A63"/>
    <w:rsid w:val="00566239"/>
    <w:rsid w:val="00566487"/>
    <w:rsid w:val="0056708A"/>
    <w:rsid w:val="00567C3A"/>
    <w:rsid w:val="00567ED6"/>
    <w:rsid w:val="00570845"/>
    <w:rsid w:val="00570C7D"/>
    <w:rsid w:val="00570D0C"/>
    <w:rsid w:val="00570DB5"/>
    <w:rsid w:val="00570E8B"/>
    <w:rsid w:val="0057197F"/>
    <w:rsid w:val="00571CC2"/>
    <w:rsid w:val="00572B60"/>
    <w:rsid w:val="005733DF"/>
    <w:rsid w:val="00573B52"/>
    <w:rsid w:val="0057426E"/>
    <w:rsid w:val="0057471A"/>
    <w:rsid w:val="00574846"/>
    <w:rsid w:val="00574A6E"/>
    <w:rsid w:val="00574FB0"/>
    <w:rsid w:val="00575FE0"/>
    <w:rsid w:val="00576A13"/>
    <w:rsid w:val="00576AAC"/>
    <w:rsid w:val="00576E88"/>
    <w:rsid w:val="00577AAA"/>
    <w:rsid w:val="00577EF7"/>
    <w:rsid w:val="00581749"/>
    <w:rsid w:val="00582B03"/>
    <w:rsid w:val="00583236"/>
    <w:rsid w:val="0058337D"/>
    <w:rsid w:val="00583B19"/>
    <w:rsid w:val="005846D0"/>
    <w:rsid w:val="00584C58"/>
    <w:rsid w:val="00584CF9"/>
    <w:rsid w:val="005859E5"/>
    <w:rsid w:val="00585D98"/>
    <w:rsid w:val="00586B2F"/>
    <w:rsid w:val="005870C6"/>
    <w:rsid w:val="005913BE"/>
    <w:rsid w:val="00592B93"/>
    <w:rsid w:val="00593AF5"/>
    <w:rsid w:val="0059479C"/>
    <w:rsid w:val="00595BB2"/>
    <w:rsid w:val="00595C09"/>
    <w:rsid w:val="00596709"/>
    <w:rsid w:val="00596B4E"/>
    <w:rsid w:val="00596CE1"/>
    <w:rsid w:val="005A1274"/>
    <w:rsid w:val="005A13C5"/>
    <w:rsid w:val="005A1791"/>
    <w:rsid w:val="005A1D08"/>
    <w:rsid w:val="005A2FE8"/>
    <w:rsid w:val="005A3EFF"/>
    <w:rsid w:val="005A5642"/>
    <w:rsid w:val="005A5CE7"/>
    <w:rsid w:val="005B0130"/>
    <w:rsid w:val="005B0985"/>
    <w:rsid w:val="005B19EF"/>
    <w:rsid w:val="005B226C"/>
    <w:rsid w:val="005B2927"/>
    <w:rsid w:val="005B2EC8"/>
    <w:rsid w:val="005B43D0"/>
    <w:rsid w:val="005B4535"/>
    <w:rsid w:val="005B4844"/>
    <w:rsid w:val="005B5356"/>
    <w:rsid w:val="005B6CA9"/>
    <w:rsid w:val="005B75F9"/>
    <w:rsid w:val="005B7AFA"/>
    <w:rsid w:val="005C0B17"/>
    <w:rsid w:val="005C0F2F"/>
    <w:rsid w:val="005C1F7A"/>
    <w:rsid w:val="005C2BA0"/>
    <w:rsid w:val="005C3A93"/>
    <w:rsid w:val="005C457C"/>
    <w:rsid w:val="005C4EE8"/>
    <w:rsid w:val="005C4F73"/>
    <w:rsid w:val="005D07A3"/>
    <w:rsid w:val="005D106D"/>
    <w:rsid w:val="005D1617"/>
    <w:rsid w:val="005D1737"/>
    <w:rsid w:val="005D179E"/>
    <w:rsid w:val="005D1D27"/>
    <w:rsid w:val="005D25C4"/>
    <w:rsid w:val="005D2B4F"/>
    <w:rsid w:val="005D3139"/>
    <w:rsid w:val="005D41AF"/>
    <w:rsid w:val="005D52B0"/>
    <w:rsid w:val="005D55E0"/>
    <w:rsid w:val="005D68B0"/>
    <w:rsid w:val="005D71A2"/>
    <w:rsid w:val="005D746D"/>
    <w:rsid w:val="005E0394"/>
    <w:rsid w:val="005E0C0D"/>
    <w:rsid w:val="005E1770"/>
    <w:rsid w:val="005E3A48"/>
    <w:rsid w:val="005E5429"/>
    <w:rsid w:val="005E630A"/>
    <w:rsid w:val="005E6310"/>
    <w:rsid w:val="005E682C"/>
    <w:rsid w:val="005E68D0"/>
    <w:rsid w:val="005E691C"/>
    <w:rsid w:val="005E6A22"/>
    <w:rsid w:val="005E6CCB"/>
    <w:rsid w:val="005E764C"/>
    <w:rsid w:val="005E7F0B"/>
    <w:rsid w:val="005E7FE2"/>
    <w:rsid w:val="005F10C4"/>
    <w:rsid w:val="005F2D22"/>
    <w:rsid w:val="005F3CD4"/>
    <w:rsid w:val="005F40B7"/>
    <w:rsid w:val="005F4E2F"/>
    <w:rsid w:val="005F5B32"/>
    <w:rsid w:val="005F66BA"/>
    <w:rsid w:val="0060001D"/>
    <w:rsid w:val="00600035"/>
    <w:rsid w:val="006002C2"/>
    <w:rsid w:val="006025AA"/>
    <w:rsid w:val="00602B3C"/>
    <w:rsid w:val="00602F16"/>
    <w:rsid w:val="0060336C"/>
    <w:rsid w:val="006034B0"/>
    <w:rsid w:val="00603D2E"/>
    <w:rsid w:val="00604A23"/>
    <w:rsid w:val="00604D93"/>
    <w:rsid w:val="00605611"/>
    <w:rsid w:val="00605AE9"/>
    <w:rsid w:val="006060D4"/>
    <w:rsid w:val="00606599"/>
    <w:rsid w:val="0060668D"/>
    <w:rsid w:val="00606C30"/>
    <w:rsid w:val="006108B2"/>
    <w:rsid w:val="00610AFF"/>
    <w:rsid w:val="00610E95"/>
    <w:rsid w:val="00611525"/>
    <w:rsid w:val="00611F2C"/>
    <w:rsid w:val="00611FD2"/>
    <w:rsid w:val="0061247F"/>
    <w:rsid w:val="006124C1"/>
    <w:rsid w:val="006124CB"/>
    <w:rsid w:val="00612959"/>
    <w:rsid w:val="00612C12"/>
    <w:rsid w:val="00613174"/>
    <w:rsid w:val="00614532"/>
    <w:rsid w:val="00614684"/>
    <w:rsid w:val="00614E40"/>
    <w:rsid w:val="0062197A"/>
    <w:rsid w:val="00623EAC"/>
    <w:rsid w:val="006245F9"/>
    <w:rsid w:val="00625AFC"/>
    <w:rsid w:val="00626063"/>
    <w:rsid w:val="00626D46"/>
    <w:rsid w:val="00630188"/>
    <w:rsid w:val="006305DC"/>
    <w:rsid w:val="00632AB6"/>
    <w:rsid w:val="00634A56"/>
    <w:rsid w:val="006353B6"/>
    <w:rsid w:val="00635520"/>
    <w:rsid w:val="0063556A"/>
    <w:rsid w:val="00635B5F"/>
    <w:rsid w:val="006370DC"/>
    <w:rsid w:val="00641A81"/>
    <w:rsid w:val="00641FB7"/>
    <w:rsid w:val="0064241A"/>
    <w:rsid w:val="00642BEF"/>
    <w:rsid w:val="00643024"/>
    <w:rsid w:val="006431A8"/>
    <w:rsid w:val="006437A7"/>
    <w:rsid w:val="0064380C"/>
    <w:rsid w:val="00643D61"/>
    <w:rsid w:val="0064405F"/>
    <w:rsid w:val="00644D6C"/>
    <w:rsid w:val="00646BC4"/>
    <w:rsid w:val="00647C19"/>
    <w:rsid w:val="00650493"/>
    <w:rsid w:val="006509F6"/>
    <w:rsid w:val="00650B3B"/>
    <w:rsid w:val="006529B9"/>
    <w:rsid w:val="00654A52"/>
    <w:rsid w:val="006550E8"/>
    <w:rsid w:val="006557D7"/>
    <w:rsid w:val="00655FA5"/>
    <w:rsid w:val="00656DD1"/>
    <w:rsid w:val="006574EA"/>
    <w:rsid w:val="006578A5"/>
    <w:rsid w:val="006579DD"/>
    <w:rsid w:val="00660135"/>
    <w:rsid w:val="00660CA2"/>
    <w:rsid w:val="006610B9"/>
    <w:rsid w:val="00661869"/>
    <w:rsid w:val="00661E46"/>
    <w:rsid w:val="006621D2"/>
    <w:rsid w:val="00662896"/>
    <w:rsid w:val="006634CA"/>
    <w:rsid w:val="006636D6"/>
    <w:rsid w:val="00665285"/>
    <w:rsid w:val="00665300"/>
    <w:rsid w:val="00665BF1"/>
    <w:rsid w:val="00666242"/>
    <w:rsid w:val="00666C18"/>
    <w:rsid w:val="00667171"/>
    <w:rsid w:val="006671AE"/>
    <w:rsid w:val="006673E5"/>
    <w:rsid w:val="00667F88"/>
    <w:rsid w:val="006705D8"/>
    <w:rsid w:val="00670ED3"/>
    <w:rsid w:val="0067174B"/>
    <w:rsid w:val="0067299C"/>
    <w:rsid w:val="006745EE"/>
    <w:rsid w:val="0067645A"/>
    <w:rsid w:val="00676F7F"/>
    <w:rsid w:val="00676F83"/>
    <w:rsid w:val="006776BC"/>
    <w:rsid w:val="006800A7"/>
    <w:rsid w:val="0068085F"/>
    <w:rsid w:val="006809DE"/>
    <w:rsid w:val="0068144A"/>
    <w:rsid w:val="006826DE"/>
    <w:rsid w:val="006827C7"/>
    <w:rsid w:val="00682B3C"/>
    <w:rsid w:val="00683AE2"/>
    <w:rsid w:val="00683B81"/>
    <w:rsid w:val="00683DD8"/>
    <w:rsid w:val="00683EA1"/>
    <w:rsid w:val="00684155"/>
    <w:rsid w:val="00684387"/>
    <w:rsid w:val="00684C71"/>
    <w:rsid w:val="0068501E"/>
    <w:rsid w:val="006852F3"/>
    <w:rsid w:val="00685D48"/>
    <w:rsid w:val="00686D6F"/>
    <w:rsid w:val="00686E88"/>
    <w:rsid w:val="00687F14"/>
    <w:rsid w:val="0069048F"/>
    <w:rsid w:val="0069072F"/>
    <w:rsid w:val="00692088"/>
    <w:rsid w:val="00692160"/>
    <w:rsid w:val="00692892"/>
    <w:rsid w:val="00692AA2"/>
    <w:rsid w:val="00692AD4"/>
    <w:rsid w:val="00692D71"/>
    <w:rsid w:val="00694564"/>
    <w:rsid w:val="00694FA3"/>
    <w:rsid w:val="006965E2"/>
    <w:rsid w:val="006A0F6D"/>
    <w:rsid w:val="006A20FF"/>
    <w:rsid w:val="006A2794"/>
    <w:rsid w:val="006A461D"/>
    <w:rsid w:val="006A4F41"/>
    <w:rsid w:val="006A5189"/>
    <w:rsid w:val="006A52DE"/>
    <w:rsid w:val="006A76AD"/>
    <w:rsid w:val="006B045C"/>
    <w:rsid w:val="006B0627"/>
    <w:rsid w:val="006B1191"/>
    <w:rsid w:val="006B196A"/>
    <w:rsid w:val="006B30C1"/>
    <w:rsid w:val="006B394B"/>
    <w:rsid w:val="006B437F"/>
    <w:rsid w:val="006B5218"/>
    <w:rsid w:val="006B7192"/>
    <w:rsid w:val="006B72E7"/>
    <w:rsid w:val="006B7969"/>
    <w:rsid w:val="006C0371"/>
    <w:rsid w:val="006C0FB8"/>
    <w:rsid w:val="006C16BF"/>
    <w:rsid w:val="006C19CB"/>
    <w:rsid w:val="006C20A9"/>
    <w:rsid w:val="006C28A5"/>
    <w:rsid w:val="006C379A"/>
    <w:rsid w:val="006C414E"/>
    <w:rsid w:val="006C458C"/>
    <w:rsid w:val="006C4723"/>
    <w:rsid w:val="006C4DD7"/>
    <w:rsid w:val="006C59D6"/>
    <w:rsid w:val="006C629A"/>
    <w:rsid w:val="006C7BFA"/>
    <w:rsid w:val="006D065B"/>
    <w:rsid w:val="006D1109"/>
    <w:rsid w:val="006D2497"/>
    <w:rsid w:val="006D284E"/>
    <w:rsid w:val="006D2C8E"/>
    <w:rsid w:val="006D2CE3"/>
    <w:rsid w:val="006D37CC"/>
    <w:rsid w:val="006D4630"/>
    <w:rsid w:val="006D4E87"/>
    <w:rsid w:val="006D55A7"/>
    <w:rsid w:val="006D57D5"/>
    <w:rsid w:val="006D57E5"/>
    <w:rsid w:val="006D6638"/>
    <w:rsid w:val="006D68EF"/>
    <w:rsid w:val="006D6D68"/>
    <w:rsid w:val="006E021A"/>
    <w:rsid w:val="006E160B"/>
    <w:rsid w:val="006E2454"/>
    <w:rsid w:val="006E27E7"/>
    <w:rsid w:val="006E4158"/>
    <w:rsid w:val="006E4488"/>
    <w:rsid w:val="006E4517"/>
    <w:rsid w:val="006E53B5"/>
    <w:rsid w:val="006E5613"/>
    <w:rsid w:val="006E56E0"/>
    <w:rsid w:val="006E5A15"/>
    <w:rsid w:val="006E64E7"/>
    <w:rsid w:val="006E65AC"/>
    <w:rsid w:val="006F0164"/>
    <w:rsid w:val="006F0E63"/>
    <w:rsid w:val="006F14B1"/>
    <w:rsid w:val="006F1CC0"/>
    <w:rsid w:val="006F1D09"/>
    <w:rsid w:val="006F39D2"/>
    <w:rsid w:val="006F4163"/>
    <w:rsid w:val="006F418E"/>
    <w:rsid w:val="006F42DC"/>
    <w:rsid w:val="006F4883"/>
    <w:rsid w:val="006F4F18"/>
    <w:rsid w:val="006F5760"/>
    <w:rsid w:val="006F67BD"/>
    <w:rsid w:val="006F71F7"/>
    <w:rsid w:val="006F7C8C"/>
    <w:rsid w:val="007003F1"/>
    <w:rsid w:val="00701516"/>
    <w:rsid w:val="0070170C"/>
    <w:rsid w:val="00701C9F"/>
    <w:rsid w:val="00701D1B"/>
    <w:rsid w:val="0070245F"/>
    <w:rsid w:val="00703BB5"/>
    <w:rsid w:val="00703D54"/>
    <w:rsid w:val="00704FEA"/>
    <w:rsid w:val="007055E3"/>
    <w:rsid w:val="00706D75"/>
    <w:rsid w:val="00706EDB"/>
    <w:rsid w:val="00707772"/>
    <w:rsid w:val="00712232"/>
    <w:rsid w:val="00712647"/>
    <w:rsid w:val="00712D76"/>
    <w:rsid w:val="00713231"/>
    <w:rsid w:val="0071552B"/>
    <w:rsid w:val="00715810"/>
    <w:rsid w:val="0071583D"/>
    <w:rsid w:val="00716AF6"/>
    <w:rsid w:val="007210C8"/>
    <w:rsid w:val="00721B4E"/>
    <w:rsid w:val="00721F26"/>
    <w:rsid w:val="00722389"/>
    <w:rsid w:val="00722EE7"/>
    <w:rsid w:val="007237BA"/>
    <w:rsid w:val="00723CE1"/>
    <w:rsid w:val="0072426F"/>
    <w:rsid w:val="00724944"/>
    <w:rsid w:val="00725D13"/>
    <w:rsid w:val="00730960"/>
    <w:rsid w:val="0073336F"/>
    <w:rsid w:val="007342FC"/>
    <w:rsid w:val="00734664"/>
    <w:rsid w:val="00734C2A"/>
    <w:rsid w:val="0073539B"/>
    <w:rsid w:val="0073557D"/>
    <w:rsid w:val="00735D75"/>
    <w:rsid w:val="007363D6"/>
    <w:rsid w:val="00736755"/>
    <w:rsid w:val="00736BF6"/>
    <w:rsid w:val="00736D86"/>
    <w:rsid w:val="00737B82"/>
    <w:rsid w:val="00740A86"/>
    <w:rsid w:val="0074180B"/>
    <w:rsid w:val="0074246A"/>
    <w:rsid w:val="00742CE5"/>
    <w:rsid w:val="007432BB"/>
    <w:rsid w:val="007438E5"/>
    <w:rsid w:val="00743B97"/>
    <w:rsid w:val="00743F83"/>
    <w:rsid w:val="00744D6B"/>
    <w:rsid w:val="00745582"/>
    <w:rsid w:val="00746226"/>
    <w:rsid w:val="00746288"/>
    <w:rsid w:val="00747A46"/>
    <w:rsid w:val="007504AD"/>
    <w:rsid w:val="00750FB7"/>
    <w:rsid w:val="0075174F"/>
    <w:rsid w:val="007517EF"/>
    <w:rsid w:val="00752D7A"/>
    <w:rsid w:val="007532C2"/>
    <w:rsid w:val="00754189"/>
    <w:rsid w:val="007544A6"/>
    <w:rsid w:val="00755B41"/>
    <w:rsid w:val="007563F3"/>
    <w:rsid w:val="007564C2"/>
    <w:rsid w:val="00757C7B"/>
    <w:rsid w:val="00760313"/>
    <w:rsid w:val="00761C3F"/>
    <w:rsid w:val="007622E8"/>
    <w:rsid w:val="00764150"/>
    <w:rsid w:val="00764DC0"/>
    <w:rsid w:val="00767588"/>
    <w:rsid w:val="007704A6"/>
    <w:rsid w:val="00771231"/>
    <w:rsid w:val="007714FA"/>
    <w:rsid w:val="007720CA"/>
    <w:rsid w:val="00772528"/>
    <w:rsid w:val="007739BB"/>
    <w:rsid w:val="007743A1"/>
    <w:rsid w:val="00774C89"/>
    <w:rsid w:val="00774F45"/>
    <w:rsid w:val="00776916"/>
    <w:rsid w:val="00776A88"/>
    <w:rsid w:val="00777F52"/>
    <w:rsid w:val="007806E7"/>
    <w:rsid w:val="00780B3B"/>
    <w:rsid w:val="00780D72"/>
    <w:rsid w:val="0078101B"/>
    <w:rsid w:val="007819E1"/>
    <w:rsid w:val="00781CB5"/>
    <w:rsid w:val="00781F72"/>
    <w:rsid w:val="00782101"/>
    <w:rsid w:val="00782382"/>
    <w:rsid w:val="00783465"/>
    <w:rsid w:val="007838F9"/>
    <w:rsid w:val="00783986"/>
    <w:rsid w:val="00783AC3"/>
    <w:rsid w:val="00784240"/>
    <w:rsid w:val="0078667B"/>
    <w:rsid w:val="007866E0"/>
    <w:rsid w:val="007869EA"/>
    <w:rsid w:val="00786D07"/>
    <w:rsid w:val="00786F2B"/>
    <w:rsid w:val="00786FE3"/>
    <w:rsid w:val="00790ADE"/>
    <w:rsid w:val="00790DC5"/>
    <w:rsid w:val="00790FDF"/>
    <w:rsid w:val="00791265"/>
    <w:rsid w:val="007919FE"/>
    <w:rsid w:val="00792A7E"/>
    <w:rsid w:val="007932C0"/>
    <w:rsid w:val="00793682"/>
    <w:rsid w:val="00793BB6"/>
    <w:rsid w:val="007957B1"/>
    <w:rsid w:val="007966D7"/>
    <w:rsid w:val="007A0FC2"/>
    <w:rsid w:val="007A1E98"/>
    <w:rsid w:val="007A3B62"/>
    <w:rsid w:val="007A3F87"/>
    <w:rsid w:val="007A3FB0"/>
    <w:rsid w:val="007A4549"/>
    <w:rsid w:val="007A480D"/>
    <w:rsid w:val="007A48B2"/>
    <w:rsid w:val="007A5B82"/>
    <w:rsid w:val="007A71C9"/>
    <w:rsid w:val="007A7A72"/>
    <w:rsid w:val="007B22D7"/>
    <w:rsid w:val="007B25DE"/>
    <w:rsid w:val="007B2EE7"/>
    <w:rsid w:val="007B39CA"/>
    <w:rsid w:val="007B5236"/>
    <w:rsid w:val="007B5B1A"/>
    <w:rsid w:val="007B77CC"/>
    <w:rsid w:val="007B7F3D"/>
    <w:rsid w:val="007C0BDE"/>
    <w:rsid w:val="007C0BF2"/>
    <w:rsid w:val="007C16BC"/>
    <w:rsid w:val="007C1DE0"/>
    <w:rsid w:val="007C2FC8"/>
    <w:rsid w:val="007C37D5"/>
    <w:rsid w:val="007C44D9"/>
    <w:rsid w:val="007C5229"/>
    <w:rsid w:val="007C5394"/>
    <w:rsid w:val="007C5DB2"/>
    <w:rsid w:val="007C6CE2"/>
    <w:rsid w:val="007D010E"/>
    <w:rsid w:val="007D0261"/>
    <w:rsid w:val="007D04B9"/>
    <w:rsid w:val="007D117E"/>
    <w:rsid w:val="007D126D"/>
    <w:rsid w:val="007D2703"/>
    <w:rsid w:val="007D7589"/>
    <w:rsid w:val="007E0F54"/>
    <w:rsid w:val="007E13B6"/>
    <w:rsid w:val="007E27F5"/>
    <w:rsid w:val="007E280C"/>
    <w:rsid w:val="007E2BDE"/>
    <w:rsid w:val="007E3D2A"/>
    <w:rsid w:val="007E3EC4"/>
    <w:rsid w:val="007E412A"/>
    <w:rsid w:val="007E44EF"/>
    <w:rsid w:val="007E4773"/>
    <w:rsid w:val="007E5CEB"/>
    <w:rsid w:val="007E7613"/>
    <w:rsid w:val="007E772D"/>
    <w:rsid w:val="007E7B43"/>
    <w:rsid w:val="007F0132"/>
    <w:rsid w:val="007F117C"/>
    <w:rsid w:val="007F2503"/>
    <w:rsid w:val="007F2B9C"/>
    <w:rsid w:val="007F3B03"/>
    <w:rsid w:val="007F426A"/>
    <w:rsid w:val="007F4482"/>
    <w:rsid w:val="007F4F8F"/>
    <w:rsid w:val="007F5A93"/>
    <w:rsid w:val="007F5CA5"/>
    <w:rsid w:val="007F6DC7"/>
    <w:rsid w:val="007F719C"/>
    <w:rsid w:val="007F768C"/>
    <w:rsid w:val="008003AD"/>
    <w:rsid w:val="008003C8"/>
    <w:rsid w:val="0080092C"/>
    <w:rsid w:val="00800F72"/>
    <w:rsid w:val="00801335"/>
    <w:rsid w:val="00802103"/>
    <w:rsid w:val="00802395"/>
    <w:rsid w:val="00802575"/>
    <w:rsid w:val="00803465"/>
    <w:rsid w:val="0080365B"/>
    <w:rsid w:val="00803A6B"/>
    <w:rsid w:val="00805A78"/>
    <w:rsid w:val="00806C2E"/>
    <w:rsid w:val="008073B4"/>
    <w:rsid w:val="008077E0"/>
    <w:rsid w:val="0080786A"/>
    <w:rsid w:val="00810248"/>
    <w:rsid w:val="0081031A"/>
    <w:rsid w:val="00810535"/>
    <w:rsid w:val="00810A15"/>
    <w:rsid w:val="00810C6F"/>
    <w:rsid w:val="00811787"/>
    <w:rsid w:val="0081199C"/>
    <w:rsid w:val="008144A8"/>
    <w:rsid w:val="00814910"/>
    <w:rsid w:val="0081497D"/>
    <w:rsid w:val="00815292"/>
    <w:rsid w:val="00816396"/>
    <w:rsid w:val="00817082"/>
    <w:rsid w:val="0081765B"/>
    <w:rsid w:val="00820DD4"/>
    <w:rsid w:val="008215F4"/>
    <w:rsid w:val="00822D14"/>
    <w:rsid w:val="008231A5"/>
    <w:rsid w:val="00823A88"/>
    <w:rsid w:val="00824524"/>
    <w:rsid w:val="00824548"/>
    <w:rsid w:val="00824760"/>
    <w:rsid w:val="008261CD"/>
    <w:rsid w:val="008266F7"/>
    <w:rsid w:val="0082707F"/>
    <w:rsid w:val="008272E9"/>
    <w:rsid w:val="008272F8"/>
    <w:rsid w:val="00827389"/>
    <w:rsid w:val="008274C1"/>
    <w:rsid w:val="0082765A"/>
    <w:rsid w:val="00827E38"/>
    <w:rsid w:val="008307F0"/>
    <w:rsid w:val="00830FD4"/>
    <w:rsid w:val="008322EE"/>
    <w:rsid w:val="00832700"/>
    <w:rsid w:val="008336A6"/>
    <w:rsid w:val="0083403A"/>
    <w:rsid w:val="00834703"/>
    <w:rsid w:val="00834C2D"/>
    <w:rsid w:val="008354B2"/>
    <w:rsid w:val="008356BA"/>
    <w:rsid w:val="008358E8"/>
    <w:rsid w:val="00836DC2"/>
    <w:rsid w:val="008422EE"/>
    <w:rsid w:val="00843EB7"/>
    <w:rsid w:val="008442F8"/>
    <w:rsid w:val="008457EE"/>
    <w:rsid w:val="008458E5"/>
    <w:rsid w:val="00845CCA"/>
    <w:rsid w:val="00850565"/>
    <w:rsid w:val="008511B9"/>
    <w:rsid w:val="008512DF"/>
    <w:rsid w:val="00852240"/>
    <w:rsid w:val="00853BF4"/>
    <w:rsid w:val="00854D7E"/>
    <w:rsid w:val="00856DCF"/>
    <w:rsid w:val="00857225"/>
    <w:rsid w:val="0085750B"/>
    <w:rsid w:val="008576DF"/>
    <w:rsid w:val="00857F6B"/>
    <w:rsid w:val="00860333"/>
    <w:rsid w:val="00860671"/>
    <w:rsid w:val="00861AC2"/>
    <w:rsid w:val="00862681"/>
    <w:rsid w:val="00863902"/>
    <w:rsid w:val="00864E28"/>
    <w:rsid w:val="008650AE"/>
    <w:rsid w:val="008655B7"/>
    <w:rsid w:val="00865C2C"/>
    <w:rsid w:val="00865EDE"/>
    <w:rsid w:val="00866794"/>
    <w:rsid w:val="0086709B"/>
    <w:rsid w:val="00867907"/>
    <w:rsid w:val="00870B23"/>
    <w:rsid w:val="0087251B"/>
    <w:rsid w:val="00872CFF"/>
    <w:rsid w:val="0087519F"/>
    <w:rsid w:val="00875906"/>
    <w:rsid w:val="0087650F"/>
    <w:rsid w:val="008772A0"/>
    <w:rsid w:val="00877977"/>
    <w:rsid w:val="00880339"/>
    <w:rsid w:val="00880458"/>
    <w:rsid w:val="00880462"/>
    <w:rsid w:val="00880F5D"/>
    <w:rsid w:val="00880FF7"/>
    <w:rsid w:val="008814E4"/>
    <w:rsid w:val="00881AF1"/>
    <w:rsid w:val="00882021"/>
    <w:rsid w:val="00882908"/>
    <w:rsid w:val="00883F1E"/>
    <w:rsid w:val="0088401F"/>
    <w:rsid w:val="00886A59"/>
    <w:rsid w:val="00886EEE"/>
    <w:rsid w:val="008911D6"/>
    <w:rsid w:val="00892011"/>
    <w:rsid w:val="00892412"/>
    <w:rsid w:val="00892678"/>
    <w:rsid w:val="0089374B"/>
    <w:rsid w:val="00893C42"/>
    <w:rsid w:val="0089461B"/>
    <w:rsid w:val="00894827"/>
    <w:rsid w:val="008948B1"/>
    <w:rsid w:val="00896B06"/>
    <w:rsid w:val="00897C81"/>
    <w:rsid w:val="008A0424"/>
    <w:rsid w:val="008A10A1"/>
    <w:rsid w:val="008A12C1"/>
    <w:rsid w:val="008A1D80"/>
    <w:rsid w:val="008A215E"/>
    <w:rsid w:val="008A2806"/>
    <w:rsid w:val="008A2BBA"/>
    <w:rsid w:val="008A3289"/>
    <w:rsid w:val="008A3D32"/>
    <w:rsid w:val="008A40B4"/>
    <w:rsid w:val="008A4F22"/>
    <w:rsid w:val="008A50CB"/>
    <w:rsid w:val="008A5629"/>
    <w:rsid w:val="008A59A6"/>
    <w:rsid w:val="008A733E"/>
    <w:rsid w:val="008A73DC"/>
    <w:rsid w:val="008A7836"/>
    <w:rsid w:val="008B04C6"/>
    <w:rsid w:val="008B1664"/>
    <w:rsid w:val="008B1AE4"/>
    <w:rsid w:val="008B20C7"/>
    <w:rsid w:val="008B2FAF"/>
    <w:rsid w:val="008B5D32"/>
    <w:rsid w:val="008B6A21"/>
    <w:rsid w:val="008C004E"/>
    <w:rsid w:val="008C08A4"/>
    <w:rsid w:val="008C0FCC"/>
    <w:rsid w:val="008C1B1A"/>
    <w:rsid w:val="008C203F"/>
    <w:rsid w:val="008C2415"/>
    <w:rsid w:val="008C2DEF"/>
    <w:rsid w:val="008C3025"/>
    <w:rsid w:val="008C3787"/>
    <w:rsid w:val="008C3D14"/>
    <w:rsid w:val="008C5DA9"/>
    <w:rsid w:val="008C666C"/>
    <w:rsid w:val="008C6710"/>
    <w:rsid w:val="008C6E85"/>
    <w:rsid w:val="008D0658"/>
    <w:rsid w:val="008D0E4C"/>
    <w:rsid w:val="008D18C1"/>
    <w:rsid w:val="008D2711"/>
    <w:rsid w:val="008D3090"/>
    <w:rsid w:val="008D43B0"/>
    <w:rsid w:val="008D6937"/>
    <w:rsid w:val="008D799A"/>
    <w:rsid w:val="008D7CC0"/>
    <w:rsid w:val="008D7CDD"/>
    <w:rsid w:val="008E02A3"/>
    <w:rsid w:val="008E0364"/>
    <w:rsid w:val="008E0B20"/>
    <w:rsid w:val="008E232A"/>
    <w:rsid w:val="008E25B5"/>
    <w:rsid w:val="008E3253"/>
    <w:rsid w:val="008E32F8"/>
    <w:rsid w:val="008E335C"/>
    <w:rsid w:val="008E37F2"/>
    <w:rsid w:val="008E3CFE"/>
    <w:rsid w:val="008E440A"/>
    <w:rsid w:val="008E63EF"/>
    <w:rsid w:val="008E6A85"/>
    <w:rsid w:val="008E78C5"/>
    <w:rsid w:val="008E7C6A"/>
    <w:rsid w:val="008F0FFD"/>
    <w:rsid w:val="008F15A4"/>
    <w:rsid w:val="008F20DC"/>
    <w:rsid w:val="008F22E8"/>
    <w:rsid w:val="008F415A"/>
    <w:rsid w:val="008F7A29"/>
    <w:rsid w:val="008F7CC4"/>
    <w:rsid w:val="00900FDE"/>
    <w:rsid w:val="009020AC"/>
    <w:rsid w:val="00902886"/>
    <w:rsid w:val="0090365C"/>
    <w:rsid w:val="009041D3"/>
    <w:rsid w:val="00904405"/>
    <w:rsid w:val="009052C7"/>
    <w:rsid w:val="00905A92"/>
    <w:rsid w:val="0090784B"/>
    <w:rsid w:val="00907D4D"/>
    <w:rsid w:val="00907FEB"/>
    <w:rsid w:val="00910BE9"/>
    <w:rsid w:val="009133FB"/>
    <w:rsid w:val="00914C62"/>
    <w:rsid w:val="009168FA"/>
    <w:rsid w:val="00916973"/>
    <w:rsid w:val="00916C71"/>
    <w:rsid w:val="00921816"/>
    <w:rsid w:val="00922067"/>
    <w:rsid w:val="009229B6"/>
    <w:rsid w:val="00922E65"/>
    <w:rsid w:val="00923305"/>
    <w:rsid w:val="0092349B"/>
    <w:rsid w:val="009240DE"/>
    <w:rsid w:val="00924A36"/>
    <w:rsid w:val="00925A59"/>
    <w:rsid w:val="009264BF"/>
    <w:rsid w:val="00926507"/>
    <w:rsid w:val="00930358"/>
    <w:rsid w:val="009312E5"/>
    <w:rsid w:val="009318B0"/>
    <w:rsid w:val="00931BF9"/>
    <w:rsid w:val="00931C32"/>
    <w:rsid w:val="00933284"/>
    <w:rsid w:val="00933DB0"/>
    <w:rsid w:val="00935EE3"/>
    <w:rsid w:val="009361C0"/>
    <w:rsid w:val="00936BEA"/>
    <w:rsid w:val="00937640"/>
    <w:rsid w:val="00937C31"/>
    <w:rsid w:val="00940A0B"/>
    <w:rsid w:val="009410EC"/>
    <w:rsid w:val="00941CD3"/>
    <w:rsid w:val="0094296E"/>
    <w:rsid w:val="00942D67"/>
    <w:rsid w:val="00942F62"/>
    <w:rsid w:val="00942FE5"/>
    <w:rsid w:val="00943CB6"/>
    <w:rsid w:val="00944200"/>
    <w:rsid w:val="009443DF"/>
    <w:rsid w:val="009446CD"/>
    <w:rsid w:val="00945405"/>
    <w:rsid w:val="0094542E"/>
    <w:rsid w:val="009454FB"/>
    <w:rsid w:val="00945599"/>
    <w:rsid w:val="00946185"/>
    <w:rsid w:val="00946384"/>
    <w:rsid w:val="009471F5"/>
    <w:rsid w:val="00947763"/>
    <w:rsid w:val="00947A10"/>
    <w:rsid w:val="00947E59"/>
    <w:rsid w:val="00952325"/>
    <w:rsid w:val="009523B7"/>
    <w:rsid w:val="0095298A"/>
    <w:rsid w:val="009531F3"/>
    <w:rsid w:val="009536D8"/>
    <w:rsid w:val="0095394D"/>
    <w:rsid w:val="00953C49"/>
    <w:rsid w:val="009544DB"/>
    <w:rsid w:val="00954D60"/>
    <w:rsid w:val="00955F41"/>
    <w:rsid w:val="0095631A"/>
    <w:rsid w:val="009569AC"/>
    <w:rsid w:val="009569B9"/>
    <w:rsid w:val="009609BD"/>
    <w:rsid w:val="009610D1"/>
    <w:rsid w:val="0096132D"/>
    <w:rsid w:val="00961C80"/>
    <w:rsid w:val="00961FD6"/>
    <w:rsid w:val="009626E5"/>
    <w:rsid w:val="009629E5"/>
    <w:rsid w:val="009634A5"/>
    <w:rsid w:val="0096402D"/>
    <w:rsid w:val="00964421"/>
    <w:rsid w:val="00964A20"/>
    <w:rsid w:val="00964A97"/>
    <w:rsid w:val="00964DAF"/>
    <w:rsid w:val="0096683C"/>
    <w:rsid w:val="009672A4"/>
    <w:rsid w:val="00967AAF"/>
    <w:rsid w:val="00970652"/>
    <w:rsid w:val="00972515"/>
    <w:rsid w:val="009728E2"/>
    <w:rsid w:val="00974A88"/>
    <w:rsid w:val="00974BCD"/>
    <w:rsid w:val="00974D2C"/>
    <w:rsid w:val="0097550C"/>
    <w:rsid w:val="00975B33"/>
    <w:rsid w:val="00975B8D"/>
    <w:rsid w:val="0097669D"/>
    <w:rsid w:val="0097690B"/>
    <w:rsid w:val="00976D68"/>
    <w:rsid w:val="00980470"/>
    <w:rsid w:val="009817AE"/>
    <w:rsid w:val="00982DD8"/>
    <w:rsid w:val="0098327B"/>
    <w:rsid w:val="0098350A"/>
    <w:rsid w:val="0098420C"/>
    <w:rsid w:val="0098443B"/>
    <w:rsid w:val="00984B65"/>
    <w:rsid w:val="00985066"/>
    <w:rsid w:val="00985E2A"/>
    <w:rsid w:val="009864AA"/>
    <w:rsid w:val="00986673"/>
    <w:rsid w:val="00986ED6"/>
    <w:rsid w:val="009871A7"/>
    <w:rsid w:val="0099115D"/>
    <w:rsid w:val="00991C77"/>
    <w:rsid w:val="009934EB"/>
    <w:rsid w:val="00994949"/>
    <w:rsid w:val="00994C53"/>
    <w:rsid w:val="00995325"/>
    <w:rsid w:val="009955E6"/>
    <w:rsid w:val="009956C6"/>
    <w:rsid w:val="00995961"/>
    <w:rsid w:val="00995D22"/>
    <w:rsid w:val="00995FCC"/>
    <w:rsid w:val="009964AA"/>
    <w:rsid w:val="0099735C"/>
    <w:rsid w:val="0099767F"/>
    <w:rsid w:val="009A0F92"/>
    <w:rsid w:val="009A399F"/>
    <w:rsid w:val="009A4934"/>
    <w:rsid w:val="009A49AA"/>
    <w:rsid w:val="009A5471"/>
    <w:rsid w:val="009A5714"/>
    <w:rsid w:val="009A6DF3"/>
    <w:rsid w:val="009A748E"/>
    <w:rsid w:val="009A7690"/>
    <w:rsid w:val="009A7C4E"/>
    <w:rsid w:val="009A7DC4"/>
    <w:rsid w:val="009B0590"/>
    <w:rsid w:val="009B1501"/>
    <w:rsid w:val="009B1CAB"/>
    <w:rsid w:val="009B1FE1"/>
    <w:rsid w:val="009B2E47"/>
    <w:rsid w:val="009B33F9"/>
    <w:rsid w:val="009B36D1"/>
    <w:rsid w:val="009B3AB4"/>
    <w:rsid w:val="009B46B3"/>
    <w:rsid w:val="009B4C57"/>
    <w:rsid w:val="009B4D0E"/>
    <w:rsid w:val="009B4EF2"/>
    <w:rsid w:val="009B60F1"/>
    <w:rsid w:val="009B6195"/>
    <w:rsid w:val="009B7F2D"/>
    <w:rsid w:val="009C0134"/>
    <w:rsid w:val="009C14BF"/>
    <w:rsid w:val="009C1AC6"/>
    <w:rsid w:val="009C2F28"/>
    <w:rsid w:val="009C375B"/>
    <w:rsid w:val="009C4FF6"/>
    <w:rsid w:val="009C72F8"/>
    <w:rsid w:val="009C7546"/>
    <w:rsid w:val="009D0578"/>
    <w:rsid w:val="009D14AC"/>
    <w:rsid w:val="009D35D7"/>
    <w:rsid w:val="009D4118"/>
    <w:rsid w:val="009D412B"/>
    <w:rsid w:val="009D5393"/>
    <w:rsid w:val="009D629D"/>
    <w:rsid w:val="009D6C49"/>
    <w:rsid w:val="009D7853"/>
    <w:rsid w:val="009D7B1A"/>
    <w:rsid w:val="009E02D8"/>
    <w:rsid w:val="009E1910"/>
    <w:rsid w:val="009E1A28"/>
    <w:rsid w:val="009E2F44"/>
    <w:rsid w:val="009E4129"/>
    <w:rsid w:val="009E4BAC"/>
    <w:rsid w:val="009E4E5B"/>
    <w:rsid w:val="009E709E"/>
    <w:rsid w:val="009E71CE"/>
    <w:rsid w:val="009E76C0"/>
    <w:rsid w:val="009E7CC7"/>
    <w:rsid w:val="009F0F57"/>
    <w:rsid w:val="009F3195"/>
    <w:rsid w:val="009F4485"/>
    <w:rsid w:val="009F44C8"/>
    <w:rsid w:val="009F490F"/>
    <w:rsid w:val="009F5612"/>
    <w:rsid w:val="009F5E86"/>
    <w:rsid w:val="009F61CB"/>
    <w:rsid w:val="009F6DB3"/>
    <w:rsid w:val="009F79B9"/>
    <w:rsid w:val="009F7BBF"/>
    <w:rsid w:val="00A008AB"/>
    <w:rsid w:val="00A01022"/>
    <w:rsid w:val="00A01080"/>
    <w:rsid w:val="00A01116"/>
    <w:rsid w:val="00A04182"/>
    <w:rsid w:val="00A0422F"/>
    <w:rsid w:val="00A04287"/>
    <w:rsid w:val="00A04D91"/>
    <w:rsid w:val="00A064C2"/>
    <w:rsid w:val="00A06D14"/>
    <w:rsid w:val="00A07B57"/>
    <w:rsid w:val="00A07BBE"/>
    <w:rsid w:val="00A10206"/>
    <w:rsid w:val="00A1126B"/>
    <w:rsid w:val="00A112C7"/>
    <w:rsid w:val="00A11B30"/>
    <w:rsid w:val="00A11DA3"/>
    <w:rsid w:val="00A12DE4"/>
    <w:rsid w:val="00A131C4"/>
    <w:rsid w:val="00A133C6"/>
    <w:rsid w:val="00A133E5"/>
    <w:rsid w:val="00A13F58"/>
    <w:rsid w:val="00A2050F"/>
    <w:rsid w:val="00A20B48"/>
    <w:rsid w:val="00A20D83"/>
    <w:rsid w:val="00A21BC5"/>
    <w:rsid w:val="00A22352"/>
    <w:rsid w:val="00A22D69"/>
    <w:rsid w:val="00A234CD"/>
    <w:rsid w:val="00A24227"/>
    <w:rsid w:val="00A246B8"/>
    <w:rsid w:val="00A24F0D"/>
    <w:rsid w:val="00A2537C"/>
    <w:rsid w:val="00A25F52"/>
    <w:rsid w:val="00A27129"/>
    <w:rsid w:val="00A27331"/>
    <w:rsid w:val="00A27D9B"/>
    <w:rsid w:val="00A308DC"/>
    <w:rsid w:val="00A30A75"/>
    <w:rsid w:val="00A30ADE"/>
    <w:rsid w:val="00A31957"/>
    <w:rsid w:val="00A3204D"/>
    <w:rsid w:val="00A327D7"/>
    <w:rsid w:val="00A34025"/>
    <w:rsid w:val="00A3487B"/>
    <w:rsid w:val="00A35842"/>
    <w:rsid w:val="00A36249"/>
    <w:rsid w:val="00A36BEA"/>
    <w:rsid w:val="00A37904"/>
    <w:rsid w:val="00A41075"/>
    <w:rsid w:val="00A42690"/>
    <w:rsid w:val="00A42712"/>
    <w:rsid w:val="00A43C96"/>
    <w:rsid w:val="00A45CD6"/>
    <w:rsid w:val="00A47159"/>
    <w:rsid w:val="00A474CF"/>
    <w:rsid w:val="00A475C0"/>
    <w:rsid w:val="00A5024B"/>
    <w:rsid w:val="00A51808"/>
    <w:rsid w:val="00A5239F"/>
    <w:rsid w:val="00A5288C"/>
    <w:rsid w:val="00A52A5B"/>
    <w:rsid w:val="00A52B60"/>
    <w:rsid w:val="00A53EEA"/>
    <w:rsid w:val="00A5448B"/>
    <w:rsid w:val="00A5519C"/>
    <w:rsid w:val="00A55F67"/>
    <w:rsid w:val="00A56DA3"/>
    <w:rsid w:val="00A57207"/>
    <w:rsid w:val="00A611EF"/>
    <w:rsid w:val="00A62188"/>
    <w:rsid w:val="00A625CD"/>
    <w:rsid w:val="00A63642"/>
    <w:rsid w:val="00A637E4"/>
    <w:rsid w:val="00A638CE"/>
    <w:rsid w:val="00A63CDE"/>
    <w:rsid w:val="00A644F2"/>
    <w:rsid w:val="00A64747"/>
    <w:rsid w:val="00A652D3"/>
    <w:rsid w:val="00A65B45"/>
    <w:rsid w:val="00A6610E"/>
    <w:rsid w:val="00A661C5"/>
    <w:rsid w:val="00A70028"/>
    <w:rsid w:val="00A71C00"/>
    <w:rsid w:val="00A7271D"/>
    <w:rsid w:val="00A72A43"/>
    <w:rsid w:val="00A73D59"/>
    <w:rsid w:val="00A73E53"/>
    <w:rsid w:val="00A73F04"/>
    <w:rsid w:val="00A74F5E"/>
    <w:rsid w:val="00A750F0"/>
    <w:rsid w:val="00A7585E"/>
    <w:rsid w:val="00A76402"/>
    <w:rsid w:val="00A7790D"/>
    <w:rsid w:val="00A7791C"/>
    <w:rsid w:val="00A8033C"/>
    <w:rsid w:val="00A8103E"/>
    <w:rsid w:val="00A81261"/>
    <w:rsid w:val="00A82677"/>
    <w:rsid w:val="00A82BC3"/>
    <w:rsid w:val="00A83BD7"/>
    <w:rsid w:val="00A849E8"/>
    <w:rsid w:val="00A85C07"/>
    <w:rsid w:val="00A85E6E"/>
    <w:rsid w:val="00A86363"/>
    <w:rsid w:val="00A869A2"/>
    <w:rsid w:val="00A87093"/>
    <w:rsid w:val="00A870F4"/>
    <w:rsid w:val="00A874BD"/>
    <w:rsid w:val="00A874DB"/>
    <w:rsid w:val="00A879D7"/>
    <w:rsid w:val="00A903B3"/>
    <w:rsid w:val="00A915F7"/>
    <w:rsid w:val="00A933C6"/>
    <w:rsid w:val="00A94088"/>
    <w:rsid w:val="00A9415D"/>
    <w:rsid w:val="00A95E90"/>
    <w:rsid w:val="00A96593"/>
    <w:rsid w:val="00A97045"/>
    <w:rsid w:val="00A9722E"/>
    <w:rsid w:val="00AA022F"/>
    <w:rsid w:val="00AA0241"/>
    <w:rsid w:val="00AA138C"/>
    <w:rsid w:val="00AA1EAC"/>
    <w:rsid w:val="00AA22A1"/>
    <w:rsid w:val="00AA2568"/>
    <w:rsid w:val="00AA2599"/>
    <w:rsid w:val="00AA35C2"/>
    <w:rsid w:val="00AA3833"/>
    <w:rsid w:val="00AA3B52"/>
    <w:rsid w:val="00AA3DC3"/>
    <w:rsid w:val="00AA40B2"/>
    <w:rsid w:val="00AA4B5C"/>
    <w:rsid w:val="00AA55E7"/>
    <w:rsid w:val="00AA56B9"/>
    <w:rsid w:val="00AA5721"/>
    <w:rsid w:val="00AA5D2D"/>
    <w:rsid w:val="00AA61AD"/>
    <w:rsid w:val="00AA73B3"/>
    <w:rsid w:val="00AB15FD"/>
    <w:rsid w:val="00AB1E5A"/>
    <w:rsid w:val="00AB1F96"/>
    <w:rsid w:val="00AB26CF"/>
    <w:rsid w:val="00AB33D6"/>
    <w:rsid w:val="00AB3491"/>
    <w:rsid w:val="00AB36C9"/>
    <w:rsid w:val="00AB441F"/>
    <w:rsid w:val="00AB5AD4"/>
    <w:rsid w:val="00AB60C5"/>
    <w:rsid w:val="00AB60D4"/>
    <w:rsid w:val="00AB6A9D"/>
    <w:rsid w:val="00AB745E"/>
    <w:rsid w:val="00AC0042"/>
    <w:rsid w:val="00AC0113"/>
    <w:rsid w:val="00AC0505"/>
    <w:rsid w:val="00AC0E6B"/>
    <w:rsid w:val="00AC1E16"/>
    <w:rsid w:val="00AC2BE1"/>
    <w:rsid w:val="00AC3D05"/>
    <w:rsid w:val="00AC43EF"/>
    <w:rsid w:val="00AC44A6"/>
    <w:rsid w:val="00AC4B28"/>
    <w:rsid w:val="00AC52FC"/>
    <w:rsid w:val="00AC60C0"/>
    <w:rsid w:val="00AC75D9"/>
    <w:rsid w:val="00AC7804"/>
    <w:rsid w:val="00AC7E7E"/>
    <w:rsid w:val="00AD0865"/>
    <w:rsid w:val="00AD180E"/>
    <w:rsid w:val="00AD19EF"/>
    <w:rsid w:val="00AD3514"/>
    <w:rsid w:val="00AD375B"/>
    <w:rsid w:val="00AD46BD"/>
    <w:rsid w:val="00AD5A40"/>
    <w:rsid w:val="00AD5CE3"/>
    <w:rsid w:val="00AD6807"/>
    <w:rsid w:val="00AD7B12"/>
    <w:rsid w:val="00AE111F"/>
    <w:rsid w:val="00AE57D2"/>
    <w:rsid w:val="00AE6AAB"/>
    <w:rsid w:val="00AE6E11"/>
    <w:rsid w:val="00AE7211"/>
    <w:rsid w:val="00AE7800"/>
    <w:rsid w:val="00AF1257"/>
    <w:rsid w:val="00AF1E40"/>
    <w:rsid w:val="00AF2023"/>
    <w:rsid w:val="00AF33E1"/>
    <w:rsid w:val="00AF3F36"/>
    <w:rsid w:val="00AF3F7D"/>
    <w:rsid w:val="00AF3FC9"/>
    <w:rsid w:val="00AF4BEB"/>
    <w:rsid w:val="00AF4F4F"/>
    <w:rsid w:val="00AF592E"/>
    <w:rsid w:val="00AF63E0"/>
    <w:rsid w:val="00AF6A5F"/>
    <w:rsid w:val="00AF7A6B"/>
    <w:rsid w:val="00AF7FE1"/>
    <w:rsid w:val="00B0056E"/>
    <w:rsid w:val="00B00AE6"/>
    <w:rsid w:val="00B00FFD"/>
    <w:rsid w:val="00B01DF2"/>
    <w:rsid w:val="00B02654"/>
    <w:rsid w:val="00B0580A"/>
    <w:rsid w:val="00B060C0"/>
    <w:rsid w:val="00B0775C"/>
    <w:rsid w:val="00B1187E"/>
    <w:rsid w:val="00B1260F"/>
    <w:rsid w:val="00B12D33"/>
    <w:rsid w:val="00B144D4"/>
    <w:rsid w:val="00B1483D"/>
    <w:rsid w:val="00B14A3B"/>
    <w:rsid w:val="00B14E56"/>
    <w:rsid w:val="00B1569D"/>
    <w:rsid w:val="00B16728"/>
    <w:rsid w:val="00B168B3"/>
    <w:rsid w:val="00B16EB4"/>
    <w:rsid w:val="00B17333"/>
    <w:rsid w:val="00B17903"/>
    <w:rsid w:val="00B17D37"/>
    <w:rsid w:val="00B20F94"/>
    <w:rsid w:val="00B21584"/>
    <w:rsid w:val="00B216B5"/>
    <w:rsid w:val="00B21FA3"/>
    <w:rsid w:val="00B22985"/>
    <w:rsid w:val="00B23030"/>
    <w:rsid w:val="00B23698"/>
    <w:rsid w:val="00B2391C"/>
    <w:rsid w:val="00B23D1A"/>
    <w:rsid w:val="00B2475D"/>
    <w:rsid w:val="00B24B91"/>
    <w:rsid w:val="00B24FB1"/>
    <w:rsid w:val="00B25081"/>
    <w:rsid w:val="00B259BE"/>
    <w:rsid w:val="00B26060"/>
    <w:rsid w:val="00B27A75"/>
    <w:rsid w:val="00B30B56"/>
    <w:rsid w:val="00B3310F"/>
    <w:rsid w:val="00B33E43"/>
    <w:rsid w:val="00B34706"/>
    <w:rsid w:val="00B35437"/>
    <w:rsid w:val="00B35708"/>
    <w:rsid w:val="00B35DB0"/>
    <w:rsid w:val="00B35E55"/>
    <w:rsid w:val="00B365F9"/>
    <w:rsid w:val="00B36758"/>
    <w:rsid w:val="00B36950"/>
    <w:rsid w:val="00B37BA7"/>
    <w:rsid w:val="00B37DEE"/>
    <w:rsid w:val="00B41192"/>
    <w:rsid w:val="00B416D1"/>
    <w:rsid w:val="00B443E7"/>
    <w:rsid w:val="00B44E87"/>
    <w:rsid w:val="00B451BB"/>
    <w:rsid w:val="00B45FE9"/>
    <w:rsid w:val="00B46406"/>
    <w:rsid w:val="00B46615"/>
    <w:rsid w:val="00B466E6"/>
    <w:rsid w:val="00B46E7D"/>
    <w:rsid w:val="00B4729C"/>
    <w:rsid w:val="00B4787E"/>
    <w:rsid w:val="00B479F1"/>
    <w:rsid w:val="00B503F0"/>
    <w:rsid w:val="00B5085A"/>
    <w:rsid w:val="00B51043"/>
    <w:rsid w:val="00B52E4F"/>
    <w:rsid w:val="00B5445C"/>
    <w:rsid w:val="00B54C7F"/>
    <w:rsid w:val="00B54E61"/>
    <w:rsid w:val="00B551F4"/>
    <w:rsid w:val="00B55AF7"/>
    <w:rsid w:val="00B5656C"/>
    <w:rsid w:val="00B57E5D"/>
    <w:rsid w:val="00B600B9"/>
    <w:rsid w:val="00B600CE"/>
    <w:rsid w:val="00B618B0"/>
    <w:rsid w:val="00B626A3"/>
    <w:rsid w:val="00B63063"/>
    <w:rsid w:val="00B6316F"/>
    <w:rsid w:val="00B6381E"/>
    <w:rsid w:val="00B64297"/>
    <w:rsid w:val="00B64764"/>
    <w:rsid w:val="00B663AB"/>
    <w:rsid w:val="00B67349"/>
    <w:rsid w:val="00B673CC"/>
    <w:rsid w:val="00B674AF"/>
    <w:rsid w:val="00B7000B"/>
    <w:rsid w:val="00B71578"/>
    <w:rsid w:val="00B72982"/>
    <w:rsid w:val="00B72983"/>
    <w:rsid w:val="00B73C08"/>
    <w:rsid w:val="00B744E0"/>
    <w:rsid w:val="00B760CB"/>
    <w:rsid w:val="00B76A3C"/>
    <w:rsid w:val="00B76EB8"/>
    <w:rsid w:val="00B8207D"/>
    <w:rsid w:val="00B836E9"/>
    <w:rsid w:val="00B83A12"/>
    <w:rsid w:val="00B84198"/>
    <w:rsid w:val="00B8454B"/>
    <w:rsid w:val="00B84854"/>
    <w:rsid w:val="00B84956"/>
    <w:rsid w:val="00B84C69"/>
    <w:rsid w:val="00B84E5C"/>
    <w:rsid w:val="00B84FD9"/>
    <w:rsid w:val="00B85AC1"/>
    <w:rsid w:val="00B85D9D"/>
    <w:rsid w:val="00B86B09"/>
    <w:rsid w:val="00B8789E"/>
    <w:rsid w:val="00B87B35"/>
    <w:rsid w:val="00B905DF"/>
    <w:rsid w:val="00B90B0E"/>
    <w:rsid w:val="00B90DF3"/>
    <w:rsid w:val="00B91BB8"/>
    <w:rsid w:val="00B924A8"/>
    <w:rsid w:val="00B92868"/>
    <w:rsid w:val="00B93574"/>
    <w:rsid w:val="00B93BCD"/>
    <w:rsid w:val="00B96AC0"/>
    <w:rsid w:val="00B96ED5"/>
    <w:rsid w:val="00B96FB0"/>
    <w:rsid w:val="00B97018"/>
    <w:rsid w:val="00BA01DE"/>
    <w:rsid w:val="00BA04AA"/>
    <w:rsid w:val="00BA1B0E"/>
    <w:rsid w:val="00BA2BEA"/>
    <w:rsid w:val="00BA3CFE"/>
    <w:rsid w:val="00BA4529"/>
    <w:rsid w:val="00BA59E8"/>
    <w:rsid w:val="00BA7EEF"/>
    <w:rsid w:val="00BB0640"/>
    <w:rsid w:val="00BB1543"/>
    <w:rsid w:val="00BB1758"/>
    <w:rsid w:val="00BB1C7E"/>
    <w:rsid w:val="00BB1FC5"/>
    <w:rsid w:val="00BB20E1"/>
    <w:rsid w:val="00BB2766"/>
    <w:rsid w:val="00BB313A"/>
    <w:rsid w:val="00BB43D2"/>
    <w:rsid w:val="00BB48AF"/>
    <w:rsid w:val="00BB4F54"/>
    <w:rsid w:val="00BB5E36"/>
    <w:rsid w:val="00BB62B4"/>
    <w:rsid w:val="00BB63F8"/>
    <w:rsid w:val="00BB6CCC"/>
    <w:rsid w:val="00BC0648"/>
    <w:rsid w:val="00BC178A"/>
    <w:rsid w:val="00BC3218"/>
    <w:rsid w:val="00BC3CD4"/>
    <w:rsid w:val="00BC3F3A"/>
    <w:rsid w:val="00BC61F7"/>
    <w:rsid w:val="00BC7C9A"/>
    <w:rsid w:val="00BD3F96"/>
    <w:rsid w:val="00BD45BC"/>
    <w:rsid w:val="00BD463F"/>
    <w:rsid w:val="00BD5450"/>
    <w:rsid w:val="00BD5C80"/>
    <w:rsid w:val="00BD661F"/>
    <w:rsid w:val="00BD6801"/>
    <w:rsid w:val="00BD6B55"/>
    <w:rsid w:val="00BD6CC3"/>
    <w:rsid w:val="00BD71D4"/>
    <w:rsid w:val="00BD774A"/>
    <w:rsid w:val="00BE0146"/>
    <w:rsid w:val="00BE178E"/>
    <w:rsid w:val="00BE1C34"/>
    <w:rsid w:val="00BE2C7C"/>
    <w:rsid w:val="00BE3589"/>
    <w:rsid w:val="00BE56BD"/>
    <w:rsid w:val="00BE58EB"/>
    <w:rsid w:val="00BE5905"/>
    <w:rsid w:val="00BE59F8"/>
    <w:rsid w:val="00BE5A41"/>
    <w:rsid w:val="00BE5B23"/>
    <w:rsid w:val="00BE66DE"/>
    <w:rsid w:val="00BE6E7C"/>
    <w:rsid w:val="00BE6F0C"/>
    <w:rsid w:val="00BF0B5F"/>
    <w:rsid w:val="00BF0DE6"/>
    <w:rsid w:val="00BF1756"/>
    <w:rsid w:val="00BF2939"/>
    <w:rsid w:val="00BF3195"/>
    <w:rsid w:val="00BF46E9"/>
    <w:rsid w:val="00BF50E3"/>
    <w:rsid w:val="00BF6094"/>
    <w:rsid w:val="00BF65DE"/>
    <w:rsid w:val="00BF7402"/>
    <w:rsid w:val="00BF7558"/>
    <w:rsid w:val="00BF7837"/>
    <w:rsid w:val="00C04405"/>
    <w:rsid w:val="00C044C3"/>
    <w:rsid w:val="00C0696D"/>
    <w:rsid w:val="00C06B87"/>
    <w:rsid w:val="00C07174"/>
    <w:rsid w:val="00C07812"/>
    <w:rsid w:val="00C1060B"/>
    <w:rsid w:val="00C10932"/>
    <w:rsid w:val="00C10AD4"/>
    <w:rsid w:val="00C10FD7"/>
    <w:rsid w:val="00C11026"/>
    <w:rsid w:val="00C1123D"/>
    <w:rsid w:val="00C11419"/>
    <w:rsid w:val="00C1159D"/>
    <w:rsid w:val="00C119D7"/>
    <w:rsid w:val="00C11AD2"/>
    <w:rsid w:val="00C11C19"/>
    <w:rsid w:val="00C12BDF"/>
    <w:rsid w:val="00C13D13"/>
    <w:rsid w:val="00C13FE3"/>
    <w:rsid w:val="00C144A9"/>
    <w:rsid w:val="00C14555"/>
    <w:rsid w:val="00C15FB7"/>
    <w:rsid w:val="00C165C1"/>
    <w:rsid w:val="00C2279B"/>
    <w:rsid w:val="00C229EC"/>
    <w:rsid w:val="00C22DB8"/>
    <w:rsid w:val="00C23877"/>
    <w:rsid w:val="00C23A54"/>
    <w:rsid w:val="00C23BA1"/>
    <w:rsid w:val="00C23F7D"/>
    <w:rsid w:val="00C2457A"/>
    <w:rsid w:val="00C249F2"/>
    <w:rsid w:val="00C24C81"/>
    <w:rsid w:val="00C26075"/>
    <w:rsid w:val="00C2635F"/>
    <w:rsid w:val="00C27603"/>
    <w:rsid w:val="00C27756"/>
    <w:rsid w:val="00C27C10"/>
    <w:rsid w:val="00C309AC"/>
    <w:rsid w:val="00C30F4D"/>
    <w:rsid w:val="00C317DB"/>
    <w:rsid w:val="00C33B4C"/>
    <w:rsid w:val="00C3407E"/>
    <w:rsid w:val="00C34855"/>
    <w:rsid w:val="00C34CB3"/>
    <w:rsid w:val="00C35B84"/>
    <w:rsid w:val="00C3617D"/>
    <w:rsid w:val="00C37863"/>
    <w:rsid w:val="00C37BAC"/>
    <w:rsid w:val="00C42393"/>
    <w:rsid w:val="00C42DFB"/>
    <w:rsid w:val="00C43CA4"/>
    <w:rsid w:val="00C4491A"/>
    <w:rsid w:val="00C45E48"/>
    <w:rsid w:val="00C46A6B"/>
    <w:rsid w:val="00C47088"/>
    <w:rsid w:val="00C505A1"/>
    <w:rsid w:val="00C50C2E"/>
    <w:rsid w:val="00C50DF1"/>
    <w:rsid w:val="00C515A5"/>
    <w:rsid w:val="00C51661"/>
    <w:rsid w:val="00C51ECC"/>
    <w:rsid w:val="00C51F1D"/>
    <w:rsid w:val="00C51F71"/>
    <w:rsid w:val="00C5224F"/>
    <w:rsid w:val="00C5272A"/>
    <w:rsid w:val="00C53E2D"/>
    <w:rsid w:val="00C54590"/>
    <w:rsid w:val="00C549A4"/>
    <w:rsid w:val="00C54F68"/>
    <w:rsid w:val="00C55516"/>
    <w:rsid w:val="00C5611F"/>
    <w:rsid w:val="00C56B46"/>
    <w:rsid w:val="00C57C87"/>
    <w:rsid w:val="00C57EAB"/>
    <w:rsid w:val="00C60382"/>
    <w:rsid w:val="00C610E0"/>
    <w:rsid w:val="00C62172"/>
    <w:rsid w:val="00C62567"/>
    <w:rsid w:val="00C62625"/>
    <w:rsid w:val="00C6318C"/>
    <w:rsid w:val="00C65451"/>
    <w:rsid w:val="00C66ED3"/>
    <w:rsid w:val="00C67D7D"/>
    <w:rsid w:val="00C7119D"/>
    <w:rsid w:val="00C718FF"/>
    <w:rsid w:val="00C719BF"/>
    <w:rsid w:val="00C71ACD"/>
    <w:rsid w:val="00C721AA"/>
    <w:rsid w:val="00C72E52"/>
    <w:rsid w:val="00C730DD"/>
    <w:rsid w:val="00C746AC"/>
    <w:rsid w:val="00C74A9E"/>
    <w:rsid w:val="00C74EC7"/>
    <w:rsid w:val="00C756CB"/>
    <w:rsid w:val="00C760DE"/>
    <w:rsid w:val="00C762CC"/>
    <w:rsid w:val="00C76346"/>
    <w:rsid w:val="00C76983"/>
    <w:rsid w:val="00C76F24"/>
    <w:rsid w:val="00C77015"/>
    <w:rsid w:val="00C777AC"/>
    <w:rsid w:val="00C779A8"/>
    <w:rsid w:val="00C77D86"/>
    <w:rsid w:val="00C80067"/>
    <w:rsid w:val="00C81379"/>
    <w:rsid w:val="00C81D95"/>
    <w:rsid w:val="00C826D1"/>
    <w:rsid w:val="00C82FAF"/>
    <w:rsid w:val="00C831D8"/>
    <w:rsid w:val="00C841DF"/>
    <w:rsid w:val="00C8467E"/>
    <w:rsid w:val="00C85A9B"/>
    <w:rsid w:val="00C864C4"/>
    <w:rsid w:val="00C86FD7"/>
    <w:rsid w:val="00C877AF"/>
    <w:rsid w:val="00C907AF"/>
    <w:rsid w:val="00C90B71"/>
    <w:rsid w:val="00C92248"/>
    <w:rsid w:val="00C9421F"/>
    <w:rsid w:val="00C9448C"/>
    <w:rsid w:val="00C94AE2"/>
    <w:rsid w:val="00C96424"/>
    <w:rsid w:val="00C973C2"/>
    <w:rsid w:val="00CA0056"/>
    <w:rsid w:val="00CA0477"/>
    <w:rsid w:val="00CA08E6"/>
    <w:rsid w:val="00CA0C50"/>
    <w:rsid w:val="00CA1A5D"/>
    <w:rsid w:val="00CA1F6D"/>
    <w:rsid w:val="00CA1FDD"/>
    <w:rsid w:val="00CA2043"/>
    <w:rsid w:val="00CA2E18"/>
    <w:rsid w:val="00CA3677"/>
    <w:rsid w:val="00CA379F"/>
    <w:rsid w:val="00CA556A"/>
    <w:rsid w:val="00CA573F"/>
    <w:rsid w:val="00CA5900"/>
    <w:rsid w:val="00CA7648"/>
    <w:rsid w:val="00CA7BDE"/>
    <w:rsid w:val="00CB03BA"/>
    <w:rsid w:val="00CB045C"/>
    <w:rsid w:val="00CB0535"/>
    <w:rsid w:val="00CB0B30"/>
    <w:rsid w:val="00CB1E16"/>
    <w:rsid w:val="00CB27C5"/>
    <w:rsid w:val="00CB2B84"/>
    <w:rsid w:val="00CB4BCD"/>
    <w:rsid w:val="00CB5158"/>
    <w:rsid w:val="00CB5368"/>
    <w:rsid w:val="00CB6A7F"/>
    <w:rsid w:val="00CC0FB6"/>
    <w:rsid w:val="00CC1512"/>
    <w:rsid w:val="00CC1550"/>
    <w:rsid w:val="00CC1D98"/>
    <w:rsid w:val="00CC402B"/>
    <w:rsid w:val="00CC550F"/>
    <w:rsid w:val="00CC62A0"/>
    <w:rsid w:val="00CC6A18"/>
    <w:rsid w:val="00CC6B20"/>
    <w:rsid w:val="00CC6B59"/>
    <w:rsid w:val="00CC71C9"/>
    <w:rsid w:val="00CC73A3"/>
    <w:rsid w:val="00CC7C31"/>
    <w:rsid w:val="00CD06BC"/>
    <w:rsid w:val="00CD0F35"/>
    <w:rsid w:val="00CD1A09"/>
    <w:rsid w:val="00CD331A"/>
    <w:rsid w:val="00CD3F30"/>
    <w:rsid w:val="00CD4B9E"/>
    <w:rsid w:val="00CD5DA4"/>
    <w:rsid w:val="00CD5FF8"/>
    <w:rsid w:val="00CD606D"/>
    <w:rsid w:val="00CD687F"/>
    <w:rsid w:val="00CD6DA7"/>
    <w:rsid w:val="00CE0F92"/>
    <w:rsid w:val="00CE1014"/>
    <w:rsid w:val="00CE1A6F"/>
    <w:rsid w:val="00CE1AE1"/>
    <w:rsid w:val="00CE21BD"/>
    <w:rsid w:val="00CE340F"/>
    <w:rsid w:val="00CE351B"/>
    <w:rsid w:val="00CE400B"/>
    <w:rsid w:val="00CE510D"/>
    <w:rsid w:val="00CE5804"/>
    <w:rsid w:val="00CE6349"/>
    <w:rsid w:val="00CE66C0"/>
    <w:rsid w:val="00CE6D18"/>
    <w:rsid w:val="00CE6FF5"/>
    <w:rsid w:val="00CF06A5"/>
    <w:rsid w:val="00CF1190"/>
    <w:rsid w:val="00CF3CBE"/>
    <w:rsid w:val="00CF419C"/>
    <w:rsid w:val="00CF5399"/>
    <w:rsid w:val="00CF6C42"/>
    <w:rsid w:val="00CF7388"/>
    <w:rsid w:val="00CF7BD0"/>
    <w:rsid w:val="00D00873"/>
    <w:rsid w:val="00D02C3A"/>
    <w:rsid w:val="00D036D2"/>
    <w:rsid w:val="00D0470C"/>
    <w:rsid w:val="00D049C5"/>
    <w:rsid w:val="00D056C9"/>
    <w:rsid w:val="00D05DBE"/>
    <w:rsid w:val="00D07173"/>
    <w:rsid w:val="00D10380"/>
    <w:rsid w:val="00D118F6"/>
    <w:rsid w:val="00D11DD1"/>
    <w:rsid w:val="00D12476"/>
    <w:rsid w:val="00D1424E"/>
    <w:rsid w:val="00D14F65"/>
    <w:rsid w:val="00D176D9"/>
    <w:rsid w:val="00D20349"/>
    <w:rsid w:val="00D21188"/>
    <w:rsid w:val="00D2244D"/>
    <w:rsid w:val="00D228B3"/>
    <w:rsid w:val="00D23747"/>
    <w:rsid w:val="00D238DD"/>
    <w:rsid w:val="00D24789"/>
    <w:rsid w:val="00D24E4E"/>
    <w:rsid w:val="00D25B98"/>
    <w:rsid w:val="00D25D62"/>
    <w:rsid w:val="00D26CEF"/>
    <w:rsid w:val="00D30C87"/>
    <w:rsid w:val="00D32803"/>
    <w:rsid w:val="00D33B05"/>
    <w:rsid w:val="00D33F7C"/>
    <w:rsid w:val="00D341EF"/>
    <w:rsid w:val="00D345D9"/>
    <w:rsid w:val="00D34D90"/>
    <w:rsid w:val="00D34EDF"/>
    <w:rsid w:val="00D355D0"/>
    <w:rsid w:val="00D36A3A"/>
    <w:rsid w:val="00D36C51"/>
    <w:rsid w:val="00D37C21"/>
    <w:rsid w:val="00D37E60"/>
    <w:rsid w:val="00D407F2"/>
    <w:rsid w:val="00D41749"/>
    <w:rsid w:val="00D41ADC"/>
    <w:rsid w:val="00D42D0B"/>
    <w:rsid w:val="00D43D63"/>
    <w:rsid w:val="00D4412A"/>
    <w:rsid w:val="00D4489A"/>
    <w:rsid w:val="00D45116"/>
    <w:rsid w:val="00D46435"/>
    <w:rsid w:val="00D47CD5"/>
    <w:rsid w:val="00D47E38"/>
    <w:rsid w:val="00D501D1"/>
    <w:rsid w:val="00D501F4"/>
    <w:rsid w:val="00D523AF"/>
    <w:rsid w:val="00D526C1"/>
    <w:rsid w:val="00D546E2"/>
    <w:rsid w:val="00D55237"/>
    <w:rsid w:val="00D55544"/>
    <w:rsid w:val="00D557C3"/>
    <w:rsid w:val="00D56924"/>
    <w:rsid w:val="00D57106"/>
    <w:rsid w:val="00D6015C"/>
    <w:rsid w:val="00D60D58"/>
    <w:rsid w:val="00D613A4"/>
    <w:rsid w:val="00D6210D"/>
    <w:rsid w:val="00D63998"/>
    <w:rsid w:val="00D6411B"/>
    <w:rsid w:val="00D6459C"/>
    <w:rsid w:val="00D65106"/>
    <w:rsid w:val="00D6512A"/>
    <w:rsid w:val="00D65483"/>
    <w:rsid w:val="00D66694"/>
    <w:rsid w:val="00D67FAD"/>
    <w:rsid w:val="00D702F5"/>
    <w:rsid w:val="00D7091C"/>
    <w:rsid w:val="00D71550"/>
    <w:rsid w:val="00D7173F"/>
    <w:rsid w:val="00D720BD"/>
    <w:rsid w:val="00D721B1"/>
    <w:rsid w:val="00D722AE"/>
    <w:rsid w:val="00D72854"/>
    <w:rsid w:val="00D73300"/>
    <w:rsid w:val="00D733D4"/>
    <w:rsid w:val="00D739D2"/>
    <w:rsid w:val="00D73AC2"/>
    <w:rsid w:val="00D76794"/>
    <w:rsid w:val="00D77980"/>
    <w:rsid w:val="00D80EFA"/>
    <w:rsid w:val="00D81D90"/>
    <w:rsid w:val="00D82292"/>
    <w:rsid w:val="00D824AF"/>
    <w:rsid w:val="00D82ED6"/>
    <w:rsid w:val="00D8557C"/>
    <w:rsid w:val="00D85E54"/>
    <w:rsid w:val="00D86531"/>
    <w:rsid w:val="00D870EC"/>
    <w:rsid w:val="00D87218"/>
    <w:rsid w:val="00D906C1"/>
    <w:rsid w:val="00D90B81"/>
    <w:rsid w:val="00D91146"/>
    <w:rsid w:val="00D914E7"/>
    <w:rsid w:val="00D92062"/>
    <w:rsid w:val="00D92126"/>
    <w:rsid w:val="00D929D2"/>
    <w:rsid w:val="00D93178"/>
    <w:rsid w:val="00D936BA"/>
    <w:rsid w:val="00D937BE"/>
    <w:rsid w:val="00D93AC8"/>
    <w:rsid w:val="00D946A1"/>
    <w:rsid w:val="00D95262"/>
    <w:rsid w:val="00D95667"/>
    <w:rsid w:val="00D95C85"/>
    <w:rsid w:val="00D96721"/>
    <w:rsid w:val="00D97214"/>
    <w:rsid w:val="00DA1614"/>
    <w:rsid w:val="00DA2DCD"/>
    <w:rsid w:val="00DA31AD"/>
    <w:rsid w:val="00DA4C6A"/>
    <w:rsid w:val="00DA59C5"/>
    <w:rsid w:val="00DA5FF8"/>
    <w:rsid w:val="00DA6149"/>
    <w:rsid w:val="00DA7C00"/>
    <w:rsid w:val="00DB1513"/>
    <w:rsid w:val="00DB1C89"/>
    <w:rsid w:val="00DB22ED"/>
    <w:rsid w:val="00DB23B8"/>
    <w:rsid w:val="00DB43BD"/>
    <w:rsid w:val="00DB5CD9"/>
    <w:rsid w:val="00DB5D9C"/>
    <w:rsid w:val="00DB700B"/>
    <w:rsid w:val="00DB774D"/>
    <w:rsid w:val="00DB7F1D"/>
    <w:rsid w:val="00DC1068"/>
    <w:rsid w:val="00DC2344"/>
    <w:rsid w:val="00DC2878"/>
    <w:rsid w:val="00DC3064"/>
    <w:rsid w:val="00DC349B"/>
    <w:rsid w:val="00DC3D69"/>
    <w:rsid w:val="00DC4FD5"/>
    <w:rsid w:val="00DC5724"/>
    <w:rsid w:val="00DC6321"/>
    <w:rsid w:val="00DC7215"/>
    <w:rsid w:val="00DC728C"/>
    <w:rsid w:val="00DC7C07"/>
    <w:rsid w:val="00DD078D"/>
    <w:rsid w:val="00DD17FF"/>
    <w:rsid w:val="00DD1FAD"/>
    <w:rsid w:val="00DD309B"/>
    <w:rsid w:val="00DD3399"/>
    <w:rsid w:val="00DD3DDA"/>
    <w:rsid w:val="00DD45BE"/>
    <w:rsid w:val="00DD4D2F"/>
    <w:rsid w:val="00DD4DF2"/>
    <w:rsid w:val="00DD636B"/>
    <w:rsid w:val="00DD6E64"/>
    <w:rsid w:val="00DD7A0B"/>
    <w:rsid w:val="00DE0282"/>
    <w:rsid w:val="00DE0A49"/>
    <w:rsid w:val="00DE0E6A"/>
    <w:rsid w:val="00DE1790"/>
    <w:rsid w:val="00DE1B47"/>
    <w:rsid w:val="00DE2E11"/>
    <w:rsid w:val="00DE3A0A"/>
    <w:rsid w:val="00DE453C"/>
    <w:rsid w:val="00DE54AD"/>
    <w:rsid w:val="00DE615A"/>
    <w:rsid w:val="00DE617D"/>
    <w:rsid w:val="00DE629F"/>
    <w:rsid w:val="00DE66A7"/>
    <w:rsid w:val="00DE7616"/>
    <w:rsid w:val="00DE7F6F"/>
    <w:rsid w:val="00DF18AF"/>
    <w:rsid w:val="00DF2905"/>
    <w:rsid w:val="00DF2E98"/>
    <w:rsid w:val="00DF3C18"/>
    <w:rsid w:val="00DF4029"/>
    <w:rsid w:val="00DF49B7"/>
    <w:rsid w:val="00DF65D2"/>
    <w:rsid w:val="00DF6B60"/>
    <w:rsid w:val="00E00D87"/>
    <w:rsid w:val="00E00DE0"/>
    <w:rsid w:val="00E020BE"/>
    <w:rsid w:val="00E02D17"/>
    <w:rsid w:val="00E0548C"/>
    <w:rsid w:val="00E066DC"/>
    <w:rsid w:val="00E06CBC"/>
    <w:rsid w:val="00E073CE"/>
    <w:rsid w:val="00E11105"/>
    <w:rsid w:val="00E12484"/>
    <w:rsid w:val="00E12650"/>
    <w:rsid w:val="00E1298E"/>
    <w:rsid w:val="00E12B98"/>
    <w:rsid w:val="00E12D63"/>
    <w:rsid w:val="00E14361"/>
    <w:rsid w:val="00E144E0"/>
    <w:rsid w:val="00E14ABC"/>
    <w:rsid w:val="00E15580"/>
    <w:rsid w:val="00E15BA7"/>
    <w:rsid w:val="00E164C4"/>
    <w:rsid w:val="00E167C3"/>
    <w:rsid w:val="00E16824"/>
    <w:rsid w:val="00E1708B"/>
    <w:rsid w:val="00E17C18"/>
    <w:rsid w:val="00E20FCE"/>
    <w:rsid w:val="00E2182E"/>
    <w:rsid w:val="00E21867"/>
    <w:rsid w:val="00E22FA1"/>
    <w:rsid w:val="00E25003"/>
    <w:rsid w:val="00E2542F"/>
    <w:rsid w:val="00E260EF"/>
    <w:rsid w:val="00E26219"/>
    <w:rsid w:val="00E27E40"/>
    <w:rsid w:val="00E30502"/>
    <w:rsid w:val="00E30779"/>
    <w:rsid w:val="00E309DC"/>
    <w:rsid w:val="00E323DE"/>
    <w:rsid w:val="00E33AA7"/>
    <w:rsid w:val="00E34FE4"/>
    <w:rsid w:val="00E3737F"/>
    <w:rsid w:val="00E37D8A"/>
    <w:rsid w:val="00E4045A"/>
    <w:rsid w:val="00E40482"/>
    <w:rsid w:val="00E40D7D"/>
    <w:rsid w:val="00E40F75"/>
    <w:rsid w:val="00E415F7"/>
    <w:rsid w:val="00E42290"/>
    <w:rsid w:val="00E44D3B"/>
    <w:rsid w:val="00E44E94"/>
    <w:rsid w:val="00E46069"/>
    <w:rsid w:val="00E47548"/>
    <w:rsid w:val="00E47AFB"/>
    <w:rsid w:val="00E5339A"/>
    <w:rsid w:val="00E551D3"/>
    <w:rsid w:val="00E5551A"/>
    <w:rsid w:val="00E575B4"/>
    <w:rsid w:val="00E60720"/>
    <w:rsid w:val="00E61FAD"/>
    <w:rsid w:val="00E623A5"/>
    <w:rsid w:val="00E63758"/>
    <w:rsid w:val="00E63BDE"/>
    <w:rsid w:val="00E64A2A"/>
    <w:rsid w:val="00E64A78"/>
    <w:rsid w:val="00E66184"/>
    <w:rsid w:val="00E67157"/>
    <w:rsid w:val="00E671BA"/>
    <w:rsid w:val="00E70D4C"/>
    <w:rsid w:val="00E711C7"/>
    <w:rsid w:val="00E7156A"/>
    <w:rsid w:val="00E7161B"/>
    <w:rsid w:val="00E7236E"/>
    <w:rsid w:val="00E736DE"/>
    <w:rsid w:val="00E73937"/>
    <w:rsid w:val="00E73E14"/>
    <w:rsid w:val="00E743F2"/>
    <w:rsid w:val="00E745AC"/>
    <w:rsid w:val="00E7480B"/>
    <w:rsid w:val="00E76077"/>
    <w:rsid w:val="00E76C11"/>
    <w:rsid w:val="00E76EEE"/>
    <w:rsid w:val="00E7764E"/>
    <w:rsid w:val="00E77DAB"/>
    <w:rsid w:val="00E81C53"/>
    <w:rsid w:val="00E81F0F"/>
    <w:rsid w:val="00E8469E"/>
    <w:rsid w:val="00E84ABC"/>
    <w:rsid w:val="00E86B5E"/>
    <w:rsid w:val="00E8775C"/>
    <w:rsid w:val="00E87ECF"/>
    <w:rsid w:val="00E912BE"/>
    <w:rsid w:val="00E91A97"/>
    <w:rsid w:val="00E91E32"/>
    <w:rsid w:val="00E921EB"/>
    <w:rsid w:val="00E926F1"/>
    <w:rsid w:val="00E92AAE"/>
    <w:rsid w:val="00E92E6B"/>
    <w:rsid w:val="00E930D4"/>
    <w:rsid w:val="00E93ACA"/>
    <w:rsid w:val="00E9541C"/>
    <w:rsid w:val="00E96B8D"/>
    <w:rsid w:val="00E96DC5"/>
    <w:rsid w:val="00E96DFB"/>
    <w:rsid w:val="00E9779A"/>
    <w:rsid w:val="00EA05B2"/>
    <w:rsid w:val="00EA070F"/>
    <w:rsid w:val="00EA1EFA"/>
    <w:rsid w:val="00EA2B3A"/>
    <w:rsid w:val="00EA349B"/>
    <w:rsid w:val="00EA361E"/>
    <w:rsid w:val="00EA3755"/>
    <w:rsid w:val="00EA391E"/>
    <w:rsid w:val="00EA3C52"/>
    <w:rsid w:val="00EA44C7"/>
    <w:rsid w:val="00EA456E"/>
    <w:rsid w:val="00EA55BA"/>
    <w:rsid w:val="00EA56A6"/>
    <w:rsid w:val="00EA63D4"/>
    <w:rsid w:val="00EA6D48"/>
    <w:rsid w:val="00EA7178"/>
    <w:rsid w:val="00EA72B7"/>
    <w:rsid w:val="00EA7669"/>
    <w:rsid w:val="00EA7708"/>
    <w:rsid w:val="00EB1F99"/>
    <w:rsid w:val="00EB2008"/>
    <w:rsid w:val="00EB3D6B"/>
    <w:rsid w:val="00EB3DED"/>
    <w:rsid w:val="00EB4576"/>
    <w:rsid w:val="00EB4904"/>
    <w:rsid w:val="00EB4A6B"/>
    <w:rsid w:val="00EB4FF2"/>
    <w:rsid w:val="00EB5F24"/>
    <w:rsid w:val="00EB6B04"/>
    <w:rsid w:val="00EB6D89"/>
    <w:rsid w:val="00EB6EF1"/>
    <w:rsid w:val="00EB71D0"/>
    <w:rsid w:val="00EB7AB7"/>
    <w:rsid w:val="00EB7CBC"/>
    <w:rsid w:val="00EC0AD3"/>
    <w:rsid w:val="00EC1547"/>
    <w:rsid w:val="00EC1B24"/>
    <w:rsid w:val="00EC2CC7"/>
    <w:rsid w:val="00EC33D2"/>
    <w:rsid w:val="00EC3656"/>
    <w:rsid w:val="00EC4181"/>
    <w:rsid w:val="00EC4C34"/>
    <w:rsid w:val="00EC5322"/>
    <w:rsid w:val="00EC54E1"/>
    <w:rsid w:val="00EC649C"/>
    <w:rsid w:val="00ED1C1A"/>
    <w:rsid w:val="00ED1D0E"/>
    <w:rsid w:val="00ED2647"/>
    <w:rsid w:val="00ED488B"/>
    <w:rsid w:val="00ED49F9"/>
    <w:rsid w:val="00ED4B38"/>
    <w:rsid w:val="00ED4B60"/>
    <w:rsid w:val="00ED4DB5"/>
    <w:rsid w:val="00ED4EBE"/>
    <w:rsid w:val="00ED565F"/>
    <w:rsid w:val="00ED72B8"/>
    <w:rsid w:val="00EE0550"/>
    <w:rsid w:val="00EE07F4"/>
    <w:rsid w:val="00EE19C9"/>
    <w:rsid w:val="00EE1C8E"/>
    <w:rsid w:val="00EE2B41"/>
    <w:rsid w:val="00EE339B"/>
    <w:rsid w:val="00EE3D04"/>
    <w:rsid w:val="00EE4365"/>
    <w:rsid w:val="00EE5065"/>
    <w:rsid w:val="00EE5494"/>
    <w:rsid w:val="00EE54E4"/>
    <w:rsid w:val="00EE5E18"/>
    <w:rsid w:val="00EE5EFF"/>
    <w:rsid w:val="00EE6743"/>
    <w:rsid w:val="00EE67B7"/>
    <w:rsid w:val="00EE6943"/>
    <w:rsid w:val="00EE6FF1"/>
    <w:rsid w:val="00EF2184"/>
    <w:rsid w:val="00EF421B"/>
    <w:rsid w:val="00EF5650"/>
    <w:rsid w:val="00EF60FC"/>
    <w:rsid w:val="00EF7B76"/>
    <w:rsid w:val="00F012E2"/>
    <w:rsid w:val="00F01637"/>
    <w:rsid w:val="00F01C0C"/>
    <w:rsid w:val="00F028ED"/>
    <w:rsid w:val="00F032D3"/>
    <w:rsid w:val="00F0674A"/>
    <w:rsid w:val="00F06B40"/>
    <w:rsid w:val="00F0797A"/>
    <w:rsid w:val="00F07E84"/>
    <w:rsid w:val="00F10E0E"/>
    <w:rsid w:val="00F10EA3"/>
    <w:rsid w:val="00F11B44"/>
    <w:rsid w:val="00F11F37"/>
    <w:rsid w:val="00F120C3"/>
    <w:rsid w:val="00F12753"/>
    <w:rsid w:val="00F14D95"/>
    <w:rsid w:val="00F153FB"/>
    <w:rsid w:val="00F16084"/>
    <w:rsid w:val="00F173CB"/>
    <w:rsid w:val="00F1752B"/>
    <w:rsid w:val="00F17D1A"/>
    <w:rsid w:val="00F20CC6"/>
    <w:rsid w:val="00F22155"/>
    <w:rsid w:val="00F22226"/>
    <w:rsid w:val="00F24563"/>
    <w:rsid w:val="00F25202"/>
    <w:rsid w:val="00F26332"/>
    <w:rsid w:val="00F26E9D"/>
    <w:rsid w:val="00F3091B"/>
    <w:rsid w:val="00F322A0"/>
    <w:rsid w:val="00F32487"/>
    <w:rsid w:val="00F326E1"/>
    <w:rsid w:val="00F32B4F"/>
    <w:rsid w:val="00F33CE5"/>
    <w:rsid w:val="00F36792"/>
    <w:rsid w:val="00F37C6F"/>
    <w:rsid w:val="00F4088E"/>
    <w:rsid w:val="00F40BF4"/>
    <w:rsid w:val="00F40CCC"/>
    <w:rsid w:val="00F41260"/>
    <w:rsid w:val="00F41E00"/>
    <w:rsid w:val="00F426AB"/>
    <w:rsid w:val="00F42856"/>
    <w:rsid w:val="00F45BD1"/>
    <w:rsid w:val="00F46484"/>
    <w:rsid w:val="00F468B4"/>
    <w:rsid w:val="00F46A96"/>
    <w:rsid w:val="00F479FA"/>
    <w:rsid w:val="00F47A94"/>
    <w:rsid w:val="00F5052F"/>
    <w:rsid w:val="00F52314"/>
    <w:rsid w:val="00F5240F"/>
    <w:rsid w:val="00F53180"/>
    <w:rsid w:val="00F53376"/>
    <w:rsid w:val="00F560FC"/>
    <w:rsid w:val="00F56C7A"/>
    <w:rsid w:val="00F577B6"/>
    <w:rsid w:val="00F579C2"/>
    <w:rsid w:val="00F57F15"/>
    <w:rsid w:val="00F60544"/>
    <w:rsid w:val="00F607A3"/>
    <w:rsid w:val="00F61CEC"/>
    <w:rsid w:val="00F666A2"/>
    <w:rsid w:val="00F670CB"/>
    <w:rsid w:val="00F71CE9"/>
    <w:rsid w:val="00F72146"/>
    <w:rsid w:val="00F72830"/>
    <w:rsid w:val="00F72FBA"/>
    <w:rsid w:val="00F73DFC"/>
    <w:rsid w:val="00F74916"/>
    <w:rsid w:val="00F74D3F"/>
    <w:rsid w:val="00F75633"/>
    <w:rsid w:val="00F770B4"/>
    <w:rsid w:val="00F77885"/>
    <w:rsid w:val="00F77B72"/>
    <w:rsid w:val="00F77D52"/>
    <w:rsid w:val="00F8121E"/>
    <w:rsid w:val="00F812C8"/>
    <w:rsid w:val="00F81457"/>
    <w:rsid w:val="00F81D8D"/>
    <w:rsid w:val="00F81F82"/>
    <w:rsid w:val="00F826F8"/>
    <w:rsid w:val="00F83910"/>
    <w:rsid w:val="00F840AD"/>
    <w:rsid w:val="00F84B29"/>
    <w:rsid w:val="00F861A4"/>
    <w:rsid w:val="00F86CEB"/>
    <w:rsid w:val="00F87C35"/>
    <w:rsid w:val="00F87F67"/>
    <w:rsid w:val="00F90267"/>
    <w:rsid w:val="00F91276"/>
    <w:rsid w:val="00F9135F"/>
    <w:rsid w:val="00F91A89"/>
    <w:rsid w:val="00F91E0C"/>
    <w:rsid w:val="00F937D4"/>
    <w:rsid w:val="00F9393E"/>
    <w:rsid w:val="00F93C82"/>
    <w:rsid w:val="00F944D0"/>
    <w:rsid w:val="00F952BD"/>
    <w:rsid w:val="00F95D01"/>
    <w:rsid w:val="00F95DFF"/>
    <w:rsid w:val="00FA0683"/>
    <w:rsid w:val="00FA0F68"/>
    <w:rsid w:val="00FA1B6B"/>
    <w:rsid w:val="00FA1ED7"/>
    <w:rsid w:val="00FA2B6B"/>
    <w:rsid w:val="00FA2B6E"/>
    <w:rsid w:val="00FA2F20"/>
    <w:rsid w:val="00FA3374"/>
    <w:rsid w:val="00FA3E11"/>
    <w:rsid w:val="00FA4EAD"/>
    <w:rsid w:val="00FA7D90"/>
    <w:rsid w:val="00FA7D97"/>
    <w:rsid w:val="00FB042D"/>
    <w:rsid w:val="00FB07DC"/>
    <w:rsid w:val="00FB27A9"/>
    <w:rsid w:val="00FB35A0"/>
    <w:rsid w:val="00FB4320"/>
    <w:rsid w:val="00FB533D"/>
    <w:rsid w:val="00FB585E"/>
    <w:rsid w:val="00FB6725"/>
    <w:rsid w:val="00FB6A22"/>
    <w:rsid w:val="00FB7A5A"/>
    <w:rsid w:val="00FC0C0D"/>
    <w:rsid w:val="00FC11A1"/>
    <w:rsid w:val="00FC1858"/>
    <w:rsid w:val="00FC19A3"/>
    <w:rsid w:val="00FC3D0C"/>
    <w:rsid w:val="00FC3DD1"/>
    <w:rsid w:val="00FC580D"/>
    <w:rsid w:val="00FD10CF"/>
    <w:rsid w:val="00FD12B0"/>
    <w:rsid w:val="00FD1B8F"/>
    <w:rsid w:val="00FD2E3E"/>
    <w:rsid w:val="00FD4019"/>
    <w:rsid w:val="00FD471E"/>
    <w:rsid w:val="00FD4EE0"/>
    <w:rsid w:val="00FD4F32"/>
    <w:rsid w:val="00FD5BDF"/>
    <w:rsid w:val="00FD5EBA"/>
    <w:rsid w:val="00FD69CD"/>
    <w:rsid w:val="00FD6B81"/>
    <w:rsid w:val="00FD6ECF"/>
    <w:rsid w:val="00FE1414"/>
    <w:rsid w:val="00FE1FAC"/>
    <w:rsid w:val="00FE26FF"/>
    <w:rsid w:val="00FE349F"/>
    <w:rsid w:val="00FE4F18"/>
    <w:rsid w:val="00FE56C2"/>
    <w:rsid w:val="00FE67A5"/>
    <w:rsid w:val="00FE7331"/>
    <w:rsid w:val="00FE740A"/>
    <w:rsid w:val="00FE78FB"/>
    <w:rsid w:val="00FF01D4"/>
    <w:rsid w:val="00FF04CD"/>
    <w:rsid w:val="00FF0B29"/>
    <w:rsid w:val="00FF119A"/>
    <w:rsid w:val="00FF1284"/>
    <w:rsid w:val="00FF17F0"/>
    <w:rsid w:val="00FF2430"/>
    <w:rsid w:val="00FF3257"/>
    <w:rsid w:val="00FF3309"/>
    <w:rsid w:val="00FF3795"/>
    <w:rsid w:val="00FF3C8A"/>
    <w:rsid w:val="00FF3F74"/>
    <w:rsid w:val="00FF4255"/>
    <w:rsid w:val="00FF4F96"/>
    <w:rsid w:val="00FF51D5"/>
    <w:rsid w:val="00FF662B"/>
    <w:rsid w:val="00FF6DD6"/>
    <w:rsid w:val="00FF6F46"/>
    <w:rsid w:val="00FF798D"/>
    <w:rsid w:val="23B020E5"/>
    <w:rsid w:val="26043D6C"/>
    <w:rsid w:val="68845BD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colormru v:ext="edit" colors="#a1bf36,#d0cfc5"/>
    </o:shapedefaults>
    <o:shapelayout v:ext="edit">
      <o:idmap v:ext="edit" data="1"/>
    </o:shapelayout>
  </w:shapeDefaults>
  <w:decimalSymbol w:val="."/>
  <w:listSeparator w:val=","/>
  <w14:docId w14:val="28E9C5E2"/>
  <w15:docId w15:val="{CC8D2AF7-A718-4EBA-B9A3-1B3A03D4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18"/>
        <w:szCs w:val="18"/>
        <w:lang w:val="da-DK" w:eastAsia="da-DK"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5" w:unhideWhenUsed="1"/>
    <w:lsdException w:name="macro" w:semiHidden="1" w:uiPriority="3" w:unhideWhenUsed="1"/>
    <w:lsdException w:name="toa heading" w:semiHidden="1" w:uiPriority="99" w:unhideWhenUsed="1"/>
    <w:lsdException w:name="List" w:semiHidden="1" w:unhideWhenUsed="1"/>
    <w:lsdException w:name="List Bullet" w:semiHidden="1" w:uiPriority="3" w:unhideWhenUsed="1" w:qFormat="1"/>
    <w:lsdException w:name="List Number" w:uiPriority="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D52"/>
    <w:rPr>
      <w:lang w:val="en-US"/>
    </w:rPr>
  </w:style>
  <w:style w:type="paragraph" w:styleId="Heading1">
    <w:name w:val="heading 1"/>
    <w:aliases w:val="H1"/>
    <w:basedOn w:val="RptHeading-Level1"/>
    <w:next w:val="Normal"/>
    <w:link w:val="Heading1Char"/>
    <w:qFormat/>
    <w:rsid w:val="00BB1FC5"/>
  </w:style>
  <w:style w:type="paragraph" w:styleId="Heading2">
    <w:name w:val="heading 2"/>
    <w:basedOn w:val="RptHeading-Level2"/>
    <w:next w:val="Normal"/>
    <w:link w:val="Heading2Char"/>
    <w:qFormat/>
    <w:rsid w:val="00A7585E"/>
  </w:style>
  <w:style w:type="paragraph" w:styleId="Heading3">
    <w:name w:val="heading 3"/>
    <w:basedOn w:val="RptHeading-Level3"/>
    <w:next w:val="Normal"/>
    <w:link w:val="Heading3Char"/>
    <w:qFormat/>
    <w:rsid w:val="00A7585E"/>
  </w:style>
  <w:style w:type="paragraph" w:styleId="Heading4">
    <w:name w:val="heading 4"/>
    <w:basedOn w:val="RptHeading-Level4"/>
    <w:next w:val="Normal"/>
    <w:link w:val="Heading4Char"/>
    <w:qFormat/>
    <w:rsid w:val="00A7585E"/>
  </w:style>
  <w:style w:type="paragraph" w:styleId="Heading5">
    <w:name w:val="heading 5"/>
    <w:basedOn w:val="Normal"/>
    <w:next w:val="Normal"/>
    <w:link w:val="Heading5Char"/>
    <w:qFormat/>
    <w:rsid w:val="008F7CC4"/>
    <w:pPr>
      <w:numPr>
        <w:ilvl w:val="4"/>
        <w:numId w:val="1"/>
      </w:numPr>
      <w:outlineLvl w:val="4"/>
    </w:pPr>
    <w:rPr>
      <w:bCs/>
      <w:iCs/>
      <w:sz w:val="17"/>
      <w:szCs w:val="26"/>
    </w:rPr>
  </w:style>
  <w:style w:type="paragraph" w:styleId="Heading6">
    <w:name w:val="heading 6"/>
    <w:basedOn w:val="Normal"/>
    <w:next w:val="Normal"/>
    <w:link w:val="Heading6Char"/>
    <w:semiHidden/>
    <w:qFormat/>
    <w:rsid w:val="008F7CC4"/>
    <w:pPr>
      <w:numPr>
        <w:ilvl w:val="5"/>
        <w:numId w:val="1"/>
      </w:numPr>
      <w:outlineLvl w:val="5"/>
    </w:pPr>
    <w:rPr>
      <w:bCs/>
      <w:sz w:val="17"/>
      <w:szCs w:val="22"/>
    </w:rPr>
  </w:style>
  <w:style w:type="paragraph" w:styleId="Heading7">
    <w:name w:val="heading 7"/>
    <w:basedOn w:val="Normal"/>
    <w:next w:val="Normal"/>
    <w:link w:val="Heading7Char"/>
    <w:semiHidden/>
    <w:qFormat/>
    <w:rsid w:val="008F7CC4"/>
    <w:pPr>
      <w:numPr>
        <w:ilvl w:val="6"/>
        <w:numId w:val="1"/>
      </w:numPr>
      <w:outlineLvl w:val="6"/>
    </w:pPr>
    <w:rPr>
      <w:sz w:val="17"/>
    </w:rPr>
  </w:style>
  <w:style w:type="paragraph" w:styleId="Heading8">
    <w:name w:val="heading 8"/>
    <w:basedOn w:val="Normal"/>
    <w:next w:val="Normal"/>
    <w:link w:val="Heading8Char"/>
    <w:semiHidden/>
    <w:qFormat/>
    <w:rsid w:val="00095EC9"/>
    <w:pPr>
      <w:numPr>
        <w:ilvl w:val="7"/>
        <w:numId w:val="1"/>
      </w:numPr>
      <w:outlineLvl w:val="7"/>
    </w:pPr>
    <w:rPr>
      <w:b/>
      <w:iCs/>
    </w:rPr>
  </w:style>
  <w:style w:type="paragraph" w:styleId="Heading9">
    <w:name w:val="heading 9"/>
    <w:basedOn w:val="Normal"/>
    <w:next w:val="Normal"/>
    <w:link w:val="Heading9Char"/>
    <w:semiHidden/>
    <w:qFormat/>
    <w:rsid w:val="00095EC9"/>
    <w:pPr>
      <w:numPr>
        <w:ilvl w:val="8"/>
        <w:numId w:val="1"/>
      </w:num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tHeading-Level1">
    <w:name w:val="(Rpt) Heading - Level 1"/>
    <w:next w:val="Normal"/>
    <w:rsid w:val="00407870"/>
    <w:pPr>
      <w:keepNext/>
      <w:pageBreakBefore/>
      <w:numPr>
        <w:numId w:val="7"/>
      </w:numPr>
      <w:spacing w:after="120" w:line="360" w:lineRule="exact"/>
      <w:outlineLvl w:val="0"/>
    </w:pPr>
    <w:rPr>
      <w:b/>
      <w:bCs/>
      <w:caps/>
      <w:snapToGrid w:val="0"/>
      <w:color w:val="009DE0" w:themeColor="text2"/>
      <w:sz w:val="28"/>
      <w:szCs w:val="28"/>
      <w:lang w:val="en-US" w:eastAsia="en-US"/>
    </w:rPr>
  </w:style>
  <w:style w:type="paragraph" w:customStyle="1" w:styleId="RptBodyText">
    <w:name w:val="(Rpt) Body Text"/>
    <w:rsid w:val="00407870"/>
    <w:pPr>
      <w:spacing w:after="120"/>
      <w:ind w:left="864"/>
    </w:pPr>
    <w:rPr>
      <w:snapToGrid w:val="0"/>
      <w:szCs w:val="20"/>
      <w:lang w:val="en-US" w:eastAsia="en-US"/>
    </w:rPr>
  </w:style>
  <w:style w:type="paragraph" w:customStyle="1" w:styleId="RptHeading-Level2">
    <w:name w:val="(Rpt) Heading - Level 2"/>
    <w:next w:val="Normal"/>
    <w:rsid w:val="00407870"/>
    <w:pPr>
      <w:keepNext/>
      <w:numPr>
        <w:ilvl w:val="1"/>
        <w:numId w:val="7"/>
      </w:numPr>
      <w:spacing w:after="60"/>
      <w:outlineLvl w:val="1"/>
    </w:pPr>
    <w:rPr>
      <w:b/>
      <w:bCs/>
      <w:snapToGrid w:val="0"/>
      <w:sz w:val="20"/>
      <w:szCs w:val="20"/>
      <w:lang w:val="en-US" w:eastAsia="en-US"/>
    </w:rPr>
  </w:style>
  <w:style w:type="paragraph" w:customStyle="1" w:styleId="RptHeading-Level3">
    <w:name w:val="(Rpt) Heading - Level 3"/>
    <w:next w:val="Normal"/>
    <w:rsid w:val="00407870"/>
    <w:pPr>
      <w:keepNext/>
      <w:numPr>
        <w:ilvl w:val="2"/>
        <w:numId w:val="7"/>
      </w:numPr>
      <w:spacing w:after="60"/>
      <w:outlineLvl w:val="2"/>
    </w:pPr>
    <w:rPr>
      <w:b/>
      <w:sz w:val="20"/>
      <w:szCs w:val="20"/>
      <w:lang w:val="en-US" w:eastAsia="en-US"/>
    </w:rPr>
  </w:style>
  <w:style w:type="paragraph" w:customStyle="1" w:styleId="RptHeading-Level4">
    <w:name w:val="(Rpt) Heading - Level 4"/>
    <w:next w:val="Normal"/>
    <w:rsid w:val="00407870"/>
    <w:pPr>
      <w:keepNext/>
      <w:numPr>
        <w:ilvl w:val="3"/>
        <w:numId w:val="7"/>
      </w:numPr>
      <w:spacing w:after="60"/>
      <w:outlineLvl w:val="3"/>
    </w:pPr>
    <w:rPr>
      <w:b/>
      <w:sz w:val="20"/>
      <w:szCs w:val="22"/>
      <w:lang w:val="en-US" w:eastAsia="en-US"/>
    </w:rPr>
  </w:style>
  <w:style w:type="paragraph" w:styleId="Header">
    <w:name w:val="header"/>
    <w:basedOn w:val="Normal"/>
    <w:link w:val="HeaderChar"/>
    <w:unhideWhenUsed/>
    <w:rsid w:val="00E00DE0"/>
    <w:pPr>
      <w:tabs>
        <w:tab w:val="center" w:pos="4680"/>
        <w:tab w:val="right" w:pos="9360"/>
      </w:tabs>
      <w:spacing w:line="240" w:lineRule="auto"/>
    </w:pPr>
  </w:style>
  <w:style w:type="character" w:customStyle="1" w:styleId="HeaderChar">
    <w:name w:val="Header Char"/>
    <w:basedOn w:val="DefaultParagraphFont"/>
    <w:link w:val="Header"/>
    <w:rsid w:val="00E00DE0"/>
    <w:rPr>
      <w:lang w:val="en-US"/>
    </w:rPr>
  </w:style>
  <w:style w:type="paragraph" w:styleId="TOC1">
    <w:name w:val="toc 1"/>
    <w:basedOn w:val="Normal"/>
    <w:next w:val="Normal"/>
    <w:autoRedefine/>
    <w:uiPriority w:val="39"/>
    <w:unhideWhenUsed/>
    <w:rsid w:val="00A37904"/>
    <w:pPr>
      <w:tabs>
        <w:tab w:val="right" w:pos="9350"/>
      </w:tabs>
      <w:spacing w:before="60"/>
      <w:ind w:left="1080" w:right="360" w:hanging="1080"/>
    </w:pPr>
    <w:rPr>
      <w:b/>
      <w:caps/>
      <w:noProof/>
    </w:rPr>
  </w:style>
  <w:style w:type="paragraph" w:styleId="TOC2">
    <w:name w:val="toc 2"/>
    <w:basedOn w:val="Normal"/>
    <w:next w:val="Normal"/>
    <w:autoRedefine/>
    <w:uiPriority w:val="39"/>
    <w:unhideWhenUsed/>
    <w:rsid w:val="00A37904"/>
    <w:pPr>
      <w:tabs>
        <w:tab w:val="right" w:pos="9350"/>
      </w:tabs>
      <w:ind w:left="1080" w:right="360" w:hanging="1080"/>
    </w:pPr>
  </w:style>
  <w:style w:type="paragraph" w:styleId="TOC3">
    <w:name w:val="toc 3"/>
    <w:basedOn w:val="Normal"/>
    <w:next w:val="Normal"/>
    <w:autoRedefine/>
    <w:uiPriority w:val="39"/>
    <w:unhideWhenUsed/>
    <w:rsid w:val="00A37904"/>
    <w:pPr>
      <w:tabs>
        <w:tab w:val="right" w:pos="9346"/>
      </w:tabs>
      <w:ind w:left="1080" w:right="360" w:hanging="1080"/>
    </w:pPr>
  </w:style>
  <w:style w:type="paragraph" w:styleId="TOC4">
    <w:name w:val="toc 4"/>
    <w:basedOn w:val="Normal"/>
    <w:next w:val="Normal"/>
    <w:autoRedefine/>
    <w:rsid w:val="00A37904"/>
    <w:pPr>
      <w:tabs>
        <w:tab w:val="right" w:pos="9350"/>
      </w:tabs>
      <w:ind w:left="1080" w:right="360" w:hanging="1080"/>
    </w:pPr>
  </w:style>
  <w:style w:type="character" w:styleId="Hyperlink">
    <w:name w:val="Hyperlink"/>
    <w:basedOn w:val="DefaultParagraphFont"/>
    <w:uiPriority w:val="99"/>
    <w:unhideWhenUsed/>
    <w:rsid w:val="00E00DE0"/>
    <w:rPr>
      <w:color w:val="0000FF" w:themeColor="hyperlink"/>
      <w:u w:val="single"/>
    </w:rPr>
  </w:style>
  <w:style w:type="paragraph" w:styleId="TOCHeading">
    <w:name w:val="TOC Heading"/>
    <w:basedOn w:val="Heading1"/>
    <w:next w:val="Normal"/>
    <w:uiPriority w:val="39"/>
    <w:unhideWhenUsed/>
    <w:qFormat/>
    <w:rsid w:val="00E00DE0"/>
    <w:pPr>
      <w:keepLines/>
      <w:numPr>
        <w:numId w:val="0"/>
      </w:numPr>
      <w:spacing w:before="240" w:after="0" w:line="259" w:lineRule="auto"/>
      <w:outlineLvl w:val="9"/>
    </w:pPr>
    <w:rPr>
      <w:rFonts w:asciiTheme="majorHAnsi" w:eastAsiaTheme="majorEastAsia" w:hAnsiTheme="majorHAnsi" w:cstheme="majorBidi"/>
      <w:b w:val="0"/>
      <w:bCs w:val="0"/>
      <w:caps w:val="0"/>
      <w:snapToGrid/>
      <w:color w:val="49A3EA" w:themeColor="accent1" w:themeShade="BF"/>
      <w:sz w:val="32"/>
      <w:szCs w:val="32"/>
    </w:rPr>
  </w:style>
  <w:style w:type="paragraph" w:customStyle="1" w:styleId="RptAppendixTitle">
    <w:name w:val="(Rpt) Appendix Title"/>
    <w:next w:val="RptAppendixSubtitle"/>
    <w:link w:val="RptAppendixTitleChar"/>
    <w:rsid w:val="00407870"/>
    <w:pPr>
      <w:spacing w:before="2560" w:line="280" w:lineRule="exact"/>
      <w:jc w:val="right"/>
    </w:pPr>
    <w:rPr>
      <w:b/>
      <w:bCs/>
      <w:caps/>
      <w:snapToGrid w:val="0"/>
      <w:color w:val="009DE0" w:themeColor="text2"/>
      <w:sz w:val="22"/>
      <w:szCs w:val="20"/>
      <w:lang w:val="en-US" w:eastAsia="en-US"/>
    </w:rPr>
  </w:style>
  <w:style w:type="paragraph" w:customStyle="1" w:styleId="RptAppendixSubtitle">
    <w:name w:val="(Rpt) Appendix Subtitle"/>
    <w:next w:val="RptAppendixText"/>
    <w:link w:val="RptAppendixSubtitleChar"/>
    <w:rsid w:val="00407870"/>
    <w:pPr>
      <w:spacing w:after="240" w:line="280" w:lineRule="exact"/>
      <w:jc w:val="right"/>
      <w:outlineLvl w:val="7"/>
    </w:pPr>
    <w:rPr>
      <w:b/>
      <w:bCs/>
      <w:caps/>
      <w:snapToGrid w:val="0"/>
      <w:color w:val="009DE0" w:themeColor="text2"/>
      <w:sz w:val="22"/>
      <w:szCs w:val="24"/>
      <w:lang w:val="en-US" w:eastAsia="en-US"/>
    </w:rPr>
  </w:style>
  <w:style w:type="paragraph" w:customStyle="1" w:styleId="RptAppendixText">
    <w:name w:val="(Rpt) Appendix Text"/>
    <w:rsid w:val="00407870"/>
    <w:pPr>
      <w:spacing w:after="240" w:line="280" w:lineRule="exact"/>
      <w:ind w:left="1440"/>
      <w:jc w:val="right"/>
    </w:pPr>
    <w:rPr>
      <w:snapToGrid w:val="0"/>
      <w:szCs w:val="20"/>
      <w:lang w:val="en-US" w:eastAsia="en-US"/>
    </w:rPr>
  </w:style>
  <w:style w:type="character" w:customStyle="1" w:styleId="RptAppendixSubtitleChar">
    <w:name w:val="(Rpt) Appendix Subtitle Char"/>
    <w:basedOn w:val="RptAppendixTitleChar"/>
    <w:link w:val="RptAppendixSubtitle"/>
    <w:rsid w:val="00407870"/>
    <w:rPr>
      <w:b/>
      <w:bCs/>
      <w:caps/>
      <w:snapToGrid w:val="0"/>
      <w:color w:val="009DE0" w:themeColor="text2"/>
      <w:sz w:val="22"/>
      <w:szCs w:val="24"/>
      <w:lang w:val="en-US" w:eastAsia="en-US"/>
    </w:rPr>
  </w:style>
  <w:style w:type="character" w:customStyle="1" w:styleId="RptAppendixTitleChar">
    <w:name w:val="(Rpt) Appendix Title Char"/>
    <w:basedOn w:val="DefaultParagraphFont"/>
    <w:link w:val="RptAppendixTitle"/>
    <w:rsid w:val="00407870"/>
    <w:rPr>
      <w:b/>
      <w:bCs/>
      <w:caps/>
      <w:snapToGrid w:val="0"/>
      <w:color w:val="009DE0" w:themeColor="text2"/>
      <w:sz w:val="22"/>
      <w:szCs w:val="20"/>
      <w:lang w:val="en-US" w:eastAsia="en-US"/>
    </w:rPr>
  </w:style>
  <w:style w:type="paragraph" w:customStyle="1" w:styleId="RptReferenceList">
    <w:name w:val="(Rpt) Reference List"/>
    <w:rsid w:val="00407870"/>
    <w:pPr>
      <w:spacing w:after="120"/>
      <w:ind w:left="1224" w:hanging="360"/>
    </w:pPr>
    <w:rPr>
      <w:szCs w:val="20"/>
      <w:lang w:val="en-US" w:eastAsia="en-US"/>
    </w:rPr>
  </w:style>
  <w:style w:type="paragraph" w:customStyle="1" w:styleId="RptBullet-Level2">
    <w:name w:val="(Rpt) Bullet - Level 2"/>
    <w:link w:val="RptBullet-Level2Char"/>
    <w:rsid w:val="00942FE5"/>
    <w:pPr>
      <w:numPr>
        <w:numId w:val="3"/>
      </w:numPr>
      <w:spacing w:after="120"/>
      <w:ind w:left="1440" w:hanging="216"/>
    </w:pPr>
    <w:rPr>
      <w:lang w:val="en-US"/>
    </w:rPr>
  </w:style>
  <w:style w:type="character" w:customStyle="1" w:styleId="RptBullet-Level2Char">
    <w:name w:val="(Rpt) Bullet - Level 2 Char"/>
    <w:basedOn w:val="DefaultParagraphFont"/>
    <w:link w:val="RptBullet-Level2"/>
    <w:rsid w:val="00942FE5"/>
    <w:rPr>
      <w:lang w:val="en-US"/>
    </w:rPr>
  </w:style>
  <w:style w:type="character" w:customStyle="1" w:styleId="RptText-Italic">
    <w:name w:val="(Rpt) Text - Italic"/>
    <w:qFormat/>
    <w:rsid w:val="00407870"/>
    <w:rPr>
      <w:rFonts w:ascii="Verdana" w:hAnsi="Verdana"/>
      <w:b w:val="0"/>
      <w:i/>
      <w:caps w:val="0"/>
      <w:smallCaps w:val="0"/>
      <w:strike w:val="0"/>
      <w:dstrike w:val="0"/>
      <w:vanish w:val="0"/>
      <w:vertAlign w:val="baseline"/>
    </w:rPr>
  </w:style>
  <w:style w:type="character" w:customStyle="1" w:styleId="RptText-Bold">
    <w:name w:val="(Rpt) Text - Bold"/>
    <w:qFormat/>
    <w:rsid w:val="00407870"/>
    <w:rPr>
      <w:rFonts w:ascii="Verdana" w:hAnsi="Verdana"/>
      <w:b/>
      <w:i w:val="0"/>
      <w:caps w:val="0"/>
      <w:smallCaps w:val="0"/>
      <w:strike w:val="0"/>
      <w:dstrike w:val="0"/>
      <w:vanish w:val="0"/>
      <w:vertAlign w:val="baseline"/>
    </w:rPr>
  </w:style>
  <w:style w:type="paragraph" w:customStyle="1" w:styleId="RptHeading-Level5">
    <w:name w:val="(Rpt) Heading - Level 5"/>
    <w:next w:val="Normal"/>
    <w:rsid w:val="00407870"/>
    <w:pPr>
      <w:keepNext/>
      <w:spacing w:after="80"/>
      <w:ind w:left="864"/>
    </w:pPr>
    <w:rPr>
      <w:b/>
      <w:bCs/>
      <w:i/>
      <w:iCs/>
      <w:snapToGrid w:val="0"/>
      <w:szCs w:val="20"/>
      <w:lang w:val="en-US" w:eastAsia="en-US"/>
    </w:rPr>
  </w:style>
  <w:style w:type="paragraph" w:customStyle="1" w:styleId="RptHeading-Level6">
    <w:name w:val="(Rpt) Heading - Level 6"/>
    <w:next w:val="Normal"/>
    <w:qFormat/>
    <w:rsid w:val="00407870"/>
    <w:pPr>
      <w:keepNext/>
      <w:spacing w:after="80"/>
      <w:ind w:left="864"/>
    </w:pPr>
    <w:rPr>
      <w:rFonts w:cs="Arial"/>
      <w:snapToGrid w:val="0"/>
      <w:szCs w:val="20"/>
      <w:u w:val="single"/>
      <w:lang w:val="en-US" w:eastAsia="en-US"/>
    </w:rPr>
  </w:style>
  <w:style w:type="paragraph" w:customStyle="1" w:styleId="RptBullet-Level1">
    <w:name w:val="(Rpt) Bullet - Level 1"/>
    <w:basedOn w:val="Normal"/>
    <w:link w:val="RptBullet-Level1Char"/>
    <w:rsid w:val="00D36A3A"/>
    <w:pPr>
      <w:numPr>
        <w:numId w:val="2"/>
      </w:numPr>
      <w:tabs>
        <w:tab w:val="left" w:pos="346"/>
      </w:tabs>
      <w:spacing w:after="120"/>
      <w:ind w:left="1224"/>
    </w:pPr>
  </w:style>
  <w:style w:type="paragraph" w:customStyle="1" w:styleId="RptBullet-Level2Continued">
    <w:name w:val="(Rpt) Bullet - Level 2 Continued"/>
    <w:qFormat/>
    <w:rsid w:val="00942FE5"/>
    <w:pPr>
      <w:spacing w:after="120"/>
      <w:ind w:left="1440"/>
    </w:pPr>
    <w:rPr>
      <w:szCs w:val="20"/>
      <w:lang w:val="en-US" w:eastAsia="en-US"/>
    </w:rPr>
  </w:style>
  <w:style w:type="paragraph" w:customStyle="1" w:styleId="RptBullet-Level1Numbered">
    <w:name w:val="(Rpt) Bullet - Level 1 Numbered"/>
    <w:basedOn w:val="Normal"/>
    <w:link w:val="RptBullet-Level1NumberedChar"/>
    <w:uiPriority w:val="99"/>
    <w:qFormat/>
    <w:rsid w:val="00F77D52"/>
    <w:pPr>
      <w:numPr>
        <w:numId w:val="10"/>
      </w:numPr>
      <w:spacing w:after="120"/>
      <w:ind w:left="1224"/>
    </w:pPr>
  </w:style>
  <w:style w:type="character" w:customStyle="1" w:styleId="RptBullet-Level1NumberedChar">
    <w:name w:val="(Rpt) Bullet - Level 1 Numbered Char"/>
    <w:basedOn w:val="DefaultParagraphFont"/>
    <w:link w:val="RptBullet-Level1Numbered"/>
    <w:uiPriority w:val="99"/>
    <w:rsid w:val="00D36A3A"/>
    <w:rPr>
      <w:lang w:val="en-US"/>
    </w:rPr>
  </w:style>
  <w:style w:type="paragraph" w:customStyle="1" w:styleId="RptBullet-Level1Lettered">
    <w:name w:val="(Rpt) Bullet - Level 1 Lettered"/>
    <w:link w:val="RptBullet-Level1LetteredChar"/>
    <w:uiPriority w:val="99"/>
    <w:qFormat/>
    <w:rsid w:val="00D36A3A"/>
    <w:pPr>
      <w:numPr>
        <w:numId w:val="11"/>
      </w:numPr>
      <w:tabs>
        <w:tab w:val="left" w:pos="1224"/>
      </w:tabs>
      <w:spacing w:after="120"/>
      <w:ind w:left="1224"/>
    </w:pPr>
    <w:rPr>
      <w:szCs w:val="24"/>
      <w:lang w:val="en-US" w:eastAsia="en-US"/>
    </w:rPr>
  </w:style>
  <w:style w:type="character" w:customStyle="1" w:styleId="RptBullet-Level1LetteredChar">
    <w:name w:val="(Rpt) Bullet - Level 1 Lettered Char"/>
    <w:basedOn w:val="DefaultParagraphFont"/>
    <w:link w:val="RptBullet-Level1Lettered"/>
    <w:uiPriority w:val="99"/>
    <w:rsid w:val="00D36A3A"/>
    <w:rPr>
      <w:szCs w:val="24"/>
      <w:lang w:val="en-US" w:eastAsia="en-US"/>
    </w:rPr>
  </w:style>
  <w:style w:type="paragraph" w:customStyle="1" w:styleId="RptBullet-Level2Numbered">
    <w:name w:val="(Rpt) Bullet - Level 2 Numbered"/>
    <w:link w:val="RptBullet-Level2NumberedChar"/>
    <w:uiPriority w:val="99"/>
    <w:qFormat/>
    <w:rsid w:val="00407870"/>
    <w:pPr>
      <w:numPr>
        <w:numId w:val="5"/>
      </w:numPr>
      <w:tabs>
        <w:tab w:val="left" w:pos="1584"/>
      </w:tabs>
      <w:spacing w:after="120"/>
    </w:pPr>
    <w:rPr>
      <w:szCs w:val="24"/>
      <w:lang w:val="en-US" w:eastAsia="en-US"/>
    </w:rPr>
  </w:style>
  <w:style w:type="character" w:customStyle="1" w:styleId="RptBullet-Level2NumberedChar">
    <w:name w:val="(Rpt) Bullet - Level 2 Numbered Char"/>
    <w:basedOn w:val="DefaultParagraphFont"/>
    <w:link w:val="RptBullet-Level2Numbered"/>
    <w:uiPriority w:val="99"/>
    <w:rsid w:val="00407870"/>
    <w:rPr>
      <w:szCs w:val="24"/>
      <w:lang w:val="en-US" w:eastAsia="en-US"/>
    </w:rPr>
  </w:style>
  <w:style w:type="paragraph" w:customStyle="1" w:styleId="RptBullet-Level2Lettered">
    <w:name w:val="(Rpt) Bullet - Level 2 Lettered"/>
    <w:link w:val="RptBullet-Level2LetteredChar"/>
    <w:uiPriority w:val="99"/>
    <w:qFormat/>
    <w:rsid w:val="00407870"/>
    <w:pPr>
      <w:numPr>
        <w:numId w:val="4"/>
      </w:numPr>
      <w:tabs>
        <w:tab w:val="left" w:pos="1584"/>
      </w:tabs>
      <w:spacing w:after="120"/>
    </w:pPr>
    <w:rPr>
      <w:szCs w:val="24"/>
      <w:lang w:val="en-US" w:eastAsia="en-US"/>
    </w:rPr>
  </w:style>
  <w:style w:type="character" w:customStyle="1" w:styleId="RptBullet-Level2LetteredChar">
    <w:name w:val="(Rpt) Bullet - Level 2 Lettered Char"/>
    <w:basedOn w:val="DefaultParagraphFont"/>
    <w:link w:val="RptBullet-Level2Lettered"/>
    <w:uiPriority w:val="99"/>
    <w:rsid w:val="00407870"/>
    <w:rPr>
      <w:szCs w:val="24"/>
      <w:lang w:val="en-US" w:eastAsia="en-US"/>
    </w:rPr>
  </w:style>
  <w:style w:type="paragraph" w:customStyle="1" w:styleId="RptBullet-Level3">
    <w:name w:val="(Rpt) Bullet - Level 3"/>
    <w:link w:val="RptBullet-Level3Char"/>
    <w:uiPriority w:val="99"/>
    <w:qFormat/>
    <w:rsid w:val="00942FE5"/>
    <w:pPr>
      <w:numPr>
        <w:numId w:val="6"/>
      </w:numPr>
      <w:tabs>
        <w:tab w:val="left" w:pos="1710"/>
      </w:tabs>
      <w:spacing w:after="120"/>
      <w:ind w:left="1656" w:hanging="216"/>
    </w:pPr>
    <w:rPr>
      <w:snapToGrid w:val="0"/>
      <w:szCs w:val="20"/>
      <w:lang w:val="en-US" w:eastAsia="en-US"/>
    </w:rPr>
  </w:style>
  <w:style w:type="character" w:customStyle="1" w:styleId="RptBullet-Level3Char">
    <w:name w:val="(Rpt) Bullet - Level 3 Char"/>
    <w:basedOn w:val="DefaultParagraphFont"/>
    <w:link w:val="RptBullet-Level3"/>
    <w:uiPriority w:val="99"/>
    <w:rsid w:val="00942FE5"/>
    <w:rPr>
      <w:snapToGrid w:val="0"/>
      <w:szCs w:val="20"/>
      <w:lang w:val="en-US" w:eastAsia="en-US"/>
    </w:rPr>
  </w:style>
  <w:style w:type="paragraph" w:customStyle="1" w:styleId="RptBullet-Level3Continued">
    <w:name w:val="(Rpt) Bullet - Level 3 Continued"/>
    <w:link w:val="RptBullet-Level3ContinuedChar"/>
    <w:uiPriority w:val="99"/>
    <w:qFormat/>
    <w:rsid w:val="00942FE5"/>
    <w:pPr>
      <w:spacing w:after="120" w:line="280" w:lineRule="exact"/>
      <w:ind w:left="1656"/>
    </w:pPr>
    <w:rPr>
      <w:snapToGrid w:val="0"/>
      <w:szCs w:val="20"/>
      <w:lang w:val="en-US" w:eastAsia="en-US"/>
    </w:rPr>
  </w:style>
  <w:style w:type="character" w:customStyle="1" w:styleId="RptBullet-Level3ContinuedChar">
    <w:name w:val="(Rpt) Bullet - Level 3 Continued Char"/>
    <w:basedOn w:val="DefaultParagraphFont"/>
    <w:link w:val="RptBullet-Level3Continued"/>
    <w:uiPriority w:val="99"/>
    <w:rsid w:val="00942FE5"/>
    <w:rPr>
      <w:snapToGrid w:val="0"/>
      <w:szCs w:val="20"/>
      <w:lang w:val="en-US" w:eastAsia="en-US"/>
    </w:rPr>
  </w:style>
  <w:style w:type="character" w:customStyle="1" w:styleId="RptText-Underlined">
    <w:name w:val="(Rpt) Text - Underlined"/>
    <w:basedOn w:val="DefaultParagraphFont"/>
    <w:uiPriority w:val="1"/>
    <w:qFormat/>
    <w:rsid w:val="00407870"/>
    <w:rPr>
      <w:snapToGrid w:val="0"/>
      <w:u w:val="single"/>
    </w:rPr>
  </w:style>
  <w:style w:type="paragraph" w:customStyle="1" w:styleId="RptBullet-Level1Continued">
    <w:name w:val="(Rpt) Bullet - Level 1 Continued"/>
    <w:basedOn w:val="RptBullet-Level1"/>
    <w:qFormat/>
    <w:rsid w:val="00407870"/>
    <w:pPr>
      <w:numPr>
        <w:numId w:val="0"/>
      </w:numPr>
      <w:ind w:left="1224"/>
    </w:pPr>
  </w:style>
  <w:style w:type="paragraph" w:customStyle="1" w:styleId="RptBodyTextIndented">
    <w:name w:val="(Rpt) Body Text Indented"/>
    <w:rsid w:val="00407870"/>
    <w:pPr>
      <w:spacing w:after="120"/>
      <w:ind w:left="1584" w:right="720"/>
    </w:pPr>
    <w:rPr>
      <w:szCs w:val="20"/>
      <w:lang w:val="en-US" w:eastAsia="en-US"/>
    </w:rPr>
  </w:style>
  <w:style w:type="paragraph" w:customStyle="1" w:styleId="RptFooter-Portrait">
    <w:name w:val="(Rpt) Footer - Portrait"/>
    <w:qFormat/>
    <w:rsid w:val="00407870"/>
    <w:pPr>
      <w:tabs>
        <w:tab w:val="right" w:pos="9360"/>
      </w:tabs>
      <w:spacing w:line="220" w:lineRule="atLeast"/>
    </w:pPr>
    <w:rPr>
      <w:sz w:val="16"/>
      <w:szCs w:val="12"/>
      <w:lang w:val="en-US"/>
    </w:rPr>
  </w:style>
  <w:style w:type="paragraph" w:customStyle="1" w:styleId="RptHeader-Left">
    <w:name w:val="(Rpt) Header - Left"/>
    <w:rsid w:val="005240D2"/>
    <w:pPr>
      <w:tabs>
        <w:tab w:val="right" w:pos="9360"/>
      </w:tabs>
      <w:spacing w:line="220" w:lineRule="atLeast"/>
    </w:pPr>
    <w:rPr>
      <w:rFonts w:cs="Arial"/>
      <w:sz w:val="16"/>
      <w:lang w:val="en-US" w:eastAsia="en-US"/>
    </w:rPr>
  </w:style>
  <w:style w:type="paragraph" w:customStyle="1" w:styleId="RptTable-Heading">
    <w:name w:val="(Rpt) Table - Heading"/>
    <w:link w:val="RptTable-HeadingChar"/>
    <w:rsid w:val="00407870"/>
    <w:pPr>
      <w:keepNext/>
      <w:keepLines/>
      <w:spacing w:before="80" w:after="80" w:line="240" w:lineRule="atLeast"/>
      <w:jc w:val="center"/>
    </w:pPr>
    <w:rPr>
      <w:b/>
      <w:snapToGrid w:val="0"/>
      <w:szCs w:val="20"/>
      <w:lang w:val="en-US" w:eastAsia="en-US"/>
    </w:rPr>
  </w:style>
  <w:style w:type="paragraph" w:customStyle="1" w:styleId="RptTable-Text">
    <w:name w:val="(Rpt) Table - Text"/>
    <w:link w:val="RptTable-TextChar"/>
    <w:rsid w:val="00407870"/>
    <w:pPr>
      <w:spacing w:before="80" w:after="80" w:line="220" w:lineRule="atLeast"/>
    </w:pPr>
    <w:rPr>
      <w:sz w:val="16"/>
      <w:szCs w:val="20"/>
      <w:lang w:val="en-US" w:eastAsia="en-US"/>
    </w:rPr>
  </w:style>
  <w:style w:type="character" w:customStyle="1" w:styleId="RptTable-TextChar">
    <w:name w:val="(Rpt) Table - Text Char"/>
    <w:basedOn w:val="DefaultParagraphFont"/>
    <w:link w:val="RptTable-Text"/>
    <w:rsid w:val="00407870"/>
    <w:rPr>
      <w:sz w:val="16"/>
      <w:szCs w:val="20"/>
      <w:lang w:val="en-US" w:eastAsia="en-US"/>
    </w:rPr>
  </w:style>
  <w:style w:type="paragraph" w:customStyle="1" w:styleId="RptTable-Title">
    <w:name w:val="(Rpt) Table - Title"/>
    <w:link w:val="RptTable-TitleChar"/>
    <w:uiPriority w:val="99"/>
    <w:qFormat/>
    <w:rsid w:val="00407870"/>
    <w:pPr>
      <w:keepNext/>
      <w:tabs>
        <w:tab w:val="left" w:pos="1081"/>
      </w:tabs>
      <w:spacing w:before="80" w:after="80" w:line="240" w:lineRule="auto"/>
      <w:ind w:left="1109" w:hanging="1109"/>
    </w:pPr>
    <w:rPr>
      <w:b/>
      <w:bCs/>
      <w:color w:val="009DE0" w:themeColor="text2"/>
      <w:szCs w:val="20"/>
      <w:lang w:val="en-US" w:eastAsia="en-US"/>
    </w:rPr>
  </w:style>
  <w:style w:type="character" w:customStyle="1" w:styleId="RptTable-TitleChar">
    <w:name w:val="(Rpt) Table - Title Char"/>
    <w:basedOn w:val="DefaultParagraphFont"/>
    <w:link w:val="RptTable-Title"/>
    <w:uiPriority w:val="99"/>
    <w:rsid w:val="00816396"/>
    <w:rPr>
      <w:b/>
      <w:bCs/>
      <w:color w:val="009DE0" w:themeColor="text2"/>
      <w:szCs w:val="20"/>
      <w:lang w:val="en-US" w:eastAsia="en-US"/>
    </w:rPr>
  </w:style>
  <w:style w:type="paragraph" w:customStyle="1" w:styleId="RptContentsListTitles">
    <w:name w:val="(Rpt) Contents List Titles"/>
    <w:next w:val="RptContentsList"/>
    <w:rsid w:val="00407870"/>
    <w:pPr>
      <w:spacing w:before="400" w:after="120" w:line="280" w:lineRule="exact"/>
    </w:pPr>
    <w:rPr>
      <w:rFonts w:cs="Arial"/>
      <w:b/>
      <w:caps/>
      <w:color w:val="009DE0" w:themeColor="text2"/>
      <w:sz w:val="22"/>
      <w:szCs w:val="20"/>
      <w:lang w:val="en-US" w:eastAsia="en-US"/>
    </w:rPr>
  </w:style>
  <w:style w:type="paragraph" w:customStyle="1" w:styleId="RptContentsList">
    <w:name w:val="(Rpt) Contents List"/>
    <w:rsid w:val="00407870"/>
    <w:pPr>
      <w:tabs>
        <w:tab w:val="right" w:pos="9360"/>
      </w:tabs>
      <w:spacing w:line="260" w:lineRule="exact"/>
      <w:ind w:left="1440" w:hanging="1440"/>
    </w:pPr>
    <w:rPr>
      <w:rFonts w:cs="Arial"/>
      <w:szCs w:val="20"/>
      <w:lang w:val="en-US" w:eastAsia="en-US"/>
    </w:rPr>
  </w:style>
  <w:style w:type="paragraph" w:customStyle="1" w:styleId="RptCover-Title">
    <w:name w:val="(Rpt) Cover - Title"/>
    <w:next w:val="RptCover-Subtitle"/>
    <w:rsid w:val="00407870"/>
    <w:pPr>
      <w:spacing w:line="440" w:lineRule="atLeast"/>
    </w:pPr>
    <w:rPr>
      <w:b/>
      <w:caps/>
      <w:color w:val="4D4D4D"/>
      <w:sz w:val="40"/>
      <w:lang w:val="en-US"/>
    </w:rPr>
  </w:style>
  <w:style w:type="paragraph" w:customStyle="1" w:styleId="RptCover-Subtitle">
    <w:name w:val="(Rpt) Cover - Subtitle"/>
    <w:rsid w:val="00407870"/>
    <w:pPr>
      <w:framePr w:hSpace="142" w:wrap="around" w:vAnchor="page" w:hAnchor="margin" w:y="5761"/>
      <w:spacing w:line="440" w:lineRule="atLeast"/>
      <w:suppressOverlap/>
    </w:pPr>
    <w:rPr>
      <w:b/>
      <w:caps/>
      <w:color w:val="009DE0"/>
      <w:sz w:val="32"/>
      <w:lang w:val="en-US"/>
    </w:rPr>
  </w:style>
  <w:style w:type="paragraph" w:customStyle="1" w:styleId="RptCover-InfoLevel1">
    <w:name w:val="(Rpt) Cover - Info Level 1"/>
    <w:basedOn w:val="Normal"/>
    <w:next w:val="RptCover-InfoLevel2"/>
    <w:rsid w:val="00407870"/>
    <w:pPr>
      <w:spacing w:before="120"/>
    </w:pPr>
    <w:rPr>
      <w:sz w:val="16"/>
    </w:rPr>
  </w:style>
  <w:style w:type="paragraph" w:customStyle="1" w:styleId="RptCover-InfoLevel2">
    <w:name w:val="(Rpt) Cover - Info Level 2"/>
    <w:basedOn w:val="Normal"/>
    <w:rsid w:val="00407870"/>
    <w:pPr>
      <w:spacing w:line="240" w:lineRule="auto"/>
    </w:pPr>
    <w:rPr>
      <w:b/>
    </w:rPr>
  </w:style>
  <w:style w:type="paragraph" w:customStyle="1" w:styleId="RptHeading-Level0">
    <w:name w:val="(Rpt) Heading - Level 0"/>
    <w:next w:val="Normal"/>
    <w:rsid w:val="00407870"/>
    <w:pPr>
      <w:spacing w:after="120" w:line="280" w:lineRule="atLeast"/>
    </w:pPr>
    <w:rPr>
      <w:b/>
      <w:caps/>
      <w:color w:val="009DE0"/>
      <w:sz w:val="22"/>
      <w:lang w:val="en-US"/>
    </w:rPr>
  </w:style>
  <w:style w:type="paragraph" w:customStyle="1" w:styleId="RptBodyText-LeftJustified">
    <w:name w:val="(Rpt) Body Text - Left Justified"/>
    <w:qFormat/>
    <w:rsid w:val="00407870"/>
    <w:pPr>
      <w:spacing w:after="240"/>
    </w:pPr>
    <w:rPr>
      <w:snapToGrid w:val="0"/>
      <w:szCs w:val="20"/>
      <w:lang w:val="en-US" w:eastAsia="en-US"/>
    </w:rPr>
  </w:style>
  <w:style w:type="paragraph" w:customStyle="1" w:styleId="RptAcronymList">
    <w:name w:val="(Rpt) Acronym List"/>
    <w:qFormat/>
    <w:rsid w:val="00816396"/>
    <w:pPr>
      <w:tabs>
        <w:tab w:val="left" w:pos="2160"/>
      </w:tabs>
      <w:spacing w:after="120"/>
      <w:ind w:left="2160" w:hanging="2160"/>
    </w:pPr>
    <w:rPr>
      <w:szCs w:val="20"/>
      <w:lang w:val="en-US" w:eastAsia="en-US"/>
    </w:rPr>
  </w:style>
  <w:style w:type="paragraph" w:customStyle="1" w:styleId="RptFooter-Landscape">
    <w:name w:val="(Rpt) Footer - Landscape"/>
    <w:rsid w:val="00407870"/>
    <w:pPr>
      <w:tabs>
        <w:tab w:val="right" w:pos="12960"/>
      </w:tabs>
      <w:spacing w:line="220" w:lineRule="atLeast"/>
    </w:pPr>
    <w:rPr>
      <w:rFonts w:cs="Arial"/>
      <w:sz w:val="16"/>
      <w:lang w:val="en-US" w:eastAsia="en-US"/>
    </w:rPr>
  </w:style>
  <w:style w:type="paragraph" w:customStyle="1" w:styleId="RptPrivandConf">
    <w:name w:val="(Rpt) Priv and Conf"/>
    <w:qFormat/>
    <w:rsid w:val="00407870"/>
    <w:pPr>
      <w:spacing w:line="220" w:lineRule="atLeast"/>
    </w:pPr>
    <w:rPr>
      <w:b/>
      <w:sz w:val="16"/>
      <w:szCs w:val="22"/>
      <w:lang w:val="en-US" w:eastAsia="en-US"/>
    </w:rPr>
  </w:style>
  <w:style w:type="paragraph" w:customStyle="1" w:styleId="RptFootnote-Text">
    <w:name w:val="(Rpt) Footnote - Text"/>
    <w:qFormat/>
    <w:rsid w:val="00407870"/>
    <w:pPr>
      <w:spacing w:after="60" w:line="220" w:lineRule="atLeast"/>
      <w:ind w:left="216" w:hanging="216"/>
    </w:pPr>
    <w:rPr>
      <w:sz w:val="16"/>
      <w:szCs w:val="20"/>
      <w:lang w:val="en-US" w:eastAsia="en-US"/>
    </w:rPr>
  </w:style>
  <w:style w:type="character" w:customStyle="1" w:styleId="RptFootnoteReference">
    <w:name w:val="(Rpt) Footnote Reference"/>
    <w:basedOn w:val="DefaultParagraphFont"/>
    <w:uiPriority w:val="1"/>
    <w:qFormat/>
    <w:rsid w:val="00E00DE0"/>
    <w:rPr>
      <w:rFonts w:ascii="Verdana" w:hAnsi="Verdana"/>
      <w:sz w:val="16"/>
      <w:vertAlign w:val="superscript"/>
    </w:rPr>
  </w:style>
  <w:style w:type="paragraph" w:customStyle="1" w:styleId="RptDocID">
    <w:name w:val="(Rpt) Doc ID"/>
    <w:qFormat/>
    <w:rsid w:val="00407870"/>
    <w:pPr>
      <w:spacing w:before="480" w:after="240" w:line="200" w:lineRule="atLeast"/>
      <w:ind w:left="864"/>
    </w:pPr>
    <w:rPr>
      <w:sz w:val="14"/>
      <w:szCs w:val="15"/>
      <w:lang w:val="en-US" w:eastAsia="en-US"/>
    </w:rPr>
  </w:style>
  <w:style w:type="paragraph" w:styleId="TableofFigures">
    <w:name w:val="table of figures"/>
    <w:basedOn w:val="Normal"/>
    <w:next w:val="Normal"/>
    <w:unhideWhenUsed/>
    <w:rsid w:val="00A37904"/>
  </w:style>
  <w:style w:type="paragraph" w:customStyle="1" w:styleId="RptTable-SubHeading">
    <w:name w:val="(Rpt) Table - SubHeading"/>
    <w:qFormat/>
    <w:rsid w:val="00942FE5"/>
    <w:pPr>
      <w:jc w:val="center"/>
    </w:pPr>
    <w:rPr>
      <w:b/>
      <w:snapToGrid w:val="0"/>
      <w:sz w:val="17"/>
      <w:szCs w:val="17"/>
      <w:lang w:val="en-US" w:eastAsia="en-US"/>
    </w:rPr>
  </w:style>
  <w:style w:type="paragraph" w:customStyle="1" w:styleId="RptHeading-Level0-TOC">
    <w:name w:val="(Rpt) Heading - Level 0-TOC"/>
    <w:basedOn w:val="RptHeading-Level0"/>
    <w:qFormat/>
    <w:rsid w:val="008B6A21"/>
  </w:style>
  <w:style w:type="paragraph" w:customStyle="1" w:styleId="RptTable-Notes">
    <w:name w:val="(Rpt) Table - Notes"/>
    <w:basedOn w:val="RptTable-Text"/>
    <w:qFormat/>
    <w:rsid w:val="00942FE5"/>
    <w:pPr>
      <w:tabs>
        <w:tab w:val="left" w:pos="210"/>
      </w:tabs>
      <w:ind w:left="210" w:hanging="210"/>
    </w:pPr>
  </w:style>
  <w:style w:type="paragraph" w:customStyle="1" w:styleId="RptTOCPageLine">
    <w:name w:val="(Rpt) TOC Page Line"/>
    <w:rsid w:val="00407870"/>
    <w:pPr>
      <w:spacing w:line="240" w:lineRule="auto"/>
      <w:jc w:val="right"/>
    </w:pPr>
    <w:rPr>
      <w:rFonts w:ascii="Arial" w:hAnsi="Arial"/>
      <w:b/>
      <w:sz w:val="20"/>
      <w:szCs w:val="20"/>
      <w:lang w:val="en-US" w:eastAsia="en-US"/>
    </w:rPr>
  </w:style>
  <w:style w:type="paragraph" w:customStyle="1" w:styleId="RptHeader-Landscape">
    <w:name w:val="(Rpt) Header - Landscape"/>
    <w:qFormat/>
    <w:rsid w:val="00D36A3A"/>
    <w:pPr>
      <w:tabs>
        <w:tab w:val="right" w:pos="12960"/>
      </w:tabs>
      <w:spacing w:line="220" w:lineRule="atLeast"/>
    </w:pPr>
    <w:rPr>
      <w:rFonts w:cs="Arial"/>
      <w:sz w:val="16"/>
      <w:lang w:val="en-US" w:eastAsia="en-US"/>
    </w:rPr>
  </w:style>
  <w:style w:type="paragraph" w:styleId="BalloonText">
    <w:name w:val="Balloon Text"/>
    <w:basedOn w:val="Normal"/>
    <w:link w:val="BalloonTextChar"/>
    <w:uiPriority w:val="99"/>
    <w:semiHidden/>
    <w:unhideWhenUsed/>
    <w:rsid w:val="00270E9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270E95"/>
    <w:rPr>
      <w:rFonts w:ascii="Segoe UI" w:hAnsi="Segoe UI" w:cs="Segoe UI"/>
      <w:lang w:val="en-US"/>
    </w:rPr>
  </w:style>
  <w:style w:type="character" w:customStyle="1" w:styleId="RptBodyText-RedUnderline">
    <w:name w:val="(Rpt) Body Text - Red Underline"/>
    <w:uiPriority w:val="99"/>
    <w:rsid w:val="00407870"/>
    <w:rPr>
      <w:color w:val="FF0000"/>
      <w:u w:val="single"/>
    </w:rPr>
  </w:style>
  <w:style w:type="character" w:customStyle="1" w:styleId="RptBullet-Level1Char">
    <w:name w:val="(Rpt) Bullet - Level 1 Char"/>
    <w:basedOn w:val="DefaultParagraphFont"/>
    <w:link w:val="RptBullet-Level1"/>
    <w:rsid w:val="00D36A3A"/>
    <w:rPr>
      <w:lang w:val="en-US"/>
    </w:rPr>
  </w:style>
  <w:style w:type="character" w:customStyle="1" w:styleId="RptDDText-Red">
    <w:name w:val="(Rpt) DD Text - Red"/>
    <w:qFormat/>
    <w:rsid w:val="00407870"/>
    <w:rPr>
      <w:rFonts w:ascii="Arial" w:hAnsi="Arial"/>
      <w:color w:val="FF0000"/>
    </w:rPr>
  </w:style>
  <w:style w:type="paragraph" w:customStyle="1" w:styleId="RptENVIRONAddress">
    <w:name w:val="(Rpt) ENVIRON Address"/>
    <w:basedOn w:val="RptBodyText"/>
    <w:uiPriority w:val="99"/>
    <w:qFormat/>
    <w:rsid w:val="00407870"/>
    <w:pPr>
      <w:spacing w:after="0" w:line="280" w:lineRule="exact"/>
      <w:ind w:left="0"/>
    </w:pPr>
    <w:rPr>
      <w:rFonts w:ascii="Arial" w:hAnsi="Arial"/>
      <w:b/>
      <w:sz w:val="22"/>
    </w:rPr>
  </w:style>
  <w:style w:type="character" w:customStyle="1" w:styleId="RptFootnote-Reference">
    <w:name w:val="(Rpt) Footnote - Reference"/>
    <w:qFormat/>
    <w:rsid w:val="00942FE5"/>
    <w:rPr>
      <w:vertAlign w:val="superscript"/>
    </w:rPr>
  </w:style>
  <w:style w:type="paragraph" w:customStyle="1" w:styleId="RptHeader-DraftLine">
    <w:name w:val="(Rpt) Header - Draft Line"/>
    <w:basedOn w:val="Normal"/>
    <w:uiPriority w:val="99"/>
    <w:rsid w:val="00F77D52"/>
    <w:pPr>
      <w:tabs>
        <w:tab w:val="left" w:pos="0"/>
        <w:tab w:val="right" w:pos="9360"/>
      </w:tabs>
      <w:spacing w:line="240" w:lineRule="auto"/>
      <w:jc w:val="right"/>
    </w:pPr>
    <w:rPr>
      <w:rFonts w:ascii="Arial" w:hAnsi="Arial" w:cs="Arial"/>
      <w:b/>
      <w:caps/>
      <w:sz w:val="22"/>
      <w:szCs w:val="22"/>
      <w:lang w:eastAsia="en-US"/>
    </w:rPr>
  </w:style>
  <w:style w:type="paragraph" w:customStyle="1" w:styleId="RptHeader-Portrait">
    <w:name w:val="(Rpt) Header - Portrait"/>
    <w:rsid w:val="00407870"/>
    <w:pPr>
      <w:tabs>
        <w:tab w:val="right" w:pos="9360"/>
      </w:tabs>
      <w:spacing w:line="220" w:lineRule="atLeast"/>
    </w:pPr>
    <w:rPr>
      <w:rFonts w:cs="Arial"/>
      <w:sz w:val="16"/>
      <w:lang w:val="en-US" w:eastAsia="en-US"/>
    </w:rPr>
  </w:style>
  <w:style w:type="paragraph" w:customStyle="1" w:styleId="RptHeader-Portrait-Line1">
    <w:name w:val="(Rpt) Header - Portrait-Line1"/>
    <w:basedOn w:val="RptHeader-Portrait"/>
    <w:qFormat/>
    <w:rsid w:val="00407870"/>
    <w:rPr>
      <w:b/>
    </w:rPr>
  </w:style>
  <w:style w:type="paragraph" w:customStyle="1" w:styleId="RptList-Numeric">
    <w:name w:val="(Rpt) List - Numeric"/>
    <w:link w:val="RptList-NumericChar"/>
    <w:rsid w:val="00407870"/>
    <w:pPr>
      <w:numPr>
        <w:ilvl w:val="6"/>
        <w:numId w:val="8"/>
      </w:numPr>
      <w:spacing w:after="120" w:line="240" w:lineRule="auto"/>
    </w:pPr>
    <w:rPr>
      <w:rFonts w:ascii="Arial" w:hAnsi="Arial"/>
      <w:sz w:val="22"/>
      <w:szCs w:val="20"/>
      <w:lang w:val="en-US" w:eastAsia="en-US"/>
    </w:rPr>
  </w:style>
  <w:style w:type="character" w:customStyle="1" w:styleId="RptList-NumericChar">
    <w:name w:val="(Rpt) List - Numeric Char"/>
    <w:basedOn w:val="DefaultParagraphFont"/>
    <w:link w:val="RptList-Numeric"/>
    <w:rsid w:val="00407870"/>
    <w:rPr>
      <w:rFonts w:ascii="Arial" w:hAnsi="Arial"/>
      <w:sz w:val="22"/>
      <w:szCs w:val="20"/>
      <w:lang w:val="en-US" w:eastAsia="en-US"/>
    </w:rPr>
  </w:style>
  <w:style w:type="paragraph" w:customStyle="1" w:styleId="RptPageHeader">
    <w:name w:val="(Rpt) Page Header"/>
    <w:basedOn w:val="Normal"/>
    <w:qFormat/>
    <w:rsid w:val="00407870"/>
    <w:pPr>
      <w:tabs>
        <w:tab w:val="right" w:pos="9360"/>
      </w:tabs>
    </w:pPr>
    <w:rPr>
      <w:b/>
    </w:rPr>
  </w:style>
  <w:style w:type="paragraph" w:customStyle="1" w:styleId="RptSignatureLine">
    <w:name w:val="(Rpt) Signature Line"/>
    <w:basedOn w:val="RptBodyText"/>
    <w:uiPriority w:val="99"/>
    <w:qFormat/>
    <w:rsid w:val="00407870"/>
    <w:pPr>
      <w:spacing w:after="0" w:line="280" w:lineRule="exact"/>
      <w:ind w:left="0"/>
    </w:pPr>
    <w:rPr>
      <w:rFonts w:ascii="Arial" w:hAnsi="Arial"/>
      <w:sz w:val="22"/>
    </w:rPr>
  </w:style>
  <w:style w:type="paragraph" w:customStyle="1" w:styleId="RptTable-Bullet">
    <w:name w:val="(Rpt) Table - Bullet"/>
    <w:rsid w:val="00407870"/>
    <w:pPr>
      <w:numPr>
        <w:numId w:val="9"/>
      </w:numPr>
      <w:tabs>
        <w:tab w:val="left" w:pos="288"/>
      </w:tabs>
      <w:snapToGrid w:val="0"/>
      <w:spacing w:before="80" w:after="80" w:line="220" w:lineRule="atLeast"/>
    </w:pPr>
    <w:rPr>
      <w:rFonts w:cs="Arial"/>
      <w:snapToGrid w:val="0"/>
      <w:sz w:val="16"/>
      <w:lang w:val="en-US" w:eastAsia="en-US"/>
    </w:rPr>
  </w:style>
  <w:style w:type="character" w:customStyle="1" w:styleId="RptTable-HeadingChar">
    <w:name w:val="(Rpt) Table - Heading Char"/>
    <w:basedOn w:val="DefaultParagraphFont"/>
    <w:link w:val="RptTable-Heading"/>
    <w:rsid w:val="00407870"/>
    <w:rPr>
      <w:b/>
      <w:snapToGrid w:val="0"/>
      <w:szCs w:val="20"/>
      <w:lang w:val="en-US" w:eastAsia="en-US"/>
    </w:rPr>
  </w:style>
  <w:style w:type="character" w:customStyle="1" w:styleId="RptText-Underline">
    <w:name w:val="(Rpt) Text - Underline"/>
    <w:uiPriority w:val="1"/>
    <w:rsid w:val="00407870"/>
    <w:rPr>
      <w:u w:val="single"/>
    </w:rPr>
  </w:style>
  <w:style w:type="paragraph" w:customStyle="1" w:styleId="ENVIRONRpt-CoverPageLine2">
    <w:name w:val="ENVIRON Rpt - Cover Page Line 2"/>
    <w:basedOn w:val="Normal"/>
    <w:rsid w:val="00EA3755"/>
    <w:pPr>
      <w:spacing w:before="120" w:after="120" w:line="240" w:lineRule="auto"/>
    </w:pPr>
    <w:rPr>
      <w:rFonts w:ascii="Arial" w:hAnsi="Arial"/>
      <w:sz w:val="22"/>
      <w:szCs w:val="20"/>
      <w:lang w:val="en-GB" w:eastAsia="en-US"/>
    </w:rPr>
  </w:style>
  <w:style w:type="character" w:customStyle="1" w:styleId="Heading1Char">
    <w:name w:val="Heading 1 Char"/>
    <w:aliases w:val="H1 Char"/>
    <w:basedOn w:val="DefaultParagraphFont"/>
    <w:link w:val="Heading1"/>
    <w:rsid w:val="007F768C"/>
    <w:rPr>
      <w:b/>
      <w:bCs/>
      <w:caps/>
      <w:snapToGrid w:val="0"/>
      <w:color w:val="009DE0" w:themeColor="text2"/>
      <w:sz w:val="28"/>
      <w:szCs w:val="28"/>
      <w:lang w:val="en-US" w:eastAsia="en-US"/>
    </w:rPr>
  </w:style>
  <w:style w:type="character" w:customStyle="1" w:styleId="Heading2Char">
    <w:name w:val="Heading 2 Char"/>
    <w:basedOn w:val="DefaultParagraphFont"/>
    <w:link w:val="Heading2"/>
    <w:rsid w:val="007F768C"/>
    <w:rPr>
      <w:b/>
      <w:bCs/>
      <w:snapToGrid w:val="0"/>
      <w:sz w:val="20"/>
      <w:szCs w:val="20"/>
      <w:lang w:val="en-US" w:eastAsia="en-US"/>
    </w:rPr>
  </w:style>
  <w:style w:type="character" w:customStyle="1" w:styleId="Heading3Char">
    <w:name w:val="Heading 3 Char"/>
    <w:basedOn w:val="DefaultParagraphFont"/>
    <w:link w:val="Heading3"/>
    <w:rsid w:val="007F768C"/>
    <w:rPr>
      <w:b/>
      <w:sz w:val="20"/>
      <w:szCs w:val="20"/>
      <w:lang w:val="en-US" w:eastAsia="en-US"/>
    </w:rPr>
  </w:style>
  <w:style w:type="character" w:customStyle="1" w:styleId="Heading4Char">
    <w:name w:val="Heading 4 Char"/>
    <w:basedOn w:val="DefaultParagraphFont"/>
    <w:link w:val="Heading4"/>
    <w:rsid w:val="007F768C"/>
    <w:rPr>
      <w:b/>
      <w:sz w:val="20"/>
      <w:szCs w:val="22"/>
      <w:lang w:val="en-US" w:eastAsia="en-US"/>
    </w:rPr>
  </w:style>
  <w:style w:type="character" w:customStyle="1" w:styleId="Heading5Char">
    <w:name w:val="Heading 5 Char"/>
    <w:basedOn w:val="DefaultParagraphFont"/>
    <w:link w:val="Heading5"/>
    <w:rsid w:val="007F768C"/>
    <w:rPr>
      <w:bCs/>
      <w:iCs/>
      <w:sz w:val="17"/>
      <w:szCs w:val="26"/>
      <w:lang w:val="en-US"/>
    </w:rPr>
  </w:style>
  <w:style w:type="character" w:customStyle="1" w:styleId="Heading6Char">
    <w:name w:val="Heading 6 Char"/>
    <w:basedOn w:val="DefaultParagraphFont"/>
    <w:link w:val="Heading6"/>
    <w:semiHidden/>
    <w:rsid w:val="007F768C"/>
    <w:rPr>
      <w:bCs/>
      <w:sz w:val="17"/>
      <w:szCs w:val="22"/>
      <w:lang w:val="en-US"/>
    </w:rPr>
  </w:style>
  <w:style w:type="character" w:customStyle="1" w:styleId="Heading7Char">
    <w:name w:val="Heading 7 Char"/>
    <w:basedOn w:val="DefaultParagraphFont"/>
    <w:link w:val="Heading7"/>
    <w:semiHidden/>
    <w:rsid w:val="007F768C"/>
    <w:rPr>
      <w:sz w:val="17"/>
      <w:lang w:val="en-US"/>
    </w:rPr>
  </w:style>
  <w:style w:type="character" w:customStyle="1" w:styleId="Heading8Char">
    <w:name w:val="Heading 8 Char"/>
    <w:basedOn w:val="DefaultParagraphFont"/>
    <w:link w:val="Heading8"/>
    <w:semiHidden/>
    <w:rsid w:val="007F768C"/>
    <w:rPr>
      <w:b/>
      <w:iCs/>
      <w:lang w:val="en-US"/>
    </w:rPr>
  </w:style>
  <w:style w:type="character" w:customStyle="1" w:styleId="Heading9Char">
    <w:name w:val="Heading 9 Char"/>
    <w:basedOn w:val="DefaultParagraphFont"/>
    <w:link w:val="Heading9"/>
    <w:semiHidden/>
    <w:rsid w:val="007F768C"/>
    <w:rPr>
      <w:rFonts w:cs="Arial"/>
      <w:b/>
      <w:szCs w:val="22"/>
      <w:lang w:val="en-US"/>
    </w:rPr>
  </w:style>
  <w:style w:type="paragraph" w:customStyle="1" w:styleId="Acronyms">
    <w:name w:val="Acronyms"/>
    <w:qFormat/>
    <w:rsid w:val="007F768C"/>
    <w:pPr>
      <w:spacing w:line="240" w:lineRule="auto"/>
      <w:ind w:left="2160" w:hanging="2160"/>
    </w:pPr>
    <w:rPr>
      <w:rFonts w:ascii="Times New Roman" w:hAnsi="Times New Roman"/>
      <w:sz w:val="24"/>
      <w:szCs w:val="20"/>
      <w:lang w:val="en-US" w:eastAsia="en-US"/>
    </w:rPr>
  </w:style>
  <w:style w:type="paragraph" w:styleId="Footer">
    <w:name w:val="footer"/>
    <w:link w:val="FooterChar"/>
    <w:semiHidden/>
    <w:rsid w:val="007F768C"/>
    <w:pPr>
      <w:tabs>
        <w:tab w:val="center" w:pos="4320"/>
        <w:tab w:val="right" w:pos="8640"/>
      </w:tabs>
      <w:spacing w:line="240" w:lineRule="auto"/>
    </w:pPr>
    <w:rPr>
      <w:rFonts w:ascii="Arial" w:hAnsi="Arial"/>
      <w:sz w:val="12"/>
      <w:szCs w:val="20"/>
      <w:lang w:val="en-US" w:eastAsia="en-US"/>
    </w:rPr>
  </w:style>
  <w:style w:type="character" w:customStyle="1" w:styleId="FooterChar">
    <w:name w:val="Footer Char"/>
    <w:basedOn w:val="DefaultParagraphFont"/>
    <w:link w:val="Footer"/>
    <w:semiHidden/>
    <w:rsid w:val="007F768C"/>
    <w:rPr>
      <w:rFonts w:ascii="Arial" w:hAnsi="Arial"/>
      <w:sz w:val="12"/>
      <w:szCs w:val="20"/>
      <w:lang w:val="en-US" w:eastAsia="en-US"/>
    </w:rPr>
  </w:style>
  <w:style w:type="paragraph" w:styleId="FootnoteText">
    <w:name w:val="footnote text"/>
    <w:link w:val="FootnoteTextChar"/>
    <w:semiHidden/>
    <w:rsid w:val="007F768C"/>
    <w:pPr>
      <w:tabs>
        <w:tab w:val="left" w:pos="288"/>
      </w:tabs>
      <w:spacing w:after="80" w:line="240" w:lineRule="auto"/>
      <w:ind w:left="288" w:hanging="288"/>
    </w:pPr>
    <w:rPr>
      <w:rFonts w:ascii="Times New Roman" w:hAnsi="Times New Roman"/>
      <w:sz w:val="20"/>
      <w:szCs w:val="20"/>
      <w:lang w:val="en-US" w:eastAsia="en-US"/>
    </w:rPr>
  </w:style>
  <w:style w:type="character" w:customStyle="1" w:styleId="FootnoteTextChar">
    <w:name w:val="Footnote Text Char"/>
    <w:basedOn w:val="DefaultParagraphFont"/>
    <w:link w:val="FootnoteText"/>
    <w:semiHidden/>
    <w:rsid w:val="007F768C"/>
    <w:rPr>
      <w:rFonts w:ascii="Times New Roman" w:hAnsi="Times New Roman"/>
      <w:sz w:val="20"/>
      <w:szCs w:val="20"/>
      <w:lang w:val="en-US" w:eastAsia="en-US"/>
    </w:rPr>
  </w:style>
  <w:style w:type="paragraph" w:customStyle="1" w:styleId="ListFigTab">
    <w:name w:val="List FigTab"/>
    <w:qFormat/>
    <w:rsid w:val="007F768C"/>
    <w:pPr>
      <w:tabs>
        <w:tab w:val="left" w:pos="1170"/>
        <w:tab w:val="right" w:pos="9288"/>
      </w:tabs>
      <w:spacing w:after="180" w:line="240" w:lineRule="auto"/>
      <w:ind w:left="1166" w:right="720" w:hanging="1166"/>
    </w:pPr>
    <w:rPr>
      <w:rFonts w:ascii="Times New Roman" w:hAnsi="Times New Roman"/>
      <w:sz w:val="24"/>
      <w:szCs w:val="20"/>
      <w:lang w:val="en-US" w:eastAsia="en-US"/>
    </w:rPr>
  </w:style>
  <w:style w:type="character" w:styleId="PageNumber">
    <w:name w:val="page number"/>
    <w:basedOn w:val="DefaultParagraphFont"/>
    <w:semiHidden/>
    <w:rsid w:val="007F768C"/>
    <w:rPr>
      <w:rFonts w:ascii="Times New Roman" w:hAnsi="Times New Roman"/>
      <w:sz w:val="24"/>
    </w:rPr>
  </w:style>
  <w:style w:type="paragraph" w:customStyle="1" w:styleId="Reference">
    <w:name w:val="Reference"/>
    <w:qFormat/>
    <w:rsid w:val="007F768C"/>
    <w:pPr>
      <w:spacing w:after="240" w:line="240" w:lineRule="auto"/>
    </w:pPr>
    <w:rPr>
      <w:rFonts w:ascii="Times New Roman" w:hAnsi="Times New Roman"/>
      <w:sz w:val="24"/>
      <w:szCs w:val="20"/>
      <w:lang w:val="en-US" w:eastAsia="en-US"/>
    </w:rPr>
  </w:style>
  <w:style w:type="paragraph" w:customStyle="1" w:styleId="TableText">
    <w:name w:val="Table Text"/>
    <w:qFormat/>
    <w:rsid w:val="007F768C"/>
    <w:pPr>
      <w:spacing w:before="120" w:line="240" w:lineRule="auto"/>
    </w:pPr>
    <w:rPr>
      <w:rFonts w:ascii="Arial" w:hAnsi="Arial"/>
      <w:sz w:val="20"/>
      <w:szCs w:val="20"/>
      <w:lang w:val="en-US" w:eastAsia="en-US"/>
    </w:rPr>
  </w:style>
  <w:style w:type="paragraph" w:customStyle="1" w:styleId="TableTitle">
    <w:name w:val="Table Title"/>
    <w:basedOn w:val="TableText"/>
    <w:next w:val="TableText"/>
    <w:qFormat/>
    <w:rsid w:val="007F768C"/>
    <w:pPr>
      <w:keepNext/>
      <w:keepLines/>
      <w:spacing w:before="0" w:after="120"/>
      <w:ind w:left="1080" w:hanging="1080"/>
    </w:pPr>
    <w:rPr>
      <w:b/>
      <w:sz w:val="22"/>
    </w:rPr>
  </w:style>
  <w:style w:type="paragraph" w:customStyle="1" w:styleId="pbot">
    <w:name w:val="pbot"/>
    <w:basedOn w:val="Normal"/>
    <w:autoRedefine/>
    <w:semiHidden/>
    <w:rsid w:val="007F768C"/>
    <w:pPr>
      <w:framePr w:w="8640" w:hSpace="187" w:vSpace="187" w:wrap="around" w:vAnchor="page" w:hAnchor="margin" w:y="11521"/>
      <w:tabs>
        <w:tab w:val="left" w:pos="2340"/>
      </w:tabs>
      <w:spacing w:before="120" w:after="120" w:line="240" w:lineRule="auto"/>
      <w:ind w:left="2340" w:right="-360" w:hanging="1073"/>
    </w:pPr>
    <w:rPr>
      <w:rFonts w:ascii="Times" w:hAnsi="Times"/>
      <w:sz w:val="24"/>
      <w:szCs w:val="20"/>
      <w:lang w:eastAsia="en-US"/>
    </w:rPr>
  </w:style>
  <w:style w:type="character" w:styleId="FootnoteReference">
    <w:name w:val="footnote reference"/>
    <w:basedOn w:val="DefaultParagraphFont"/>
    <w:semiHidden/>
    <w:rsid w:val="007F768C"/>
    <w:rPr>
      <w:vertAlign w:val="superscript"/>
    </w:rPr>
  </w:style>
  <w:style w:type="paragraph" w:customStyle="1" w:styleId="frontnormal">
    <w:name w:val="front normal"/>
    <w:rsid w:val="007F768C"/>
    <w:pPr>
      <w:spacing w:line="240" w:lineRule="auto"/>
    </w:pPr>
    <w:rPr>
      <w:rFonts w:ascii="Times New Roman" w:hAnsi="Times New Roman"/>
      <w:sz w:val="24"/>
      <w:szCs w:val="20"/>
      <w:lang w:val="en-US" w:eastAsia="en-US"/>
    </w:rPr>
  </w:style>
  <w:style w:type="paragraph" w:customStyle="1" w:styleId="ConfHead">
    <w:name w:val="Conf Head"/>
    <w:semiHidden/>
    <w:rsid w:val="007F768C"/>
    <w:pPr>
      <w:framePr w:w="4417" w:h="1117" w:hSpace="180" w:wrap="around" w:vAnchor="page" w:hAnchor="page" w:x="6793" w:y="529"/>
      <w:pBdr>
        <w:top w:val="single" w:sz="6" w:space="1" w:color="auto"/>
        <w:left w:val="single" w:sz="6" w:space="1" w:color="auto"/>
        <w:bottom w:val="single" w:sz="6" w:space="1" w:color="auto"/>
        <w:right w:val="single" w:sz="6" w:space="1" w:color="auto"/>
      </w:pBdr>
      <w:spacing w:line="240" w:lineRule="auto"/>
      <w:jc w:val="center"/>
    </w:pPr>
    <w:rPr>
      <w:rFonts w:ascii="Arial" w:hAnsi="Arial"/>
      <w:b/>
      <w:kern w:val="16"/>
      <w:position w:val="-6"/>
      <w:sz w:val="17"/>
      <w:szCs w:val="20"/>
      <w:lang w:val="en-US" w:eastAsia="en-US"/>
    </w:rPr>
  </w:style>
  <w:style w:type="paragraph" w:customStyle="1" w:styleId="AppxCover">
    <w:name w:val="AppxCover"/>
    <w:basedOn w:val="frontnormal"/>
    <w:rsid w:val="007F768C"/>
    <w:pPr>
      <w:ind w:right="4406"/>
    </w:pPr>
    <w:rPr>
      <w:rFonts w:ascii="Arial" w:hAnsi="Arial"/>
      <w:b/>
      <w:sz w:val="34"/>
    </w:rPr>
  </w:style>
  <w:style w:type="paragraph" w:customStyle="1" w:styleId="TOCAppxList">
    <w:name w:val="TOC Appx List"/>
    <w:basedOn w:val="frontnormal"/>
    <w:qFormat/>
    <w:rsid w:val="007F768C"/>
    <w:pPr>
      <w:ind w:left="1440" w:hanging="1440"/>
    </w:pPr>
  </w:style>
  <w:style w:type="paragraph" w:customStyle="1" w:styleId="HeadingAppx1">
    <w:name w:val="Heading Appx 1"/>
    <w:next w:val="Normal"/>
    <w:qFormat/>
    <w:rsid w:val="007F768C"/>
    <w:pPr>
      <w:keepNext/>
      <w:pageBreakBefore/>
      <w:pBdr>
        <w:bottom w:val="single" w:sz="12" w:space="1" w:color="auto"/>
      </w:pBdr>
      <w:spacing w:after="560" w:line="240" w:lineRule="auto"/>
      <w:outlineLvl w:val="0"/>
    </w:pPr>
    <w:rPr>
      <w:rFonts w:ascii="Arial" w:hAnsi="Arial"/>
      <w:b/>
      <w:sz w:val="34"/>
      <w:szCs w:val="20"/>
      <w:lang w:val="en-US" w:eastAsia="en-US"/>
    </w:rPr>
  </w:style>
  <w:style w:type="paragraph" w:customStyle="1" w:styleId="HeadingAppx2">
    <w:name w:val="Heading Appx 2"/>
    <w:next w:val="Normal"/>
    <w:qFormat/>
    <w:rsid w:val="007F768C"/>
    <w:pPr>
      <w:keepNext/>
      <w:keepLines/>
      <w:spacing w:before="360" w:after="360" w:line="240" w:lineRule="auto"/>
      <w:outlineLvl w:val="1"/>
    </w:pPr>
    <w:rPr>
      <w:rFonts w:ascii="Arial" w:hAnsi="Arial"/>
      <w:b/>
      <w:sz w:val="30"/>
      <w:szCs w:val="20"/>
      <w:lang w:val="en-US" w:eastAsia="en-US"/>
    </w:rPr>
  </w:style>
  <w:style w:type="paragraph" w:customStyle="1" w:styleId="HeadingAppx3">
    <w:name w:val="Heading Appx 3"/>
    <w:next w:val="Normal"/>
    <w:qFormat/>
    <w:rsid w:val="007F768C"/>
    <w:pPr>
      <w:keepNext/>
      <w:keepLines/>
      <w:spacing w:before="360" w:after="300" w:line="240" w:lineRule="auto"/>
      <w:outlineLvl w:val="2"/>
    </w:pPr>
    <w:rPr>
      <w:rFonts w:ascii="Arial" w:hAnsi="Arial"/>
      <w:b/>
      <w:sz w:val="26"/>
      <w:szCs w:val="20"/>
      <w:lang w:val="en-US" w:eastAsia="en-US"/>
    </w:rPr>
  </w:style>
  <w:style w:type="paragraph" w:customStyle="1" w:styleId="HeadingAppx4">
    <w:name w:val="Heading Appx 4"/>
    <w:next w:val="Normal"/>
    <w:qFormat/>
    <w:rsid w:val="007F768C"/>
    <w:pPr>
      <w:keepNext/>
      <w:keepLines/>
      <w:spacing w:before="360" w:after="240" w:line="240" w:lineRule="auto"/>
      <w:outlineLvl w:val="3"/>
    </w:pPr>
    <w:rPr>
      <w:rFonts w:ascii="Arial" w:hAnsi="Arial"/>
      <w:b/>
      <w:sz w:val="22"/>
      <w:szCs w:val="20"/>
      <w:lang w:val="en-US" w:eastAsia="en-US"/>
    </w:rPr>
  </w:style>
  <w:style w:type="paragraph" w:styleId="Caption">
    <w:name w:val="caption"/>
    <w:next w:val="Normal"/>
    <w:uiPriority w:val="35"/>
    <w:qFormat/>
    <w:rsid w:val="007F768C"/>
    <w:pPr>
      <w:spacing w:before="120" w:after="240" w:line="240" w:lineRule="auto"/>
      <w:ind w:left="1440" w:hanging="1440"/>
    </w:pPr>
    <w:rPr>
      <w:rFonts w:ascii="Arial" w:hAnsi="Arial"/>
      <w:bCs/>
      <w:sz w:val="22"/>
      <w:szCs w:val="20"/>
      <w:lang w:val="en-US" w:eastAsia="en-US"/>
    </w:rPr>
  </w:style>
  <w:style w:type="paragraph" w:customStyle="1" w:styleId="Graphics">
    <w:name w:val="Graphics"/>
    <w:qFormat/>
    <w:rsid w:val="007F768C"/>
    <w:pPr>
      <w:keepNext/>
      <w:spacing w:line="240" w:lineRule="auto"/>
    </w:pPr>
    <w:rPr>
      <w:rFonts w:ascii="Arial" w:hAnsi="Arial"/>
      <w:sz w:val="16"/>
      <w:szCs w:val="20"/>
      <w:lang w:val="en-US" w:eastAsia="en-US"/>
    </w:rPr>
  </w:style>
  <w:style w:type="paragraph" w:customStyle="1" w:styleId="TwinCheck">
    <w:name w:val="Twin Check #"/>
    <w:basedOn w:val="frontnormal"/>
    <w:next w:val="Normal"/>
    <w:qFormat/>
    <w:rsid w:val="007F768C"/>
    <w:pPr>
      <w:keepNext/>
      <w:jc w:val="right"/>
    </w:pPr>
    <w:rPr>
      <w:rFonts w:ascii="Arial" w:hAnsi="Arial"/>
      <w:sz w:val="12"/>
    </w:rPr>
  </w:style>
  <w:style w:type="paragraph" w:styleId="Title">
    <w:name w:val="Title"/>
    <w:next w:val="Normal"/>
    <w:link w:val="TitleChar"/>
    <w:qFormat/>
    <w:rsid w:val="007F768C"/>
    <w:pPr>
      <w:keepNext/>
      <w:pBdr>
        <w:bottom w:val="single" w:sz="12" w:space="1" w:color="auto"/>
      </w:pBdr>
      <w:spacing w:after="560" w:line="240" w:lineRule="auto"/>
      <w:outlineLvl w:val="0"/>
    </w:pPr>
    <w:rPr>
      <w:rFonts w:ascii="Arial" w:hAnsi="Arial" w:cs="Arial"/>
      <w:b/>
      <w:bCs/>
      <w:sz w:val="34"/>
      <w:szCs w:val="32"/>
      <w:lang w:val="en-US" w:eastAsia="en-US"/>
    </w:rPr>
  </w:style>
  <w:style w:type="character" w:customStyle="1" w:styleId="TitleChar">
    <w:name w:val="Title Char"/>
    <w:basedOn w:val="DefaultParagraphFont"/>
    <w:link w:val="Title"/>
    <w:rsid w:val="007F768C"/>
    <w:rPr>
      <w:rFonts w:ascii="Arial" w:hAnsi="Arial" w:cs="Arial"/>
      <w:b/>
      <w:bCs/>
      <w:sz w:val="34"/>
      <w:szCs w:val="32"/>
      <w:lang w:val="en-US" w:eastAsia="en-US"/>
    </w:rPr>
  </w:style>
  <w:style w:type="paragraph" w:customStyle="1" w:styleId="phoriz">
    <w:name w:val="phoriz"/>
    <w:basedOn w:val="Normal"/>
    <w:semiHidden/>
    <w:rsid w:val="007F768C"/>
    <w:pPr>
      <w:framePr w:w="8640" w:hSpace="180" w:wrap="auto" w:vAnchor="page" w:hAnchor="margin" w:y="10080"/>
      <w:tabs>
        <w:tab w:val="left" w:pos="2420"/>
      </w:tabs>
      <w:spacing w:before="120" w:after="120" w:line="360" w:lineRule="atLeast"/>
      <w:ind w:left="2340" w:right="-360" w:hanging="1080"/>
    </w:pPr>
    <w:rPr>
      <w:rFonts w:ascii="Times New Roman" w:hAnsi="Times New Roman"/>
      <w:color w:val="000000"/>
      <w:sz w:val="24"/>
      <w:szCs w:val="20"/>
      <w:lang w:eastAsia="en-US"/>
    </w:rPr>
  </w:style>
  <w:style w:type="paragraph" w:customStyle="1" w:styleId="ptop">
    <w:name w:val="ptop"/>
    <w:basedOn w:val="pbot"/>
    <w:semiHidden/>
    <w:rsid w:val="007F768C"/>
    <w:pPr>
      <w:framePr w:wrap="around" w:y="7200"/>
    </w:pPr>
  </w:style>
  <w:style w:type="paragraph" w:customStyle="1" w:styleId="pvert">
    <w:name w:val="pvert"/>
    <w:basedOn w:val="Normal"/>
    <w:semiHidden/>
    <w:rsid w:val="007F768C"/>
    <w:pPr>
      <w:framePr w:w="8640" w:hSpace="180" w:vSpace="180" w:wrap="auto" w:vAnchor="page" w:hAnchor="margin" w:y="11160"/>
      <w:tabs>
        <w:tab w:val="left" w:pos="2420"/>
      </w:tabs>
      <w:spacing w:before="120" w:after="120" w:line="360" w:lineRule="atLeast"/>
      <w:ind w:left="2340" w:right="-360" w:hanging="1080"/>
    </w:pPr>
    <w:rPr>
      <w:rFonts w:ascii="Times" w:hAnsi="Times"/>
      <w:sz w:val="24"/>
      <w:szCs w:val="20"/>
      <w:lang w:eastAsia="en-US"/>
    </w:rPr>
  </w:style>
  <w:style w:type="paragraph" w:styleId="TOC5">
    <w:name w:val="toc 5"/>
    <w:next w:val="Normal"/>
    <w:semiHidden/>
    <w:rsid w:val="007F768C"/>
    <w:pPr>
      <w:tabs>
        <w:tab w:val="right" w:pos="9360"/>
      </w:tabs>
      <w:spacing w:line="240" w:lineRule="auto"/>
      <w:ind w:left="1440" w:right="432" w:hanging="1440"/>
    </w:pPr>
    <w:rPr>
      <w:rFonts w:ascii="Times New Roman" w:hAnsi="Times New Roman"/>
      <w:sz w:val="24"/>
      <w:szCs w:val="20"/>
      <w:lang w:val="en-US" w:eastAsia="en-US"/>
    </w:rPr>
  </w:style>
  <w:style w:type="paragraph" w:styleId="TOC6">
    <w:name w:val="toc 6"/>
    <w:basedOn w:val="Normal"/>
    <w:next w:val="Normal"/>
    <w:autoRedefine/>
    <w:semiHidden/>
    <w:rsid w:val="007F768C"/>
    <w:pPr>
      <w:spacing w:after="360" w:line="360" w:lineRule="auto"/>
      <w:ind w:left="1200"/>
    </w:pPr>
    <w:rPr>
      <w:rFonts w:ascii="Times New Roman" w:hAnsi="Times New Roman"/>
      <w:sz w:val="24"/>
      <w:szCs w:val="20"/>
      <w:lang w:eastAsia="en-US"/>
    </w:rPr>
  </w:style>
  <w:style w:type="paragraph" w:styleId="TOC7">
    <w:name w:val="toc 7"/>
    <w:basedOn w:val="Normal"/>
    <w:next w:val="Normal"/>
    <w:autoRedefine/>
    <w:semiHidden/>
    <w:rsid w:val="007F768C"/>
    <w:pPr>
      <w:spacing w:after="360" w:line="360" w:lineRule="auto"/>
      <w:ind w:left="1440"/>
    </w:pPr>
    <w:rPr>
      <w:rFonts w:ascii="Times New Roman" w:hAnsi="Times New Roman"/>
      <w:sz w:val="24"/>
      <w:szCs w:val="20"/>
      <w:lang w:eastAsia="en-US"/>
    </w:rPr>
  </w:style>
  <w:style w:type="paragraph" w:styleId="TOC8">
    <w:name w:val="toc 8"/>
    <w:basedOn w:val="Normal"/>
    <w:next w:val="Normal"/>
    <w:autoRedefine/>
    <w:semiHidden/>
    <w:rsid w:val="007F768C"/>
    <w:pPr>
      <w:spacing w:after="360" w:line="360" w:lineRule="auto"/>
      <w:ind w:left="1680"/>
    </w:pPr>
    <w:rPr>
      <w:rFonts w:ascii="Times New Roman" w:hAnsi="Times New Roman"/>
      <w:sz w:val="24"/>
      <w:szCs w:val="20"/>
      <w:lang w:eastAsia="en-US"/>
    </w:rPr>
  </w:style>
  <w:style w:type="paragraph" w:styleId="TOC9">
    <w:name w:val="toc 9"/>
    <w:basedOn w:val="Normal"/>
    <w:next w:val="Normal"/>
    <w:autoRedefine/>
    <w:semiHidden/>
    <w:rsid w:val="007F768C"/>
    <w:pPr>
      <w:spacing w:after="360" w:line="360" w:lineRule="auto"/>
      <w:ind w:left="1920"/>
    </w:pPr>
    <w:rPr>
      <w:rFonts w:ascii="Times New Roman" w:hAnsi="Times New Roman"/>
      <w:sz w:val="24"/>
      <w:szCs w:val="20"/>
      <w:lang w:eastAsia="en-US"/>
    </w:rPr>
  </w:style>
  <w:style w:type="character" w:styleId="FollowedHyperlink">
    <w:name w:val="FollowedHyperlink"/>
    <w:basedOn w:val="DefaultParagraphFont"/>
    <w:uiPriority w:val="99"/>
    <w:semiHidden/>
    <w:unhideWhenUsed/>
    <w:rsid w:val="007F768C"/>
    <w:rPr>
      <w:color w:val="800080" w:themeColor="followedHyperlink"/>
      <w:u w:val="single"/>
    </w:rPr>
  </w:style>
  <w:style w:type="paragraph" w:styleId="ListParagraph">
    <w:name w:val="List Paragraph"/>
    <w:basedOn w:val="Normal"/>
    <w:uiPriority w:val="34"/>
    <w:qFormat/>
    <w:rsid w:val="007F768C"/>
    <w:pPr>
      <w:spacing w:after="360" w:line="360" w:lineRule="auto"/>
      <w:ind w:left="720"/>
      <w:contextualSpacing/>
    </w:pPr>
    <w:rPr>
      <w:rFonts w:ascii="Times New Roman" w:hAnsi="Times New Roman"/>
      <w:sz w:val="24"/>
      <w:szCs w:val="20"/>
      <w:lang w:eastAsia="en-US"/>
    </w:rPr>
  </w:style>
  <w:style w:type="character" w:customStyle="1" w:styleId="UnresolvedMention1">
    <w:name w:val="Unresolved Mention1"/>
    <w:basedOn w:val="DefaultParagraphFont"/>
    <w:uiPriority w:val="99"/>
    <w:semiHidden/>
    <w:unhideWhenUsed/>
    <w:rsid w:val="007F768C"/>
    <w:rPr>
      <w:color w:val="605E5C"/>
      <w:shd w:val="clear" w:color="auto" w:fill="E1DFDD"/>
    </w:rPr>
  </w:style>
  <w:style w:type="character" w:styleId="CommentReference">
    <w:name w:val="annotation reference"/>
    <w:basedOn w:val="DefaultParagraphFont"/>
    <w:uiPriority w:val="99"/>
    <w:semiHidden/>
    <w:unhideWhenUsed/>
    <w:rsid w:val="007F768C"/>
    <w:rPr>
      <w:sz w:val="16"/>
      <w:szCs w:val="16"/>
    </w:rPr>
  </w:style>
  <w:style w:type="paragraph" w:styleId="CommentText">
    <w:name w:val="annotation text"/>
    <w:basedOn w:val="Normal"/>
    <w:link w:val="CommentTextChar"/>
    <w:uiPriority w:val="99"/>
    <w:semiHidden/>
    <w:unhideWhenUsed/>
    <w:rsid w:val="007F768C"/>
    <w:pPr>
      <w:spacing w:after="36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uiPriority w:val="99"/>
    <w:semiHidden/>
    <w:rsid w:val="007F768C"/>
    <w:rPr>
      <w:rFonts w:ascii="Times New Roman" w:hAnsi="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7F768C"/>
    <w:rPr>
      <w:b/>
      <w:bCs/>
    </w:rPr>
  </w:style>
  <w:style w:type="character" w:customStyle="1" w:styleId="CommentSubjectChar">
    <w:name w:val="Comment Subject Char"/>
    <w:basedOn w:val="CommentTextChar"/>
    <w:link w:val="CommentSubject"/>
    <w:uiPriority w:val="99"/>
    <w:semiHidden/>
    <w:rsid w:val="007F768C"/>
    <w:rPr>
      <w:rFonts w:ascii="Times New Roman" w:hAnsi="Times New Roman"/>
      <w:b/>
      <w:bCs/>
      <w:sz w:val="20"/>
      <w:szCs w:val="20"/>
      <w:lang w:val="en-US" w:eastAsia="en-US"/>
    </w:rPr>
  </w:style>
  <w:style w:type="table" w:styleId="TableGrid">
    <w:name w:val="Table Grid"/>
    <w:basedOn w:val="TableNormal"/>
    <w:uiPriority w:val="59"/>
    <w:rsid w:val="007F768C"/>
    <w:pPr>
      <w:spacing w:line="240" w:lineRule="auto"/>
    </w:pPr>
    <w:rPr>
      <w:rFonts w:ascii="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768C"/>
    <w:pPr>
      <w:spacing w:line="240" w:lineRule="auto"/>
    </w:pPr>
    <w:rPr>
      <w:rFonts w:ascii="Times New Roman" w:hAnsi="Times New Roman"/>
      <w:sz w:val="24"/>
      <w:szCs w:val="20"/>
      <w:lang w:val="en-US" w:eastAsia="en-US"/>
    </w:rPr>
  </w:style>
  <w:style w:type="character" w:customStyle="1" w:styleId="UnresolvedMention2">
    <w:name w:val="Unresolved Mention2"/>
    <w:basedOn w:val="DefaultParagraphFont"/>
    <w:uiPriority w:val="99"/>
    <w:semiHidden/>
    <w:unhideWhenUsed/>
    <w:rsid w:val="007F768C"/>
    <w:rPr>
      <w:color w:val="605E5C"/>
      <w:shd w:val="clear" w:color="auto" w:fill="E1DFDD"/>
    </w:rPr>
  </w:style>
  <w:style w:type="character" w:customStyle="1" w:styleId="UnresolvedMention3">
    <w:name w:val="Unresolved Mention3"/>
    <w:basedOn w:val="DefaultParagraphFont"/>
    <w:uiPriority w:val="99"/>
    <w:semiHidden/>
    <w:unhideWhenUsed/>
    <w:rsid w:val="007F768C"/>
    <w:rPr>
      <w:color w:val="605E5C"/>
      <w:shd w:val="clear" w:color="auto" w:fill="E1DFDD"/>
    </w:rPr>
  </w:style>
  <w:style w:type="paragraph" w:customStyle="1" w:styleId="Default">
    <w:name w:val="Default"/>
    <w:rsid w:val="007F768C"/>
    <w:pPr>
      <w:autoSpaceDE w:val="0"/>
      <w:autoSpaceDN w:val="0"/>
      <w:adjustRightInd w:val="0"/>
      <w:spacing w:line="240" w:lineRule="auto"/>
    </w:pPr>
    <w:rPr>
      <w:rFonts w:ascii="Times New Roman PSMT" w:hAnsi="Times New Roman PSMT" w:cs="Times New Roman PSMT"/>
      <w:color w:val="000000"/>
      <w:sz w:val="24"/>
      <w:szCs w:val="24"/>
      <w:lang w:val="en-US" w:eastAsia="en-US"/>
    </w:rPr>
  </w:style>
  <w:style w:type="character" w:customStyle="1" w:styleId="UnresolvedMention4">
    <w:name w:val="Unresolved Mention4"/>
    <w:basedOn w:val="DefaultParagraphFont"/>
    <w:uiPriority w:val="99"/>
    <w:semiHidden/>
    <w:unhideWhenUsed/>
    <w:rsid w:val="007F768C"/>
    <w:rPr>
      <w:color w:val="605E5C"/>
      <w:shd w:val="clear" w:color="auto" w:fill="E1DFDD"/>
    </w:rPr>
  </w:style>
  <w:style w:type="paragraph" w:styleId="ListNumber2">
    <w:name w:val="List Number 2"/>
    <w:basedOn w:val="Normal"/>
    <w:uiPriority w:val="99"/>
    <w:semiHidden/>
    <w:rsid w:val="00F10E0E"/>
    <w:pPr>
      <w:numPr>
        <w:numId w:val="50"/>
      </w:numPr>
      <w:contextualSpacing/>
    </w:pPr>
    <w:rPr>
      <w:rFonts w:eastAsiaTheme="minorHAnsi" w:cstheme="minorBidi"/>
      <w:lang w:eastAsia="en-US"/>
    </w:rPr>
  </w:style>
  <w:style w:type="character" w:customStyle="1" w:styleId="UnresolvedMention">
    <w:name w:val="Unresolved Mention"/>
    <w:basedOn w:val="DefaultParagraphFont"/>
    <w:uiPriority w:val="99"/>
    <w:unhideWhenUsed/>
    <w:rsid w:val="009E1A28"/>
    <w:rPr>
      <w:color w:val="605E5C"/>
      <w:shd w:val="clear" w:color="auto" w:fill="E1DFDD"/>
    </w:rPr>
  </w:style>
  <w:style w:type="character" w:customStyle="1" w:styleId="Mention">
    <w:name w:val="Mention"/>
    <w:basedOn w:val="DefaultParagraphFont"/>
    <w:uiPriority w:val="99"/>
    <w:unhideWhenUsed/>
    <w:rsid w:val="009E1A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8133">
      <w:bodyDiv w:val="1"/>
      <w:marLeft w:val="0"/>
      <w:marRight w:val="0"/>
      <w:marTop w:val="0"/>
      <w:marBottom w:val="0"/>
      <w:divBdr>
        <w:top w:val="none" w:sz="0" w:space="0" w:color="auto"/>
        <w:left w:val="none" w:sz="0" w:space="0" w:color="auto"/>
        <w:bottom w:val="none" w:sz="0" w:space="0" w:color="auto"/>
        <w:right w:val="none" w:sz="0" w:space="0" w:color="auto"/>
      </w:divBdr>
    </w:div>
    <w:div w:id="745691508">
      <w:bodyDiv w:val="1"/>
      <w:marLeft w:val="0"/>
      <w:marRight w:val="0"/>
      <w:marTop w:val="0"/>
      <w:marBottom w:val="0"/>
      <w:divBdr>
        <w:top w:val="none" w:sz="0" w:space="0" w:color="auto"/>
        <w:left w:val="none" w:sz="0" w:space="0" w:color="auto"/>
        <w:bottom w:val="none" w:sz="0" w:space="0" w:color="auto"/>
        <w:right w:val="none" w:sz="0" w:space="0" w:color="auto"/>
      </w:divBdr>
    </w:div>
    <w:div w:id="1089887170">
      <w:bodyDiv w:val="1"/>
      <w:marLeft w:val="0"/>
      <w:marRight w:val="0"/>
      <w:marTop w:val="0"/>
      <w:marBottom w:val="0"/>
      <w:divBdr>
        <w:top w:val="none" w:sz="0" w:space="0" w:color="auto"/>
        <w:left w:val="none" w:sz="0" w:space="0" w:color="auto"/>
        <w:bottom w:val="none" w:sz="0" w:space="0" w:color="auto"/>
        <w:right w:val="none" w:sz="0" w:space="0" w:color="auto"/>
      </w:divBdr>
    </w:div>
    <w:div w:id="1112434621">
      <w:bodyDiv w:val="1"/>
      <w:marLeft w:val="0"/>
      <w:marRight w:val="0"/>
      <w:marTop w:val="0"/>
      <w:marBottom w:val="0"/>
      <w:divBdr>
        <w:top w:val="none" w:sz="0" w:space="0" w:color="auto"/>
        <w:left w:val="none" w:sz="0" w:space="0" w:color="auto"/>
        <w:bottom w:val="none" w:sz="0" w:space="0" w:color="auto"/>
        <w:right w:val="none" w:sz="0" w:space="0" w:color="auto"/>
      </w:divBdr>
      <w:divsChild>
        <w:div w:id="400492656">
          <w:marLeft w:val="0"/>
          <w:marRight w:val="0"/>
          <w:marTop w:val="0"/>
          <w:marBottom w:val="0"/>
          <w:divBdr>
            <w:top w:val="none" w:sz="0" w:space="0" w:color="auto"/>
            <w:left w:val="none" w:sz="0" w:space="0" w:color="auto"/>
            <w:bottom w:val="none" w:sz="0" w:space="0" w:color="auto"/>
            <w:right w:val="none" w:sz="0" w:space="0" w:color="auto"/>
          </w:divBdr>
        </w:div>
        <w:div w:id="519665276">
          <w:marLeft w:val="0"/>
          <w:marRight w:val="0"/>
          <w:marTop w:val="0"/>
          <w:marBottom w:val="0"/>
          <w:divBdr>
            <w:top w:val="none" w:sz="0" w:space="0" w:color="auto"/>
            <w:left w:val="none" w:sz="0" w:space="0" w:color="auto"/>
            <w:bottom w:val="none" w:sz="0" w:space="0" w:color="auto"/>
            <w:right w:val="none" w:sz="0" w:space="0" w:color="auto"/>
          </w:divBdr>
        </w:div>
        <w:div w:id="609552473">
          <w:marLeft w:val="0"/>
          <w:marRight w:val="0"/>
          <w:marTop w:val="0"/>
          <w:marBottom w:val="0"/>
          <w:divBdr>
            <w:top w:val="none" w:sz="0" w:space="0" w:color="auto"/>
            <w:left w:val="none" w:sz="0" w:space="0" w:color="auto"/>
            <w:bottom w:val="none" w:sz="0" w:space="0" w:color="auto"/>
            <w:right w:val="none" w:sz="0" w:space="0" w:color="auto"/>
          </w:divBdr>
        </w:div>
        <w:div w:id="872692799">
          <w:marLeft w:val="0"/>
          <w:marRight w:val="0"/>
          <w:marTop w:val="0"/>
          <w:marBottom w:val="0"/>
          <w:divBdr>
            <w:top w:val="none" w:sz="0" w:space="0" w:color="auto"/>
            <w:left w:val="none" w:sz="0" w:space="0" w:color="auto"/>
            <w:bottom w:val="none" w:sz="0" w:space="0" w:color="auto"/>
            <w:right w:val="none" w:sz="0" w:space="0" w:color="auto"/>
          </w:divBdr>
        </w:div>
        <w:div w:id="1046295700">
          <w:marLeft w:val="0"/>
          <w:marRight w:val="0"/>
          <w:marTop w:val="0"/>
          <w:marBottom w:val="0"/>
          <w:divBdr>
            <w:top w:val="none" w:sz="0" w:space="0" w:color="auto"/>
            <w:left w:val="none" w:sz="0" w:space="0" w:color="auto"/>
            <w:bottom w:val="none" w:sz="0" w:space="0" w:color="auto"/>
            <w:right w:val="none" w:sz="0" w:space="0" w:color="auto"/>
          </w:divBdr>
        </w:div>
        <w:div w:id="1170833395">
          <w:marLeft w:val="0"/>
          <w:marRight w:val="0"/>
          <w:marTop w:val="0"/>
          <w:marBottom w:val="0"/>
          <w:divBdr>
            <w:top w:val="none" w:sz="0" w:space="0" w:color="auto"/>
            <w:left w:val="none" w:sz="0" w:space="0" w:color="auto"/>
            <w:bottom w:val="none" w:sz="0" w:space="0" w:color="auto"/>
            <w:right w:val="none" w:sz="0" w:space="0" w:color="auto"/>
          </w:divBdr>
        </w:div>
        <w:div w:id="1552837951">
          <w:marLeft w:val="0"/>
          <w:marRight w:val="0"/>
          <w:marTop w:val="0"/>
          <w:marBottom w:val="0"/>
          <w:divBdr>
            <w:top w:val="none" w:sz="0" w:space="0" w:color="auto"/>
            <w:left w:val="none" w:sz="0" w:space="0" w:color="auto"/>
            <w:bottom w:val="none" w:sz="0" w:space="0" w:color="auto"/>
            <w:right w:val="none" w:sz="0" w:space="0" w:color="auto"/>
          </w:divBdr>
        </w:div>
      </w:divsChild>
    </w:div>
    <w:div w:id="1186410649">
      <w:bodyDiv w:val="1"/>
      <w:marLeft w:val="0"/>
      <w:marRight w:val="0"/>
      <w:marTop w:val="0"/>
      <w:marBottom w:val="0"/>
      <w:divBdr>
        <w:top w:val="none" w:sz="0" w:space="0" w:color="auto"/>
        <w:left w:val="none" w:sz="0" w:space="0" w:color="auto"/>
        <w:bottom w:val="none" w:sz="0" w:space="0" w:color="auto"/>
        <w:right w:val="none" w:sz="0" w:space="0" w:color="auto"/>
      </w:divBdr>
    </w:div>
    <w:div w:id="20290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26655916DF746808A4E185038A60E" ma:contentTypeVersion="6" ma:contentTypeDescription="Create a new document." ma:contentTypeScope="" ma:versionID="d28e8ebfa09282ffde2fc6f1a926894e">
  <xsd:schema xmlns:xsd="http://www.w3.org/2001/XMLSchema" xmlns:xs="http://www.w3.org/2001/XMLSchema" xmlns:p="http://schemas.microsoft.com/office/2006/metadata/properties" xmlns:ns2="bf53be6b-23bd-4d23-bf89-4bee669b2d92" xmlns:ns3="53841f0f-cb78-46cd-bd28-f940340be08c" targetNamespace="http://schemas.microsoft.com/office/2006/metadata/properties" ma:root="true" ma:fieldsID="548eca0af8e3f10fdc7e57cac5875b95" ns2:_="" ns3:_="">
    <xsd:import namespace="bf53be6b-23bd-4d23-bf89-4bee669b2d92"/>
    <xsd:import namespace="53841f0f-cb78-46cd-bd28-f940340be0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be6b-23bd-4d23-bf89-4bee669b2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841f0f-cb78-46cd-bd28-f940340be0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8408E-5E86-4688-885F-E38A06943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42F9AE-0825-413A-A82F-D5326E5F5F54}">
  <ds:schemaRefs>
    <ds:schemaRef ds:uri="http://schemas.microsoft.com/sharepoint/v3/contenttype/forms"/>
  </ds:schemaRefs>
</ds:datastoreItem>
</file>

<file path=customXml/itemProps3.xml><?xml version="1.0" encoding="utf-8"?>
<ds:datastoreItem xmlns:ds="http://schemas.openxmlformats.org/officeDocument/2006/customXml" ds:itemID="{85CEE91D-388D-4E4B-8F0A-D108D3EA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be6b-23bd-4d23-bf89-4bee669b2d92"/>
    <ds:schemaRef ds:uri="53841f0f-cb78-46cd-bd28-f940340be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4C8FC-6776-480A-9241-6F67F86C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24672</Words>
  <Characters>140634</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Report</vt:lpstr>
    </vt:vector>
  </TitlesOfParts>
  <Company>Ramboll</Company>
  <LinksUpToDate>false</LinksUpToDate>
  <CharactersWithSpaces>164977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Ginger White</dc:creator>
  <cp:keywords/>
  <dc:description/>
  <cp:lastModifiedBy>Hunt, Joe (ECY)</cp:lastModifiedBy>
  <cp:revision>2</cp:revision>
  <cp:lastPrinted>2015-05-14T18:49:00Z</cp:lastPrinted>
  <dcterms:created xsi:type="dcterms:W3CDTF">2022-04-27T21:12:00Z</dcterms:created>
  <dcterms:modified xsi:type="dcterms:W3CDTF">2022-04-27T21:12:00Z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kOvsSupplements">
    <vt:lpwstr>Supplements</vt:lpwstr>
  </property>
  <property fmtid="{D5CDD505-2E9C-101B-9397-08002B2CF9AE}" pid="3" name="bmkOvsSupplement">
    <vt:lpwstr>Supplement</vt:lpwstr>
  </property>
  <property fmtid="{D5CDD505-2E9C-101B-9397-08002B2CF9AE}" pid="4" name="SD_KeepOpenIfEmpty">
    <vt:lpwstr>False</vt:lpwstr>
  </property>
  <property fmtid="{D5CDD505-2E9C-101B-9397-08002B2CF9AE}" pid="5" name="SD_ShowDocumentInfo">
    <vt:lpwstr>True</vt:lpwstr>
  </property>
  <property fmtid="{D5CDD505-2E9C-101B-9397-08002B2CF9AE}" pid="6" name="SD_ShowGeneralPanel">
    <vt:lpwstr>True</vt:lpwstr>
  </property>
  <property fmtid="{D5CDD505-2E9C-101B-9397-08002B2CF9AE}" pid="7" name="SD_BrandingGraphicBehavior">
    <vt:lpwstr>Report</vt:lpwstr>
  </property>
  <property fmtid="{D5CDD505-2E9C-101B-9397-08002B2CF9AE}" pid="8" name="SD_PageOrientationBehavior">
    <vt:lpwstr>Report</vt:lpwstr>
  </property>
  <property fmtid="{D5CDD505-2E9C-101B-9397-08002B2CF9AE}" pid="9" name="Ram_Document_Title1">
    <vt:lpwstr> </vt:lpwstr>
  </property>
  <property fmtid="{D5CDD505-2E9C-101B-9397-08002B2CF9AE}" pid="10" name="Ram_Document_Title2">
    <vt:lpwstr> </vt:lpwstr>
  </property>
  <property fmtid="{D5CDD505-2E9C-101B-9397-08002B2CF9AE}" pid="11" name="Ram_Document_Date">
    <vt:lpwstr> </vt:lpwstr>
  </property>
  <property fmtid="{D5CDD505-2E9C-101B-9397-08002B2CF9AE}" pid="12" name="Ram_Document_DocID">
    <vt:lpwstr> </vt:lpwstr>
  </property>
  <property fmtid="{D5CDD505-2E9C-101B-9397-08002B2CF9AE}" pid="13" name="Ram_Document_Version">
    <vt:lpwstr> </vt:lpwstr>
  </property>
  <property fmtid="{D5CDD505-2E9C-101B-9397-08002B2CF9AE}" pid="14" name="Ram_Project_Number">
    <vt:lpwstr> </vt:lpwstr>
  </property>
  <property fmtid="{D5CDD505-2E9C-101B-9397-08002B2CF9AE}" pid="15" name="Ram_Document_VersionDescription">
    <vt:lpwstr> </vt:lpwstr>
  </property>
  <property fmtid="{D5CDD505-2E9C-101B-9397-08002B2CF9AE}" pid="16" name="DlgAdress">
    <vt:bool>true</vt:bool>
  </property>
  <property fmtid="{D5CDD505-2E9C-101B-9397-08002B2CF9AE}" pid="17" name="DlgAnvändere">
    <vt:bool>true</vt:bool>
  </property>
  <property fmtid="{D5CDD505-2E9C-101B-9397-08002B2CF9AE}" pid="18" name="DlgUppdrag">
    <vt:bool>true</vt:bool>
  </property>
  <property fmtid="{D5CDD505-2E9C-101B-9397-08002B2CF9AE}" pid="19" name="Ram_Document_DocStructureID">
    <vt:lpwstr> </vt:lpwstr>
  </property>
  <property fmtid="{D5CDD505-2E9C-101B-9397-08002B2CF9AE}" pid="20" name="Ram_Document_CheckedBy">
    <vt:lpwstr> </vt:lpwstr>
  </property>
  <property fmtid="{D5CDD505-2E9C-101B-9397-08002B2CF9AE}" pid="21" name="Ram_Document_ApprovedBy">
    <vt:lpwstr> </vt:lpwstr>
  </property>
  <property fmtid="{D5CDD505-2E9C-101B-9397-08002B2CF9AE}" pid="22" name="Ram_Document_PreparedBy">
    <vt:lpwstr> </vt:lpwstr>
  </property>
  <property fmtid="{D5CDD505-2E9C-101B-9397-08002B2CF9AE}" pid="23" name="SD_TemplateGroup">
    <vt:lpwstr>Report</vt:lpwstr>
  </property>
  <property fmtid="{D5CDD505-2E9C-101B-9397-08002B2CF9AE}" pid="24" name="sdSharePointPropertyTranslation">
    <vt:lpwstr>True</vt:lpwstr>
  </property>
  <property fmtid="{D5CDD505-2E9C-101B-9397-08002B2CF9AE}" pid="25" name="SD_DocumentLanguageString">
    <vt:lpwstr>English (US)</vt:lpwstr>
  </property>
  <property fmtid="{D5CDD505-2E9C-101B-9397-08002B2CF9AE}" pid="26" name="SD_CtlText_Usersettings_Userprofile">
    <vt:lpwstr>Alison Specht</vt:lpwstr>
  </property>
  <property fmtid="{D5CDD505-2E9C-101B-9397-08002B2CF9AE}" pid="27" name="SD_DocumentLanguage">
    <vt:lpwstr>en-US</vt:lpwstr>
  </property>
  <property fmtid="{D5CDD505-2E9C-101B-9397-08002B2CF9AE}" pid="28" name="sdDocumentDate">
    <vt:lpwstr>42132</vt:lpwstr>
  </property>
  <property fmtid="{D5CDD505-2E9C-101B-9397-08002B2CF9AE}" pid="29" name="sdDocumentDateFormat">
    <vt:lpwstr>en-US:MMMM dd, yyyy</vt:lpwstr>
  </property>
  <property fmtid="{D5CDD505-2E9C-101B-9397-08002B2CF9AE}" pid="30" name="SD_CtlText_General_MadeBy">
    <vt:lpwstr> </vt:lpwstr>
  </property>
  <property fmtid="{D5CDD505-2E9C-101B-9397-08002B2CF9AE}" pid="31" name="SD_CtlText_General_CheckedBy">
    <vt:lpwstr> </vt:lpwstr>
  </property>
  <property fmtid="{D5CDD505-2E9C-101B-9397-08002B2CF9AE}" pid="32" name="SD_CtlText_General_ApprovedBy">
    <vt:lpwstr> </vt:lpwstr>
  </property>
  <property fmtid="{D5CDD505-2E9C-101B-9397-08002B2CF9AE}" pid="33" name="SD_UserprofileName">
    <vt:lpwstr>Alison Specht</vt:lpwstr>
  </property>
  <property fmtid="{D5CDD505-2E9C-101B-9397-08002B2CF9AE}" pid="34" name="SD_Office_SD_OFF_ID">
    <vt:lpwstr>331</vt:lpwstr>
  </property>
  <property fmtid="{D5CDD505-2E9C-101B-9397-08002B2CF9AE}" pid="35" name="SD_Office_SD_OFF_Country">
    <vt:lpwstr>USA</vt:lpwstr>
  </property>
  <property fmtid="{D5CDD505-2E9C-101B-9397-08002B2CF9AE}" pid="36" name="SD_Office_SD_OFF_Offices">
    <vt:lpwstr>Princeton - Ramboll Environ</vt:lpwstr>
  </property>
  <property fmtid="{D5CDD505-2E9C-101B-9397-08002B2CF9AE}" pid="37" name="SD_Office_SD_OFF_Name">
    <vt:lpwstr>Ramboll Environ</vt:lpwstr>
  </property>
  <property fmtid="{D5CDD505-2E9C-101B-9397-08002B2CF9AE}" pid="38" name="SD_Office_SD_OFF_Name_Label">
    <vt:lpwstr>Ramboll Environ</vt:lpwstr>
  </property>
  <property fmtid="{D5CDD505-2E9C-101B-9397-08002B2CF9AE}" pid="39" name="SD_Office_SD_OFF_Address">
    <vt:lpwstr>214 Carnegie Center¤Suite 200¤Princeton, NJ 08540¤USA</vt:lpwstr>
  </property>
  <property fmtid="{D5CDD505-2E9C-101B-9397-08002B2CF9AE}" pid="40" name="SD_Office_SD_OFF_Address_Label">
    <vt:lpwstr/>
  </property>
  <property fmtid="{D5CDD505-2E9C-101B-9397-08002B2CF9AE}" pid="41" name="SD_Office_SD_OFF_DatePrefix">
    <vt:lpwstr/>
  </property>
  <property fmtid="{D5CDD505-2E9C-101B-9397-08002B2CF9AE}" pid="42" name="SD_Office_SD_OFF_CVR">
    <vt:lpwstr/>
  </property>
  <property fmtid="{D5CDD505-2E9C-101B-9397-08002B2CF9AE}" pid="43" name="SD_Office_SD_OFF_CVRspecial">
    <vt:lpwstr/>
  </property>
  <property fmtid="{D5CDD505-2E9C-101B-9397-08002B2CF9AE}" pid="44" name="SD_Office_SD_OFF_EmailCVR">
    <vt:lpwstr/>
  </property>
  <property fmtid="{D5CDD505-2E9C-101B-9397-08002B2CF9AE}" pid="45" name="SD_Office_SD_OFF_Phone">
    <vt:lpwstr>+1 609 452 9000</vt:lpwstr>
  </property>
  <property fmtid="{D5CDD505-2E9C-101B-9397-08002B2CF9AE}" pid="46" name="SD_Office_SD_OFF_Fax">
    <vt:lpwstr>+1 609 452 0284</vt:lpwstr>
  </property>
  <property fmtid="{D5CDD505-2E9C-101B-9397-08002B2CF9AE}" pid="47" name="SD_Office_SD_OFF_Web">
    <vt:lpwstr>www.ramboll-environ.com</vt:lpwstr>
  </property>
  <property fmtid="{D5CDD505-2E9C-101B-9397-08002B2CF9AE}" pid="48" name="SD_Office_SD_OFF_LegalName">
    <vt:lpwstr/>
  </property>
  <property fmtid="{D5CDD505-2E9C-101B-9397-08002B2CF9AE}" pid="49" name="SD_Office_SD_OFF_SignOffSpacing">
    <vt:lpwstr>&lt;none&gt;</vt:lpwstr>
  </property>
  <property fmtid="{D5CDD505-2E9C-101B-9397-08002B2CF9AE}" pid="50" name="SD_Office_SD_OFF_ArtworkDefinition">
    <vt:lpwstr/>
  </property>
  <property fmtid="{D5CDD505-2E9C-101B-9397-08002B2CF9AE}" pid="51" name="SD_Office_SD_OFF_ImageDefinition_NOTINUSE">
    <vt:lpwstr>Default</vt:lpwstr>
  </property>
  <property fmtid="{D5CDD505-2E9C-101B-9397-08002B2CF9AE}" pid="52" name="SD_Office_SD_OFF_Dear">
    <vt:lpwstr/>
  </property>
  <property fmtid="{D5CDD505-2E9C-101B-9397-08002B2CF9AE}" pid="53" name="SD_Office_SD_OFF_ColorTheme">
    <vt:lpwstr>Ramboll</vt:lpwstr>
  </property>
  <property fmtid="{D5CDD505-2E9C-101B-9397-08002B2CF9AE}" pid="54" name="SD_Office_SD_OFF_PaperSizeTest">
    <vt:lpwstr>Letter</vt:lpwstr>
  </property>
  <property fmtid="{D5CDD505-2E9C-101B-9397-08002B2CF9AE}" pid="55" name="SD_Office_SD_OFF_EnvironSignature">
    <vt:lpwstr>TRUE</vt:lpwstr>
  </property>
  <property fmtid="{D5CDD505-2E9C-101B-9397-08002B2CF9AE}" pid="56" name="SD_USR_Name">
    <vt:lpwstr>Alison Specht</vt:lpwstr>
  </property>
  <property fmtid="{D5CDD505-2E9C-101B-9397-08002B2CF9AE}" pid="57" name="SD_USR_Education">
    <vt:lpwstr/>
  </property>
  <property fmtid="{D5CDD505-2E9C-101B-9397-08002B2CF9AE}" pid="58" name="SD_USR_Title">
    <vt:lpwstr>Word Processor</vt:lpwstr>
  </property>
  <property fmtid="{D5CDD505-2E9C-101B-9397-08002B2CF9AE}" pid="59" name="SD_USR_DirectPhone">
    <vt:lpwstr>609-243-9888</vt:lpwstr>
  </property>
  <property fmtid="{D5CDD505-2E9C-101B-9397-08002B2CF9AE}" pid="60" name="SD_USR_Mobile">
    <vt:lpwstr>609-571-5210</vt:lpwstr>
  </property>
  <property fmtid="{D5CDD505-2E9C-101B-9397-08002B2CF9AE}" pid="61" name="SD_USR_Email">
    <vt:lpwstr>aspecht@environcorp.com</vt:lpwstr>
  </property>
  <property fmtid="{D5CDD505-2E9C-101B-9397-08002B2CF9AE}" pid="62" name="SD_USR_Department">
    <vt:lpwstr/>
  </property>
  <property fmtid="{D5CDD505-2E9C-101B-9397-08002B2CF9AE}" pid="63" name="SD_ArtworkDefinition">
    <vt:lpwstr>Environment &amp; Health</vt:lpwstr>
  </property>
  <property fmtid="{D5CDD505-2E9C-101B-9397-08002B2CF9AE}" pid="64" name="DocumentInfoFinished">
    <vt:lpwstr>True</vt:lpwstr>
  </property>
  <property fmtid="{D5CDD505-2E9C-101B-9397-08002B2CF9AE}" pid="65" name="SD_FileNameInDocument">
    <vt:lpwstr>False</vt:lpwstr>
  </property>
  <property fmtid="{D5CDD505-2E9C-101B-9397-08002B2CF9AE}" pid="66" name="SD_OptionalFooter">
    <vt:lpwstr>False</vt:lpwstr>
  </property>
  <property fmtid="{D5CDD505-2E9C-101B-9397-08002B2CF9AE}" pid="67" name="_DocHome">
    <vt:i4>-1854178488</vt:i4>
  </property>
  <property fmtid="{D5CDD505-2E9C-101B-9397-08002B2CF9AE}" pid="68" name="ContentRemapped">
    <vt:lpwstr>true</vt:lpwstr>
  </property>
  <property fmtid="{D5CDD505-2E9C-101B-9397-08002B2CF9AE}" pid="69" name="SD_ReportPageNumber">
    <vt:lpwstr>12</vt:lpwstr>
  </property>
  <property fmtid="{D5CDD505-2E9C-101B-9397-08002B2CF9AE}" pid="70" name="ContentTypeId">
    <vt:lpwstr>0x010100CCB26655916DF746808A4E185038A60E</vt:lpwstr>
  </property>
</Properties>
</file>