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BE7C" w14:textId="77777777" w:rsidR="00FD765B" w:rsidRDefault="00FD765B" w:rsidP="008E3119">
      <w:pPr>
        <w:pStyle w:val="AEG"/>
      </w:pPr>
    </w:p>
    <w:p w14:paraId="56E444A2" w14:textId="77777777" w:rsidR="008E3119" w:rsidRDefault="008E3119" w:rsidP="008E3119">
      <w:pPr>
        <w:pStyle w:val="AEG"/>
      </w:pPr>
    </w:p>
    <w:p w14:paraId="0E29CD6D" w14:textId="77777777" w:rsidR="00E66346" w:rsidRDefault="00E66346" w:rsidP="008E3119">
      <w:pPr>
        <w:pStyle w:val="AEG"/>
      </w:pPr>
    </w:p>
    <w:p w14:paraId="74BA8884" w14:textId="77777777" w:rsidR="00E66346" w:rsidRDefault="00E66346" w:rsidP="008E3119">
      <w:pPr>
        <w:pStyle w:val="AEG"/>
      </w:pPr>
    </w:p>
    <w:p w14:paraId="33141974" w14:textId="77777777" w:rsidR="00E66346" w:rsidRDefault="00E66346" w:rsidP="008E3119">
      <w:pPr>
        <w:pStyle w:val="AEG"/>
      </w:pPr>
    </w:p>
    <w:p w14:paraId="25214764" w14:textId="77777777" w:rsidR="00E66346" w:rsidRDefault="00E66346" w:rsidP="008E3119">
      <w:pPr>
        <w:pStyle w:val="AEG"/>
      </w:pPr>
    </w:p>
    <w:p w14:paraId="08BC8F6A" w14:textId="77777777" w:rsidR="008E3119" w:rsidRPr="00611BBE" w:rsidRDefault="008E3119" w:rsidP="008E3119">
      <w:pPr>
        <w:pStyle w:val="AEG"/>
      </w:pPr>
    </w:p>
    <w:p w14:paraId="44D67EF1" w14:textId="77777777" w:rsidR="00E66346" w:rsidRPr="00881F01" w:rsidRDefault="006512D7" w:rsidP="00736136">
      <w:pPr>
        <w:pStyle w:val="AEG"/>
        <w:jc w:val="center"/>
        <w:rPr>
          <w:b/>
          <w:i/>
          <w:sz w:val="36"/>
          <w:szCs w:val="32"/>
        </w:rPr>
      </w:pPr>
      <w:r>
        <w:rPr>
          <w:b/>
          <w:i/>
          <w:sz w:val="36"/>
          <w:szCs w:val="32"/>
        </w:rPr>
        <w:t>Compliance</w:t>
      </w:r>
      <w:r w:rsidR="00E94DEC" w:rsidRPr="00881F01">
        <w:rPr>
          <w:b/>
          <w:i/>
          <w:sz w:val="36"/>
          <w:szCs w:val="32"/>
        </w:rPr>
        <w:t xml:space="preserve"> Monitoring and Contingency Plan</w:t>
      </w:r>
      <w:r w:rsidR="00E66346" w:rsidRPr="00881F01">
        <w:rPr>
          <w:b/>
          <w:i/>
          <w:sz w:val="36"/>
          <w:szCs w:val="32"/>
        </w:rPr>
        <w:t xml:space="preserve"> </w:t>
      </w:r>
    </w:p>
    <w:p w14:paraId="73D0CE8C" w14:textId="77777777" w:rsidR="00A57787" w:rsidRDefault="00A57787" w:rsidP="00A57787">
      <w:pPr>
        <w:widowControl w:val="0"/>
        <w:jc w:val="center"/>
        <w:rPr>
          <w:i/>
          <w:iCs/>
          <w:sz w:val="28"/>
        </w:rPr>
      </w:pPr>
    </w:p>
    <w:p w14:paraId="2C90B963" w14:textId="77777777" w:rsidR="00A57787" w:rsidRDefault="00A57787" w:rsidP="00A57787">
      <w:pPr>
        <w:widowControl w:val="0"/>
        <w:jc w:val="center"/>
        <w:rPr>
          <w:i/>
          <w:iCs/>
          <w:sz w:val="28"/>
        </w:rPr>
      </w:pPr>
      <w:r>
        <w:rPr>
          <w:i/>
          <w:iCs/>
          <w:sz w:val="28"/>
        </w:rPr>
        <w:t>Prepared for:</w:t>
      </w:r>
    </w:p>
    <w:p w14:paraId="3607DCCD" w14:textId="77777777" w:rsidR="002860C7" w:rsidRDefault="002860C7" w:rsidP="002860C7">
      <w:pPr>
        <w:pStyle w:val="Default"/>
      </w:pPr>
    </w:p>
    <w:p w14:paraId="521C34AD" w14:textId="77777777" w:rsidR="008E52A4" w:rsidRDefault="008E52A4" w:rsidP="008E52A4">
      <w:pPr>
        <w:pStyle w:val="Subtitle"/>
        <w:rPr>
          <w:b/>
        </w:rPr>
      </w:pPr>
      <w:r>
        <w:rPr>
          <w:b/>
          <w:i w:val="0"/>
        </w:rPr>
        <w:t>Lacey Urban Center</w:t>
      </w:r>
    </w:p>
    <w:p w14:paraId="1F1DAD29" w14:textId="77777777" w:rsidR="008E52A4" w:rsidRPr="00A31CD6" w:rsidRDefault="008E52A4" w:rsidP="008E52A4">
      <w:pPr>
        <w:pStyle w:val="Subtitle"/>
        <w:rPr>
          <w:iCs w:val="0"/>
        </w:rPr>
      </w:pPr>
      <w:r>
        <w:rPr>
          <w:i w:val="0"/>
        </w:rPr>
        <w:t>7131-7269 Martin Way East</w:t>
      </w:r>
    </w:p>
    <w:p w14:paraId="5088CF57" w14:textId="77777777" w:rsidR="008E52A4" w:rsidRPr="006E5E28" w:rsidRDefault="008E52A4" w:rsidP="008E52A4">
      <w:pPr>
        <w:pStyle w:val="Subtitle"/>
        <w:rPr>
          <w:i w:val="0"/>
        </w:rPr>
      </w:pPr>
      <w:r>
        <w:rPr>
          <w:i w:val="0"/>
        </w:rPr>
        <w:t>Olympia, Washington 98516</w:t>
      </w:r>
    </w:p>
    <w:p w14:paraId="4A3B81C0" w14:textId="77777777" w:rsidR="00E67E21" w:rsidRPr="00E67E21" w:rsidRDefault="00E67E21" w:rsidP="00E67E21">
      <w:pPr>
        <w:spacing w:line="264" w:lineRule="auto"/>
        <w:jc w:val="center"/>
        <w:rPr>
          <w:iCs/>
          <w:sz w:val="28"/>
          <w:szCs w:val="28"/>
        </w:rPr>
      </w:pPr>
    </w:p>
    <w:p w14:paraId="67ED84E7" w14:textId="77777777" w:rsidR="00E67E21" w:rsidRPr="00E67E21" w:rsidRDefault="00E67E21" w:rsidP="00E67E21">
      <w:pPr>
        <w:widowControl w:val="0"/>
        <w:spacing w:line="264" w:lineRule="auto"/>
        <w:jc w:val="center"/>
        <w:rPr>
          <w:b/>
          <w:i/>
          <w:iCs/>
          <w:sz w:val="32"/>
          <w:szCs w:val="28"/>
        </w:rPr>
      </w:pPr>
      <w:r w:rsidRPr="00E67E21">
        <w:rPr>
          <w:i/>
          <w:iCs/>
          <w:sz w:val="28"/>
        </w:rPr>
        <w:t>Prepared for:</w:t>
      </w:r>
    </w:p>
    <w:tbl>
      <w:tblPr>
        <w:tblpPr w:leftFromText="180" w:rightFromText="180" w:vertAnchor="text" w:horzAnchor="margin" w:tblpXSpec="center" w:tblpY="183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50"/>
      </w:tblGrid>
      <w:tr w:rsidR="002860C7" w14:paraId="2BC5B39B" w14:textId="77777777" w:rsidTr="002860C7">
        <w:trPr>
          <w:trHeight w:val="563"/>
        </w:trPr>
        <w:tc>
          <w:tcPr>
            <w:tcW w:w="4050" w:type="dxa"/>
          </w:tcPr>
          <w:p w14:paraId="242A8555" w14:textId="77777777" w:rsidR="008E52A4" w:rsidRPr="004B4FED" w:rsidRDefault="008E52A4" w:rsidP="008E52A4">
            <w:pPr>
              <w:jc w:val="center"/>
            </w:pPr>
            <w:r>
              <w:t>Ms. Keum Woo</w:t>
            </w:r>
          </w:p>
          <w:p w14:paraId="0E49C734" w14:textId="77777777" w:rsidR="008E52A4" w:rsidRPr="003C3889" w:rsidRDefault="008E52A4" w:rsidP="008E52A4">
            <w:pPr>
              <w:pStyle w:val="Subtitle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6730 Troon Lane SE</w:t>
            </w:r>
          </w:p>
          <w:p w14:paraId="3F6BC7A5" w14:textId="77777777" w:rsidR="008E52A4" w:rsidRPr="00D75FAE" w:rsidRDefault="008E52A4" w:rsidP="008E52A4">
            <w:pPr>
              <w:pStyle w:val="Subtitle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Olympia, Washington 98501-5179</w:t>
            </w:r>
          </w:p>
          <w:p w14:paraId="7F1D8D61" w14:textId="45F00632" w:rsidR="002860C7" w:rsidRDefault="002860C7" w:rsidP="002860C7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51AEFB14" w14:textId="77777777" w:rsidR="002860C7" w:rsidRDefault="002860C7" w:rsidP="002860C7">
      <w:pPr>
        <w:pStyle w:val="Default"/>
      </w:pPr>
    </w:p>
    <w:p w14:paraId="6C752902" w14:textId="6780C268" w:rsidR="00E67E21" w:rsidRPr="00E67E21" w:rsidRDefault="00E67E21" w:rsidP="0039176C">
      <w:pPr>
        <w:spacing w:line="264" w:lineRule="auto"/>
        <w:jc w:val="center"/>
        <w:rPr>
          <w:iCs/>
          <w:sz w:val="28"/>
          <w:szCs w:val="28"/>
        </w:rPr>
      </w:pPr>
    </w:p>
    <w:p w14:paraId="65B31348" w14:textId="77777777" w:rsidR="00183FB9" w:rsidRPr="007E3D97" w:rsidRDefault="00183FB9" w:rsidP="002D75E1">
      <w:pPr>
        <w:widowControl w:val="0"/>
        <w:jc w:val="center"/>
        <w:rPr>
          <w:sz w:val="28"/>
        </w:rPr>
      </w:pPr>
    </w:p>
    <w:p w14:paraId="21F79E2E" w14:textId="77777777" w:rsidR="005B1522" w:rsidRDefault="005B1522" w:rsidP="00E66346">
      <w:pPr>
        <w:widowControl w:val="0"/>
        <w:rPr>
          <w:sz w:val="28"/>
        </w:rPr>
      </w:pPr>
    </w:p>
    <w:p w14:paraId="337C0934" w14:textId="77777777" w:rsidR="005B1522" w:rsidRDefault="005B1522" w:rsidP="00E66346">
      <w:pPr>
        <w:widowControl w:val="0"/>
        <w:rPr>
          <w:sz w:val="28"/>
        </w:rPr>
      </w:pPr>
    </w:p>
    <w:p w14:paraId="3879D619" w14:textId="77777777" w:rsidR="005B1522" w:rsidRDefault="005B1522" w:rsidP="00E66346">
      <w:pPr>
        <w:widowControl w:val="0"/>
        <w:rPr>
          <w:sz w:val="28"/>
        </w:rPr>
      </w:pPr>
    </w:p>
    <w:p w14:paraId="35175E7D" w14:textId="77777777" w:rsidR="005B1522" w:rsidRDefault="005B1522" w:rsidP="00E66346">
      <w:pPr>
        <w:widowControl w:val="0"/>
        <w:rPr>
          <w:sz w:val="28"/>
        </w:rPr>
      </w:pPr>
    </w:p>
    <w:p w14:paraId="5C90C058" w14:textId="77777777" w:rsidR="00736136" w:rsidRPr="00D04172" w:rsidRDefault="00DB4608" w:rsidP="00D04172">
      <w:pPr>
        <w:widowControl w:val="0"/>
        <w:spacing w:line="480" w:lineRule="auto"/>
        <w:rPr>
          <w:i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01CACF" wp14:editId="38CE33DA">
            <wp:simplePos x="0" y="0"/>
            <wp:positionH relativeFrom="margin">
              <wp:posOffset>1741349</wp:posOffset>
            </wp:positionH>
            <wp:positionV relativeFrom="paragraph">
              <wp:posOffset>316709</wp:posOffset>
            </wp:positionV>
            <wp:extent cx="956668" cy="107342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eal_WA_Ro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668" cy="107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787">
        <w:rPr>
          <w:i/>
        </w:rPr>
        <w:t>Prepared and Reviewed by</w:t>
      </w:r>
      <w:r w:rsidR="00E66346" w:rsidRPr="00E66346">
        <w:rPr>
          <w:i/>
        </w:rPr>
        <w:t>:</w:t>
      </w:r>
    </w:p>
    <w:p w14:paraId="382FCF21" w14:textId="77777777" w:rsidR="00E66346" w:rsidRDefault="006512D7" w:rsidP="008E3119">
      <w:pPr>
        <w:widowControl w:val="0"/>
      </w:pPr>
      <w:r w:rsidRPr="003D0AF4">
        <w:rPr>
          <w:i/>
          <w:noProof/>
          <w:sz w:val="22"/>
        </w:rPr>
        <w:drawing>
          <wp:anchor distT="0" distB="0" distL="114300" distR="114300" simplePos="0" relativeHeight="251664384" behindDoc="1" locked="0" layoutInCell="1" allowOverlap="1" wp14:anchorId="59C192A9" wp14:editId="722433A2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1207770" cy="4654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29F2B1" w14:textId="77777777" w:rsidR="00E66346" w:rsidRDefault="00E66346" w:rsidP="008E3119">
      <w:pPr>
        <w:widowControl w:val="0"/>
      </w:pPr>
    </w:p>
    <w:p w14:paraId="6D5031A3" w14:textId="77777777" w:rsidR="00E66346" w:rsidRDefault="00E66346" w:rsidP="008E3119">
      <w:pPr>
        <w:widowControl w:val="0"/>
      </w:pPr>
    </w:p>
    <w:p w14:paraId="388D230A" w14:textId="77777777" w:rsidR="00E66346" w:rsidRDefault="00E66346" w:rsidP="008E3119">
      <w:pPr>
        <w:widowControl w:val="0"/>
      </w:pPr>
    </w:p>
    <w:p w14:paraId="198614F8" w14:textId="77777777" w:rsidR="00736136" w:rsidRPr="00196B80" w:rsidRDefault="00183FB9" w:rsidP="008E3119">
      <w:pPr>
        <w:widowControl w:val="0"/>
      </w:pPr>
      <w:r>
        <w:t>Scott Rose</w:t>
      </w:r>
      <w:r w:rsidR="007E3D97">
        <w:t>, L</w:t>
      </w:r>
      <w:r>
        <w:t>.</w:t>
      </w:r>
      <w:r w:rsidR="007E3D97">
        <w:t>H</w:t>
      </w:r>
      <w:r>
        <w:t>.</w:t>
      </w:r>
      <w:r w:rsidR="007E3D97">
        <w:t>G</w:t>
      </w:r>
      <w:r>
        <w:t>.</w:t>
      </w:r>
    </w:p>
    <w:p w14:paraId="47DF3BDF" w14:textId="77777777" w:rsidR="00736136" w:rsidRDefault="00183FB9" w:rsidP="008E3119">
      <w:pPr>
        <w:widowControl w:val="0"/>
        <w:rPr>
          <w:sz w:val="28"/>
        </w:rPr>
      </w:pPr>
      <w:r>
        <w:t xml:space="preserve">Senior </w:t>
      </w:r>
      <w:r w:rsidR="00E66346" w:rsidRPr="00196B80">
        <w:t>Hydrogeologist</w:t>
      </w:r>
    </w:p>
    <w:p w14:paraId="5A08A251" w14:textId="77777777" w:rsidR="00CF4457" w:rsidRDefault="00CF4457" w:rsidP="008E3119">
      <w:pPr>
        <w:widowControl w:val="0"/>
      </w:pPr>
    </w:p>
    <w:p w14:paraId="1847E222" w14:textId="2B7E6779" w:rsidR="00196B80" w:rsidRDefault="00CF4457" w:rsidP="008E3119">
      <w:pPr>
        <w:widowControl w:val="0"/>
      </w:pPr>
      <w:r>
        <w:t xml:space="preserve">AEG </w:t>
      </w:r>
      <w:r w:rsidR="00881F01">
        <w:t>Project #</w:t>
      </w:r>
      <w:r w:rsidR="00DB4608">
        <w:t>1</w:t>
      </w:r>
      <w:r w:rsidR="004C1D00">
        <w:t>8-236</w:t>
      </w:r>
    </w:p>
    <w:p w14:paraId="18BAEAA0" w14:textId="45E4D284" w:rsidR="006512D7" w:rsidRDefault="008A0363" w:rsidP="008E3119">
      <w:pPr>
        <w:widowControl w:val="0"/>
      </w:pPr>
      <w:r>
        <w:t>Date o</w:t>
      </w:r>
      <w:r w:rsidR="006B2BBD" w:rsidRPr="00196B80">
        <w:t>f Report</w:t>
      </w:r>
      <w:r w:rsidR="00E66346">
        <w:t>:</w:t>
      </w:r>
      <w:r w:rsidR="006B2BBD" w:rsidRPr="00196B80">
        <w:t xml:space="preserve"> </w:t>
      </w:r>
      <w:r w:rsidR="002206A6">
        <w:t xml:space="preserve"> </w:t>
      </w:r>
      <w:r w:rsidR="007460BE">
        <w:t>April 2, 2024</w:t>
      </w:r>
    </w:p>
    <w:p w14:paraId="55C7BF69" w14:textId="77777777" w:rsidR="006512D7" w:rsidRDefault="006512D7">
      <w:pPr>
        <w:spacing w:after="160" w:line="259" w:lineRule="auto"/>
      </w:pPr>
      <w:r>
        <w:br w:type="page"/>
      </w:r>
    </w:p>
    <w:p w14:paraId="6B06FD54" w14:textId="77777777" w:rsidR="00736136" w:rsidRPr="00196B80" w:rsidRDefault="00736136" w:rsidP="008E3119">
      <w:pPr>
        <w:widowControl w:val="0"/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93393237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3165B9" w14:textId="77777777" w:rsidR="00B532B3" w:rsidRPr="00881F01" w:rsidRDefault="00B532B3" w:rsidP="00AB2CDC">
          <w:pPr>
            <w:pStyle w:val="TOCHeading"/>
          </w:pPr>
          <w:r w:rsidRPr="00881F01">
            <w:t>Table of Contents</w:t>
          </w:r>
        </w:p>
        <w:p w14:paraId="3D158453" w14:textId="19FF0B46" w:rsidR="007460BE" w:rsidRDefault="00B532B3">
          <w:pPr>
            <w:pStyle w:val="TOC1"/>
            <w:tabs>
              <w:tab w:val="left" w:pos="66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66022" w:history="1">
            <w:r w:rsidR="007460BE" w:rsidRPr="00163929">
              <w:rPr>
                <w:rStyle w:val="Hyperlink"/>
                <w:noProof/>
              </w:rPr>
              <w:t>1.0</w:t>
            </w:r>
            <w:r w:rsidR="007460BE"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="007460BE" w:rsidRPr="00163929">
              <w:rPr>
                <w:rStyle w:val="Hyperlink"/>
                <w:noProof/>
              </w:rPr>
              <w:t>Introduction</w:t>
            </w:r>
            <w:r w:rsidR="007460BE">
              <w:rPr>
                <w:noProof/>
                <w:webHidden/>
              </w:rPr>
              <w:tab/>
            </w:r>
            <w:r w:rsidR="007460BE">
              <w:rPr>
                <w:noProof/>
                <w:webHidden/>
              </w:rPr>
              <w:fldChar w:fldCharType="begin"/>
            </w:r>
            <w:r w:rsidR="007460BE">
              <w:rPr>
                <w:noProof/>
                <w:webHidden/>
              </w:rPr>
              <w:instrText xml:space="preserve"> PAGEREF _Toc162966022 \h </w:instrText>
            </w:r>
            <w:r w:rsidR="007460BE">
              <w:rPr>
                <w:noProof/>
                <w:webHidden/>
              </w:rPr>
            </w:r>
            <w:r w:rsidR="007460BE">
              <w:rPr>
                <w:noProof/>
                <w:webHidden/>
              </w:rPr>
              <w:fldChar w:fldCharType="separate"/>
            </w:r>
            <w:r w:rsidR="007460BE">
              <w:rPr>
                <w:noProof/>
                <w:webHidden/>
              </w:rPr>
              <w:t>3</w:t>
            </w:r>
            <w:r w:rsidR="007460BE">
              <w:rPr>
                <w:noProof/>
                <w:webHidden/>
              </w:rPr>
              <w:fldChar w:fldCharType="end"/>
            </w:r>
          </w:hyperlink>
        </w:p>
        <w:p w14:paraId="7D8246C1" w14:textId="1BF58F08" w:rsidR="007460BE" w:rsidRDefault="007460B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2966023" w:history="1">
            <w:r w:rsidRPr="00163929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Site Location and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15BD1" w14:textId="2712B0B4" w:rsidR="007460BE" w:rsidRDefault="007460BE">
          <w:pPr>
            <w:pStyle w:val="TOC1"/>
            <w:tabs>
              <w:tab w:val="left" w:pos="66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24" w:history="1">
            <w:r w:rsidRPr="00163929">
              <w:rPr>
                <w:rStyle w:val="Hyperlink"/>
                <w:noProof/>
              </w:rPr>
              <w:t>2.0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Proposed Compliance/Contingency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C2497" w14:textId="18F7AD69" w:rsidR="007460BE" w:rsidRDefault="007460B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62966025" w:history="1">
            <w:r w:rsidRPr="00163929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Compliance/Contingency</w:t>
            </w:r>
            <w:r w:rsidRPr="00163929">
              <w:rPr>
                <w:rStyle w:val="Hyperlink"/>
                <w:noProof/>
                <w:spacing w:val="-18"/>
              </w:rPr>
              <w:t xml:space="preserve"> </w:t>
            </w:r>
            <w:r w:rsidRPr="00163929">
              <w:rPr>
                <w:rStyle w:val="Hyperlink"/>
                <w:noProof/>
              </w:rPr>
              <w:t>Plan</w:t>
            </w:r>
            <w:r w:rsidRPr="00163929">
              <w:rPr>
                <w:rStyle w:val="Hyperlink"/>
                <w:noProof/>
                <w:spacing w:val="-12"/>
              </w:rPr>
              <w:t xml:space="preserve"> </w:t>
            </w:r>
            <w:r w:rsidRPr="00163929">
              <w:rPr>
                <w:rStyle w:val="Hyperlink"/>
                <w:noProof/>
              </w:rPr>
              <w:t>for</w:t>
            </w:r>
            <w:r w:rsidRPr="00163929">
              <w:rPr>
                <w:rStyle w:val="Hyperlink"/>
                <w:noProof/>
                <w:spacing w:val="-15"/>
              </w:rPr>
              <w:t xml:space="preserve"> P</w:t>
            </w:r>
            <w:r w:rsidRPr="00163929">
              <w:rPr>
                <w:rStyle w:val="Hyperlink"/>
                <w:noProof/>
              </w:rPr>
              <w:t>etroleum</w:t>
            </w:r>
            <w:r w:rsidRPr="00163929">
              <w:rPr>
                <w:rStyle w:val="Hyperlink"/>
                <w:noProof/>
                <w:spacing w:val="-13"/>
              </w:rPr>
              <w:t xml:space="preserve"> H</w:t>
            </w:r>
            <w:r w:rsidRPr="00163929">
              <w:rPr>
                <w:rStyle w:val="Hyperlink"/>
                <w:noProof/>
              </w:rPr>
              <w:t>ydrocarbon</w:t>
            </w:r>
            <w:r w:rsidRPr="00163929">
              <w:rPr>
                <w:rStyle w:val="Hyperlink"/>
                <w:noProof/>
                <w:spacing w:val="-12"/>
              </w:rPr>
              <w:t xml:space="preserve"> </w:t>
            </w:r>
            <w:r w:rsidRPr="00163929">
              <w:rPr>
                <w:rStyle w:val="Hyperlink"/>
                <w:noProof/>
              </w:rPr>
              <w:t>(TPH)</w:t>
            </w:r>
            <w:r w:rsidRPr="00163929">
              <w:rPr>
                <w:rStyle w:val="Hyperlink"/>
                <w:noProof/>
                <w:spacing w:val="-15"/>
              </w:rPr>
              <w:t xml:space="preserve"> </w:t>
            </w:r>
            <w:r w:rsidRPr="00163929">
              <w:rPr>
                <w:rStyle w:val="Hyperlink"/>
                <w:noProof/>
              </w:rPr>
              <w:t>constituents,</w:t>
            </w:r>
            <w:r w:rsidRPr="00163929">
              <w:rPr>
                <w:rStyle w:val="Hyperlink"/>
                <w:noProof/>
                <w:spacing w:val="-13"/>
              </w:rPr>
              <w:t xml:space="preserve"> </w:t>
            </w:r>
            <w:r w:rsidRPr="00163929">
              <w:rPr>
                <w:rStyle w:val="Hyperlink"/>
                <w:noProof/>
              </w:rPr>
              <w:t>based</w:t>
            </w:r>
            <w:r w:rsidRPr="00163929">
              <w:rPr>
                <w:rStyle w:val="Hyperlink"/>
                <w:noProof/>
                <w:spacing w:val="-13"/>
              </w:rPr>
              <w:t xml:space="preserve"> </w:t>
            </w:r>
            <w:r w:rsidRPr="00163929">
              <w:rPr>
                <w:rStyle w:val="Hyperlink"/>
                <w:noProof/>
              </w:rPr>
              <w:t>on</w:t>
            </w:r>
            <w:r w:rsidRPr="00163929">
              <w:rPr>
                <w:rStyle w:val="Hyperlink"/>
                <w:noProof/>
                <w:spacing w:val="-13"/>
              </w:rPr>
              <w:t xml:space="preserve"> </w:t>
            </w:r>
            <w:r w:rsidRPr="00163929">
              <w:rPr>
                <w:rStyle w:val="Hyperlink"/>
                <w:noProof/>
              </w:rPr>
              <w:t>WAC 173-340-820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46929" w14:textId="463798D7" w:rsidR="007460BE" w:rsidRDefault="007460BE">
          <w:pPr>
            <w:pStyle w:val="TOC3"/>
            <w:tabs>
              <w:tab w:val="left" w:pos="132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26" w:history="1">
            <w:r w:rsidRPr="00163929">
              <w:rPr>
                <w:rStyle w:val="Hyperlink"/>
                <w:noProof/>
              </w:rPr>
              <w:t>2.1.1.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Contingency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2F522" w14:textId="63200CE4" w:rsidR="007460BE" w:rsidRDefault="007460BE">
          <w:pPr>
            <w:pStyle w:val="TOC3"/>
            <w:tabs>
              <w:tab w:val="left" w:pos="132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27" w:history="1">
            <w:r w:rsidRPr="00163929">
              <w:rPr>
                <w:rStyle w:val="Hyperlink"/>
                <w:noProof/>
              </w:rPr>
              <w:t>2.1.2.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Vapor and Sub-Slab</w:t>
            </w:r>
            <w:r w:rsidRPr="00163929">
              <w:rPr>
                <w:rStyle w:val="Hyperlink"/>
                <w:noProof/>
                <w:spacing w:val="-5"/>
              </w:rPr>
              <w:t xml:space="preserve"> </w:t>
            </w:r>
            <w:r w:rsidRPr="00163929">
              <w:rPr>
                <w:rStyle w:val="Hyperlink"/>
                <w:noProof/>
              </w:rPr>
              <w:t>Sampling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2C568" w14:textId="1B24082E" w:rsidR="007460BE" w:rsidRDefault="007460BE">
          <w:pPr>
            <w:pStyle w:val="TOC3"/>
            <w:tabs>
              <w:tab w:val="left" w:pos="132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28" w:history="1">
            <w:r w:rsidRPr="00163929">
              <w:rPr>
                <w:rStyle w:val="Hyperlink"/>
                <w:noProof/>
              </w:rPr>
              <w:t>2.1.3.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Quality</w:t>
            </w:r>
            <w:r w:rsidRPr="00163929">
              <w:rPr>
                <w:rStyle w:val="Hyperlink"/>
                <w:noProof/>
                <w:spacing w:val="-4"/>
              </w:rPr>
              <w:t xml:space="preserve"> </w:t>
            </w:r>
            <w:r w:rsidRPr="00163929">
              <w:rPr>
                <w:rStyle w:val="Hyperlink"/>
                <w:noProof/>
              </w:rPr>
              <w:t>Controls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C1F7F" w14:textId="17DFA3AE" w:rsidR="007460BE" w:rsidRDefault="007460BE">
          <w:pPr>
            <w:pStyle w:val="TOC3"/>
            <w:tabs>
              <w:tab w:val="left" w:pos="132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29" w:history="1">
            <w:r w:rsidRPr="00163929">
              <w:rPr>
                <w:rStyle w:val="Hyperlink"/>
                <w:noProof/>
              </w:rPr>
              <w:t>2.1.4.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Inspection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10728" w14:textId="0C33CCBA" w:rsidR="007460BE" w:rsidRDefault="007460BE">
          <w:pPr>
            <w:pStyle w:val="TOC3"/>
            <w:tabs>
              <w:tab w:val="left" w:pos="1320"/>
              <w:tab w:val="right" w:leader="dot" w:pos="9350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62966030" w:history="1">
            <w:r w:rsidRPr="00163929">
              <w:rPr>
                <w:rStyle w:val="Hyperlink"/>
                <w:noProof/>
              </w:rPr>
              <w:t>2.1.5.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163929">
              <w:rPr>
                <w:rStyle w:val="Hyperlink"/>
                <w:noProof/>
              </w:rPr>
              <w:t>Reporting and 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_Toc162966030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A0B2F" w14:textId="318C4FF7" w:rsidR="00736136" w:rsidRPr="00937A10" w:rsidRDefault="00B532B3" w:rsidP="00937A10">
          <w:r>
            <w:rPr>
              <w:b/>
              <w:bCs/>
              <w:noProof/>
            </w:rPr>
            <w:fldChar w:fldCharType="end"/>
          </w:r>
        </w:p>
      </w:sdtContent>
    </w:sdt>
    <w:p w14:paraId="3FFBDB4C" w14:textId="77777777" w:rsidR="00B532B3" w:rsidRPr="005A4BC8" w:rsidRDefault="00430D96" w:rsidP="008E3119">
      <w:pPr>
        <w:widowControl w:val="0"/>
        <w:rPr>
          <w:b/>
          <w:sz w:val="28"/>
          <w:u w:val="single"/>
        </w:rPr>
      </w:pPr>
      <w:r>
        <w:rPr>
          <w:b/>
          <w:sz w:val="28"/>
          <w:u w:val="single"/>
        </w:rPr>
        <w:t>Attachment</w:t>
      </w:r>
      <w:r w:rsidR="00EC6440" w:rsidRPr="005A4BC8">
        <w:rPr>
          <w:b/>
          <w:sz w:val="28"/>
          <w:u w:val="single"/>
        </w:rPr>
        <w:t>s:</w:t>
      </w:r>
    </w:p>
    <w:p w14:paraId="3C18C88D" w14:textId="77777777" w:rsidR="00FB0909" w:rsidRDefault="00FB0909" w:rsidP="008A0363">
      <w:pPr>
        <w:widowControl w:val="0"/>
        <w:ind w:firstLine="720"/>
      </w:pPr>
    </w:p>
    <w:p w14:paraId="1DD2B02D" w14:textId="77777777" w:rsidR="00EC6440" w:rsidRDefault="00EC6440" w:rsidP="00430D96">
      <w:pPr>
        <w:widowControl w:val="0"/>
        <w:spacing w:after="120"/>
        <w:ind w:firstLine="720"/>
        <w:rPr>
          <w:i/>
        </w:rPr>
      </w:pPr>
      <w:r w:rsidRPr="002D75E1">
        <w:t>Figure 1</w:t>
      </w:r>
      <w:r w:rsidR="001C2C33">
        <w:t xml:space="preserve"> </w:t>
      </w:r>
      <w:r w:rsidR="004449EB">
        <w:rPr>
          <w:i/>
        </w:rPr>
        <w:t>–</w:t>
      </w:r>
      <w:r w:rsidRPr="002D75E1">
        <w:rPr>
          <w:i/>
        </w:rPr>
        <w:t xml:space="preserve"> </w:t>
      </w:r>
      <w:r w:rsidR="004449EB">
        <w:rPr>
          <w:i/>
        </w:rPr>
        <w:t>Vicinity Map</w:t>
      </w:r>
    </w:p>
    <w:p w14:paraId="73ADD31D" w14:textId="07B95ECB" w:rsidR="00AB2CDC" w:rsidRPr="00AB2CDC" w:rsidRDefault="00AB2CDC" w:rsidP="00AB2CDC">
      <w:pPr>
        <w:widowControl w:val="0"/>
        <w:spacing w:after="120"/>
        <w:ind w:firstLine="720"/>
        <w:rPr>
          <w:i/>
        </w:rPr>
      </w:pPr>
      <w:r w:rsidRPr="00AB2CDC">
        <w:t xml:space="preserve">Figure 2 </w:t>
      </w:r>
      <w:r w:rsidRPr="00AB2CDC">
        <w:rPr>
          <w:i/>
        </w:rPr>
        <w:t xml:space="preserve">– </w:t>
      </w:r>
      <w:r>
        <w:rPr>
          <w:i/>
        </w:rPr>
        <w:t>Site</w:t>
      </w:r>
      <w:r w:rsidRPr="00AB2CDC">
        <w:rPr>
          <w:i/>
        </w:rPr>
        <w:t xml:space="preserve"> Map </w:t>
      </w:r>
    </w:p>
    <w:p w14:paraId="36BD77DA" w14:textId="0CFF70EF" w:rsidR="00A678A1" w:rsidRPr="00AB2CDC" w:rsidRDefault="00A678A1" w:rsidP="00430D96">
      <w:pPr>
        <w:widowControl w:val="0"/>
        <w:spacing w:after="120"/>
        <w:ind w:firstLine="720"/>
        <w:rPr>
          <w:i/>
        </w:rPr>
      </w:pPr>
      <w:r w:rsidRPr="00AB2CDC">
        <w:t xml:space="preserve">Figure </w:t>
      </w:r>
      <w:r w:rsidR="00AB2CDC">
        <w:t>3</w:t>
      </w:r>
      <w:r w:rsidR="001C2C33" w:rsidRPr="00AB2CDC">
        <w:t xml:space="preserve"> </w:t>
      </w:r>
      <w:r w:rsidR="00181AA8" w:rsidRPr="00AB2CDC">
        <w:rPr>
          <w:i/>
        </w:rPr>
        <w:t>–</w:t>
      </w:r>
      <w:r w:rsidRPr="00AB2CDC">
        <w:rPr>
          <w:i/>
        </w:rPr>
        <w:t xml:space="preserve"> </w:t>
      </w:r>
      <w:r w:rsidR="00AB2CDC">
        <w:rPr>
          <w:i/>
        </w:rPr>
        <w:t>Area</w:t>
      </w:r>
      <w:r w:rsidR="00181AA8" w:rsidRPr="00AB2CDC">
        <w:rPr>
          <w:i/>
        </w:rPr>
        <w:t xml:space="preserve"> of Restrictions</w:t>
      </w:r>
    </w:p>
    <w:p w14:paraId="7F8B24E4" w14:textId="77777777" w:rsidR="006A60C6" w:rsidRDefault="006A60C6" w:rsidP="00A678A1">
      <w:pPr>
        <w:widowControl w:val="0"/>
        <w:ind w:firstLine="720"/>
        <w:rPr>
          <w:i/>
        </w:rPr>
      </w:pPr>
    </w:p>
    <w:p w14:paraId="5AB8E21B" w14:textId="77777777" w:rsidR="00B13E04" w:rsidRDefault="00B13E04">
      <w:pPr>
        <w:spacing w:after="160" w:line="259" w:lineRule="auto"/>
        <w:rPr>
          <w:b/>
          <w:bCs/>
          <w:caps/>
          <w:kern w:val="32"/>
        </w:rPr>
      </w:pPr>
      <w:r>
        <w:br w:type="page"/>
      </w:r>
    </w:p>
    <w:p w14:paraId="2ADA1856" w14:textId="6174D915" w:rsidR="00736136" w:rsidRDefault="00736136" w:rsidP="00AB2CDC">
      <w:pPr>
        <w:pStyle w:val="Heading1"/>
      </w:pPr>
      <w:bookmarkStart w:id="0" w:name="_Toc162966022"/>
      <w:r>
        <w:lastRenderedPageBreak/>
        <w:t>Introduction</w:t>
      </w:r>
      <w:bookmarkEnd w:id="0"/>
    </w:p>
    <w:p w14:paraId="0BE46773" w14:textId="5941B42E" w:rsidR="00736136" w:rsidRDefault="006E46E4" w:rsidP="00B13E04">
      <w:pPr>
        <w:spacing w:line="264" w:lineRule="auto"/>
        <w:jc w:val="both"/>
      </w:pPr>
      <w:r>
        <w:t>AEG Atlas</w:t>
      </w:r>
      <w:r w:rsidR="00053A4E">
        <w:t>, LLC (AEG)</w:t>
      </w:r>
      <w:r w:rsidR="000D67EE">
        <w:t xml:space="preserve"> has prepared the </w:t>
      </w:r>
      <w:r w:rsidR="00183088">
        <w:t>p</w:t>
      </w:r>
      <w:r w:rsidR="000D67EE">
        <w:t xml:space="preserve">roposed </w:t>
      </w:r>
      <w:r w:rsidR="006512D7">
        <w:rPr>
          <w:b/>
          <w:i/>
        </w:rPr>
        <w:t>Compliance</w:t>
      </w:r>
      <w:r w:rsidR="000D67EE" w:rsidRPr="00183088">
        <w:rPr>
          <w:b/>
          <w:i/>
        </w:rPr>
        <w:t xml:space="preserve"> Monitoring and Contingency</w:t>
      </w:r>
      <w:r w:rsidR="000D67EE">
        <w:t xml:space="preserve"> </w:t>
      </w:r>
      <w:r w:rsidR="0012359F" w:rsidRPr="0012359F">
        <w:rPr>
          <w:b/>
          <w:i/>
        </w:rPr>
        <w:t>P</w:t>
      </w:r>
      <w:r w:rsidR="000D67EE" w:rsidRPr="0012359F">
        <w:rPr>
          <w:b/>
          <w:i/>
        </w:rPr>
        <w:t>lan</w:t>
      </w:r>
      <w:r w:rsidR="000D67EE">
        <w:t xml:space="preserve"> </w:t>
      </w:r>
      <w:r w:rsidR="007B449E">
        <w:t>for</w:t>
      </w:r>
      <w:r w:rsidR="000D67EE">
        <w:t xml:space="preserve"> </w:t>
      </w:r>
      <w:r>
        <w:rPr>
          <w:rStyle w:val="BodyTextChar1"/>
        </w:rPr>
        <w:t>Lacey Urban Center</w:t>
      </w:r>
      <w:r w:rsidR="002860C7" w:rsidRPr="00DC086A">
        <w:rPr>
          <w:rStyle w:val="BodyTextChar1"/>
        </w:rPr>
        <w:t xml:space="preserve">, located at </w:t>
      </w:r>
      <w:r w:rsidRPr="006E46E4">
        <w:rPr>
          <w:rStyle w:val="BodyTextChar1"/>
        </w:rPr>
        <w:t>7131-7269 Martin Way East</w:t>
      </w:r>
      <w:r w:rsidR="002860C7" w:rsidRPr="00CA5E3A">
        <w:rPr>
          <w:rStyle w:val="BodyTextChar1"/>
        </w:rPr>
        <w:t xml:space="preserve">, in </w:t>
      </w:r>
      <w:r>
        <w:rPr>
          <w:rStyle w:val="BodyTextChar1"/>
        </w:rPr>
        <w:t>Olympia</w:t>
      </w:r>
      <w:r w:rsidR="002860C7" w:rsidRPr="00CA5E3A">
        <w:rPr>
          <w:rStyle w:val="BodyTextChar1"/>
        </w:rPr>
        <w:t xml:space="preserve">, </w:t>
      </w:r>
      <w:r>
        <w:rPr>
          <w:rStyle w:val="BodyTextChar1"/>
        </w:rPr>
        <w:t>Thurston</w:t>
      </w:r>
      <w:r w:rsidR="002860C7">
        <w:rPr>
          <w:rStyle w:val="BodyTextChar1"/>
        </w:rPr>
        <w:t xml:space="preserve"> County, </w:t>
      </w:r>
      <w:r w:rsidR="002860C7" w:rsidRPr="00CA5E3A">
        <w:rPr>
          <w:rStyle w:val="BodyTextChar1"/>
        </w:rPr>
        <w:t>Washington (</w:t>
      </w:r>
      <w:r w:rsidR="002860C7">
        <w:rPr>
          <w:rStyle w:val="BodyTextChar1"/>
        </w:rPr>
        <w:t>S</w:t>
      </w:r>
      <w:r w:rsidR="002860C7" w:rsidRPr="00CA5E3A">
        <w:rPr>
          <w:rStyle w:val="BodyTextChar1"/>
        </w:rPr>
        <w:t>ite</w:t>
      </w:r>
      <w:r w:rsidR="002860C7">
        <w:rPr>
          <w:rStyle w:val="BodyTextChar1"/>
        </w:rPr>
        <w:t>)</w:t>
      </w:r>
      <w:r w:rsidR="00B13E04">
        <w:rPr>
          <w:rStyle w:val="BodyTextChar1"/>
        </w:rPr>
        <w:t xml:space="preserve">. </w:t>
      </w:r>
      <w:r w:rsidR="004612D1">
        <w:t xml:space="preserve">The purpose and objectives of this report </w:t>
      </w:r>
      <w:r w:rsidR="007B449E">
        <w:t>are</w:t>
      </w:r>
      <w:r w:rsidR="004612D1">
        <w:t xml:space="preserve"> to </w:t>
      </w:r>
      <w:r w:rsidR="00451BF1">
        <w:t>summarize the plan for</w:t>
      </w:r>
      <w:r w:rsidR="004612D1">
        <w:t xml:space="preserve"> ongoing </w:t>
      </w:r>
      <w:r w:rsidR="0039176C">
        <w:t>compliance</w:t>
      </w:r>
      <w:r w:rsidR="004612D1">
        <w:t xml:space="preserve"> in support of a request of No Further Action with an Environmental Covenant for </w:t>
      </w:r>
      <w:r w:rsidR="004612D1" w:rsidRPr="007B449E">
        <w:t xml:space="preserve">the </w:t>
      </w:r>
      <w:r w:rsidR="00FE23CC">
        <w:t>Property</w:t>
      </w:r>
      <w:r w:rsidR="00B13E04">
        <w:t xml:space="preserve">. </w:t>
      </w:r>
    </w:p>
    <w:p w14:paraId="54614FD6" w14:textId="77777777" w:rsidR="002041B8" w:rsidRPr="00745727" w:rsidRDefault="002041B8" w:rsidP="00B13E04">
      <w:pPr>
        <w:pStyle w:val="Heading2"/>
      </w:pPr>
      <w:bookmarkStart w:id="1" w:name="_Toc162966023"/>
      <w:r>
        <w:t>Site Location and Description</w:t>
      </w:r>
      <w:bookmarkEnd w:id="1"/>
    </w:p>
    <w:p w14:paraId="08DA8184" w14:textId="02F8744D" w:rsidR="006E46E4" w:rsidRPr="00C73C73" w:rsidRDefault="006E46E4" w:rsidP="00B13E04">
      <w:pPr>
        <w:spacing w:line="264" w:lineRule="auto"/>
        <w:jc w:val="both"/>
        <w:rPr>
          <w:rFonts w:ascii="Times-Roman" w:hAnsi="Times-Roman" w:cs="Times-Roman"/>
          <w:szCs w:val="22"/>
        </w:rPr>
      </w:pPr>
      <w:r>
        <w:rPr>
          <w:rFonts w:ascii="Times-Roman" w:hAnsi="Times-Roman" w:cs="Times-Roman"/>
          <w:szCs w:val="22"/>
        </w:rPr>
        <w:t>The Site consists of four buildings, occupying one footprint with a total square footage of approximately 89,000 square feet, and the shopping center occupies a 4</w:t>
      </w:r>
      <w:r>
        <w:rPr>
          <w:rFonts w:ascii="Times-Roman" w:hAnsi="Times-Roman" w:cs="Times-Roman"/>
          <w:szCs w:val="22"/>
        </w:rPr>
        <w:noBreakHyphen/>
        <w:t>acre area and multiple tax parcels</w:t>
      </w:r>
      <w:r w:rsidR="00B13E04">
        <w:rPr>
          <w:rFonts w:ascii="Times-Roman" w:hAnsi="Times-Roman" w:cs="Times-Roman"/>
          <w:szCs w:val="22"/>
        </w:rPr>
        <w:t xml:space="preserve">. </w:t>
      </w:r>
      <w:r w:rsidRPr="001925E0">
        <w:rPr>
          <w:rFonts w:ascii="Times-Roman" w:hAnsi="Times-Roman" w:cs="Times-Roman"/>
          <w:szCs w:val="22"/>
        </w:rPr>
        <w:t xml:space="preserve">The </w:t>
      </w:r>
      <w:r>
        <w:rPr>
          <w:rFonts w:ascii="Times-Roman" w:hAnsi="Times-Roman" w:cs="Times-Roman"/>
          <w:szCs w:val="22"/>
        </w:rPr>
        <w:t>building that housed the former dry cleaner</w:t>
      </w:r>
      <w:r w:rsidRPr="001925E0">
        <w:rPr>
          <w:rFonts w:ascii="Times-Roman" w:hAnsi="Times-Roman" w:cs="Times-Roman"/>
          <w:szCs w:val="22"/>
        </w:rPr>
        <w:t xml:space="preserve"> </w:t>
      </w:r>
      <w:r>
        <w:rPr>
          <w:rFonts w:ascii="Times-Roman" w:hAnsi="Times-Roman" w:cs="Times-Roman"/>
          <w:szCs w:val="22"/>
        </w:rPr>
        <w:t>from 1965 to 1997 is a</w:t>
      </w:r>
      <w:r w:rsidRPr="001925E0">
        <w:rPr>
          <w:rFonts w:ascii="Times-Roman" w:hAnsi="Times-Roman" w:cs="Times-Roman"/>
          <w:szCs w:val="22"/>
        </w:rPr>
        <w:t xml:space="preserve"> </w:t>
      </w:r>
      <w:r>
        <w:rPr>
          <w:rFonts w:ascii="Times-Roman" w:hAnsi="Times-Roman" w:cs="Times-Roman"/>
          <w:szCs w:val="22"/>
        </w:rPr>
        <w:t xml:space="preserve">slab-on-grade, </w:t>
      </w:r>
      <w:r w:rsidRPr="001925E0">
        <w:rPr>
          <w:rFonts w:ascii="Times-Roman" w:hAnsi="Times-Roman" w:cs="Times-Roman"/>
          <w:szCs w:val="22"/>
        </w:rPr>
        <w:t>single</w:t>
      </w:r>
      <w:r>
        <w:rPr>
          <w:rFonts w:ascii="Times-Roman" w:hAnsi="Times-Roman" w:cs="Times-Roman"/>
          <w:szCs w:val="22"/>
        </w:rPr>
        <w:t>-</w:t>
      </w:r>
      <w:r w:rsidRPr="001925E0">
        <w:rPr>
          <w:rFonts w:ascii="Times-Roman" w:hAnsi="Times-Roman" w:cs="Times-Roman"/>
          <w:szCs w:val="22"/>
        </w:rPr>
        <w:t>story masonry build</w:t>
      </w:r>
      <w:r>
        <w:rPr>
          <w:rFonts w:ascii="Times-Roman" w:hAnsi="Times-Roman" w:cs="Times-Roman"/>
          <w:szCs w:val="22"/>
        </w:rPr>
        <w:t>ing located in the western portion of the shopping center</w:t>
      </w:r>
      <w:r w:rsidR="00B13E04">
        <w:rPr>
          <w:rFonts w:ascii="Times-Roman" w:hAnsi="Times-Roman" w:cs="Times-Roman"/>
          <w:szCs w:val="22"/>
        </w:rPr>
        <w:t xml:space="preserve">. </w:t>
      </w:r>
      <w:r w:rsidRPr="00C73C73">
        <w:rPr>
          <w:rFonts w:ascii="Times-Roman" w:hAnsi="Times-Roman" w:cs="Times-Roman"/>
          <w:szCs w:val="22"/>
        </w:rPr>
        <w:t>Occupancy of the multi-tenant shopping center has primarily been for retail, office</w:t>
      </w:r>
      <w:r>
        <w:rPr>
          <w:rFonts w:ascii="Times-Roman" w:hAnsi="Times-Roman" w:cs="Times-Roman"/>
          <w:szCs w:val="22"/>
        </w:rPr>
        <w:t>,</w:t>
      </w:r>
      <w:r w:rsidRPr="00C73C73">
        <w:rPr>
          <w:rFonts w:ascii="Times-Roman" w:hAnsi="Times-Roman" w:cs="Times-Roman"/>
          <w:szCs w:val="22"/>
        </w:rPr>
        <w:t xml:space="preserve"> and</w:t>
      </w:r>
      <w:r>
        <w:rPr>
          <w:rFonts w:ascii="Times-Roman" w:hAnsi="Times-Roman" w:cs="Times-Roman"/>
          <w:szCs w:val="22"/>
        </w:rPr>
        <w:t xml:space="preserve"> </w:t>
      </w:r>
      <w:r w:rsidRPr="00C73C73">
        <w:rPr>
          <w:rFonts w:ascii="Times-Roman" w:hAnsi="Times-Roman" w:cs="Times-Roman"/>
          <w:szCs w:val="22"/>
        </w:rPr>
        <w:t>service tenants</w:t>
      </w:r>
      <w:r>
        <w:rPr>
          <w:rFonts w:ascii="Times-Roman" w:hAnsi="Times-Roman" w:cs="Times-Roman"/>
          <w:szCs w:val="22"/>
        </w:rPr>
        <w:t xml:space="preserve">, and </w:t>
      </w:r>
      <w:r w:rsidRPr="00C73C73">
        <w:rPr>
          <w:rFonts w:ascii="Times-Roman" w:hAnsi="Times-Roman" w:cs="Times-Roman"/>
          <w:szCs w:val="22"/>
        </w:rPr>
        <w:t xml:space="preserve">have included </w:t>
      </w:r>
      <w:r>
        <w:rPr>
          <w:rFonts w:ascii="Times-Roman" w:hAnsi="Times-Roman" w:cs="Times-Roman"/>
          <w:szCs w:val="22"/>
        </w:rPr>
        <w:t xml:space="preserve">a </w:t>
      </w:r>
      <w:r w:rsidRPr="00C73C73">
        <w:rPr>
          <w:rFonts w:ascii="Times-Roman" w:hAnsi="Times-Roman" w:cs="Times-Roman"/>
          <w:szCs w:val="22"/>
        </w:rPr>
        <w:t>bank, barber shop, post office, donut shop,</w:t>
      </w:r>
      <w:r>
        <w:rPr>
          <w:rFonts w:ascii="Times-Roman" w:hAnsi="Times-Roman" w:cs="Times-Roman"/>
          <w:szCs w:val="22"/>
        </w:rPr>
        <w:t xml:space="preserve"> </w:t>
      </w:r>
      <w:r w:rsidRPr="00C73C73">
        <w:rPr>
          <w:rFonts w:ascii="Times-Roman" w:hAnsi="Times-Roman" w:cs="Times-Roman"/>
          <w:szCs w:val="22"/>
        </w:rPr>
        <w:t>drapery shop, hair salon, drug store, restaurants, shoe repair, floral and gift shops, nail</w:t>
      </w:r>
      <w:r>
        <w:rPr>
          <w:rFonts w:ascii="Times-Roman" w:hAnsi="Times-Roman" w:cs="Times-Roman"/>
          <w:szCs w:val="22"/>
        </w:rPr>
        <w:t xml:space="preserve"> </w:t>
      </w:r>
      <w:r w:rsidRPr="00C73C73">
        <w:rPr>
          <w:rFonts w:ascii="Times-Roman" w:hAnsi="Times-Roman" w:cs="Times-Roman"/>
          <w:szCs w:val="22"/>
        </w:rPr>
        <w:t>shops, bakery, dentist</w:t>
      </w:r>
      <w:r>
        <w:rPr>
          <w:rFonts w:ascii="Times-Roman" w:hAnsi="Times-Roman" w:cs="Times-Roman"/>
          <w:szCs w:val="22"/>
        </w:rPr>
        <w:t>,</w:t>
      </w:r>
      <w:r w:rsidRPr="00C73C73">
        <w:rPr>
          <w:rFonts w:ascii="Times-Roman" w:hAnsi="Times-Roman" w:cs="Times-Roman"/>
          <w:szCs w:val="22"/>
        </w:rPr>
        <w:t xml:space="preserve"> and chiropractic center</w:t>
      </w:r>
      <w:r w:rsidR="00B13E04">
        <w:rPr>
          <w:rFonts w:ascii="Times-Roman" w:hAnsi="Times-Roman" w:cs="Times-Roman"/>
          <w:szCs w:val="22"/>
        </w:rPr>
        <w:t xml:space="preserve">. </w:t>
      </w:r>
    </w:p>
    <w:p w14:paraId="41A769E3" w14:textId="77777777" w:rsidR="006E46E4" w:rsidRDefault="006E46E4" w:rsidP="00B13E04">
      <w:pPr>
        <w:spacing w:line="264" w:lineRule="auto"/>
      </w:pPr>
    </w:p>
    <w:p w14:paraId="32366F97" w14:textId="63CD57D8" w:rsidR="002860C7" w:rsidRDefault="006E46E4" w:rsidP="00B13E04">
      <w:pPr>
        <w:spacing w:line="264" w:lineRule="auto"/>
        <w:jc w:val="both"/>
        <w:rPr>
          <w:i/>
        </w:rPr>
      </w:pPr>
      <w:r w:rsidRPr="00C73C73">
        <w:rPr>
          <w:rFonts w:ascii="Times-Roman" w:hAnsi="Times-Roman" w:cs="Times-Roman"/>
          <w:szCs w:val="22"/>
        </w:rPr>
        <w:t>The</w:t>
      </w:r>
      <w:r>
        <w:rPr>
          <w:rFonts w:ascii="Times-Roman" w:hAnsi="Times-Roman" w:cs="Times-Roman"/>
          <w:szCs w:val="22"/>
        </w:rPr>
        <w:t xml:space="preserve"> Site</w:t>
      </w:r>
      <w:r w:rsidRPr="00C73C73">
        <w:rPr>
          <w:rFonts w:ascii="Times-Roman" w:hAnsi="Times-Roman" w:cs="Times-Roman"/>
          <w:szCs w:val="22"/>
        </w:rPr>
        <w:t xml:space="preserve"> is located within a mixed commercial and residential area of Thurston</w:t>
      </w:r>
      <w:r>
        <w:rPr>
          <w:rFonts w:ascii="Times-Roman" w:hAnsi="Times-Roman" w:cs="Times-Roman"/>
          <w:szCs w:val="22"/>
        </w:rPr>
        <w:t xml:space="preserve"> </w:t>
      </w:r>
      <w:r w:rsidRPr="00C73C73">
        <w:rPr>
          <w:rFonts w:ascii="Times-Roman" w:hAnsi="Times-Roman" w:cs="Times-Roman"/>
          <w:szCs w:val="22"/>
        </w:rPr>
        <w:t>County</w:t>
      </w:r>
      <w:r w:rsidR="00B13E04">
        <w:t xml:space="preserve">. </w:t>
      </w:r>
      <w:r w:rsidRPr="00975B59">
        <w:t xml:space="preserve">The Site is bound </w:t>
      </w:r>
      <w:r>
        <w:t>to the north by</w:t>
      </w:r>
      <w:r w:rsidRPr="00C73C73">
        <w:rPr>
          <w:rFonts w:ascii="Times-Roman" w:hAnsi="Times-Roman" w:cs="Times-Roman"/>
          <w:szCs w:val="22"/>
        </w:rPr>
        <w:t xml:space="preserve"> Martin Way East </w:t>
      </w:r>
      <w:r>
        <w:rPr>
          <w:rFonts w:ascii="Times-Roman" w:hAnsi="Times-Roman" w:cs="Times-Roman"/>
          <w:szCs w:val="22"/>
        </w:rPr>
        <w:t xml:space="preserve">with commercial properties beyond; to the east by </w:t>
      </w:r>
      <w:r w:rsidRPr="00C73C73">
        <w:rPr>
          <w:rFonts w:ascii="Times-Roman" w:hAnsi="Times-Roman" w:cs="Times-Roman"/>
          <w:szCs w:val="22"/>
        </w:rPr>
        <w:t>Ranger Drive Southeast</w:t>
      </w:r>
      <w:r>
        <w:rPr>
          <w:rFonts w:ascii="Times-Roman" w:hAnsi="Times-Roman" w:cs="Times-Roman"/>
          <w:szCs w:val="22"/>
        </w:rPr>
        <w:t xml:space="preserve"> with commercial properties beyond; to the west by </w:t>
      </w:r>
      <w:proofErr w:type="spellStart"/>
      <w:r>
        <w:rPr>
          <w:rFonts w:ascii="Times-Roman" w:hAnsi="Times-Roman" w:cs="Times-Roman"/>
          <w:szCs w:val="22"/>
        </w:rPr>
        <w:t>Tanglewilde</w:t>
      </w:r>
      <w:proofErr w:type="spellEnd"/>
      <w:r>
        <w:rPr>
          <w:rFonts w:ascii="Times-Roman" w:hAnsi="Times-Roman" w:cs="Times-Roman"/>
          <w:szCs w:val="22"/>
        </w:rPr>
        <w:t xml:space="preserve"> Lumber; and to the south </w:t>
      </w:r>
      <w:r w:rsidRPr="00975B59">
        <w:t>by residential single-family homes</w:t>
      </w:r>
      <w:r w:rsidR="00B13E04">
        <w:t xml:space="preserve">. </w:t>
      </w:r>
      <w:r w:rsidR="002860C7" w:rsidRPr="007D0E18">
        <w:t xml:space="preserve">Figure 1, </w:t>
      </w:r>
      <w:r w:rsidR="002860C7" w:rsidRPr="007D0E18">
        <w:rPr>
          <w:i/>
        </w:rPr>
        <w:t>Vicinity Map</w:t>
      </w:r>
      <w:r w:rsidR="002860C7" w:rsidRPr="007D0E18">
        <w:t>, presents the general vicinity of the Site</w:t>
      </w:r>
      <w:r w:rsidR="00B13E04">
        <w:t xml:space="preserve">. </w:t>
      </w:r>
      <w:r w:rsidR="002860C7" w:rsidRPr="007D0E18">
        <w:t xml:space="preserve">The Site’s current layout can be seen in Figure 2, </w:t>
      </w:r>
      <w:r w:rsidR="002860C7" w:rsidRPr="007D0E18">
        <w:rPr>
          <w:i/>
        </w:rPr>
        <w:t>Site Map</w:t>
      </w:r>
      <w:r w:rsidR="002860C7">
        <w:rPr>
          <w:i/>
        </w:rPr>
        <w:t>.</w:t>
      </w:r>
    </w:p>
    <w:p w14:paraId="25ADFF49" w14:textId="77777777" w:rsidR="002860C7" w:rsidRDefault="002860C7" w:rsidP="002860C7"/>
    <w:p w14:paraId="37E92F2E" w14:textId="77777777" w:rsidR="002860C7" w:rsidRDefault="002860C7">
      <w:pPr>
        <w:spacing w:after="160" w:line="259" w:lineRule="auto"/>
        <w:rPr>
          <w:b/>
          <w:bCs/>
          <w:caps/>
          <w:kern w:val="32"/>
        </w:rPr>
      </w:pPr>
      <w:r>
        <w:br w:type="page"/>
      </w:r>
    </w:p>
    <w:p w14:paraId="107FBAA6" w14:textId="1509E6D5" w:rsidR="00736136" w:rsidRPr="0047769B" w:rsidRDefault="00736136" w:rsidP="00AB2CDC">
      <w:pPr>
        <w:pStyle w:val="Heading1"/>
      </w:pPr>
      <w:bookmarkStart w:id="2" w:name="_Toc162966024"/>
      <w:r w:rsidRPr="00736136">
        <w:lastRenderedPageBreak/>
        <w:t xml:space="preserve">Proposed </w:t>
      </w:r>
      <w:r w:rsidR="00D74F58" w:rsidRPr="00736136">
        <w:t>Compliance/Contingency Plan</w:t>
      </w:r>
      <w:bookmarkEnd w:id="2"/>
      <w:r>
        <w:t xml:space="preserve"> </w:t>
      </w:r>
    </w:p>
    <w:p w14:paraId="5ECACFD8" w14:textId="55BF4A12" w:rsidR="00DF7343" w:rsidRPr="00FC6F4A" w:rsidRDefault="00DF7343" w:rsidP="00DF7343">
      <w:pPr>
        <w:pStyle w:val="BodyText"/>
        <w:kinsoku w:val="0"/>
        <w:overflowPunct w:val="0"/>
        <w:spacing w:before="146" w:after="0" w:line="264" w:lineRule="auto"/>
        <w:jc w:val="both"/>
      </w:pPr>
      <w:bookmarkStart w:id="3" w:name="173-340-410"/>
      <w:r w:rsidRPr="00FC6F4A">
        <w:t xml:space="preserve">Vapor Compliance and Contingency are needed because </w:t>
      </w:r>
      <w:r w:rsidR="00F96F51">
        <w:t>concentrations of</w:t>
      </w:r>
      <w:r w:rsidRPr="00FC6F4A">
        <w:t xml:space="preserve"> </w:t>
      </w:r>
      <w:r w:rsidR="00F96F51">
        <w:t>t</w:t>
      </w:r>
      <w:r w:rsidR="006E46E4" w:rsidRPr="006E46E4">
        <w:t>etrachloroethylene</w:t>
      </w:r>
      <w:r w:rsidR="006E46E4">
        <w:t xml:space="preserve"> (PCE) </w:t>
      </w:r>
      <w:r w:rsidR="00F96F51">
        <w:t>are present</w:t>
      </w:r>
      <w:r w:rsidRPr="00FC6F4A">
        <w:t xml:space="preserve"> beneath the </w:t>
      </w:r>
      <w:r w:rsidR="00F96F51">
        <w:t>Site</w:t>
      </w:r>
      <w:r w:rsidR="00D338D2">
        <w:t xml:space="preserve"> building</w:t>
      </w:r>
      <w:r w:rsidR="00242D3A">
        <w:t xml:space="preserve"> </w:t>
      </w:r>
      <w:r w:rsidRPr="00FC6F4A">
        <w:t xml:space="preserve">above </w:t>
      </w:r>
      <w:r w:rsidR="00BA2A55">
        <w:t>Model Toxics Control Act (</w:t>
      </w:r>
      <w:r w:rsidRPr="00FC6F4A">
        <w:t>MTCA</w:t>
      </w:r>
      <w:r w:rsidR="00BA2A55">
        <w:t>)</w:t>
      </w:r>
      <w:r w:rsidRPr="00FC6F4A">
        <w:t xml:space="preserve"> Method </w:t>
      </w:r>
      <w:r w:rsidR="00242D3A">
        <w:t>A</w:t>
      </w:r>
      <w:r w:rsidRPr="00FC6F4A">
        <w:t xml:space="preserve"> cleanup levels (CULs)</w:t>
      </w:r>
      <w:r w:rsidR="00242D3A">
        <w:t xml:space="preserve"> for soil and MTCA Method B </w:t>
      </w:r>
      <w:r w:rsidR="00F96F51">
        <w:t>screening level</w:t>
      </w:r>
      <w:r w:rsidR="00242D3A">
        <w:t>s for sub</w:t>
      </w:r>
      <w:r w:rsidR="00D338D2">
        <w:t>-</w:t>
      </w:r>
      <w:r w:rsidR="00242D3A">
        <w:t>slab vapor</w:t>
      </w:r>
      <w:r w:rsidRPr="00FC6F4A">
        <w:t xml:space="preserve">. </w:t>
      </w:r>
      <w:r w:rsidR="00242D3A">
        <w:t>Contaminated soil</w:t>
      </w:r>
      <w:r w:rsidRPr="00FC6F4A">
        <w:t xml:space="preserve"> could not be removed </w:t>
      </w:r>
      <w:r w:rsidR="00242D3A">
        <w:t>due to the building foundation</w:t>
      </w:r>
      <w:r w:rsidRPr="00FC6F4A">
        <w:t xml:space="preserve">. </w:t>
      </w:r>
    </w:p>
    <w:p w14:paraId="259482B0" w14:textId="77777777" w:rsidR="00DF7343" w:rsidRPr="00FC6F4A" w:rsidRDefault="00DF7343" w:rsidP="00DF7343">
      <w:pPr>
        <w:spacing w:line="264" w:lineRule="auto"/>
        <w:jc w:val="both"/>
      </w:pPr>
    </w:p>
    <w:p w14:paraId="4D665F05" w14:textId="3E3128E1" w:rsidR="00DF7343" w:rsidRPr="00FC6F4A" w:rsidRDefault="00DF7343" w:rsidP="00DF7343">
      <w:pPr>
        <w:spacing w:line="264" w:lineRule="auto"/>
        <w:jc w:val="both"/>
      </w:pPr>
      <w:r w:rsidRPr="00FC6F4A">
        <w:rPr>
          <w:b/>
        </w:rPr>
        <w:t>Soil:</w:t>
      </w:r>
      <w:r w:rsidRPr="00FC6F4A">
        <w:t xml:space="preserve"> Residual </w:t>
      </w:r>
      <w:r w:rsidR="00242D3A">
        <w:t>contamination</w:t>
      </w:r>
      <w:r w:rsidRPr="00FC6F4A">
        <w:t xml:space="preserve"> above the MTCA Method A </w:t>
      </w:r>
      <w:r w:rsidR="00BA2A55">
        <w:t>CUL</w:t>
      </w:r>
      <w:r w:rsidRPr="00FC6F4A">
        <w:t xml:space="preserve"> for </w:t>
      </w:r>
      <w:r w:rsidR="00242D3A">
        <w:t>PCE is</w:t>
      </w:r>
      <w:r w:rsidRPr="00FC6F4A">
        <w:t xml:space="preserve"> present at the Site from about </w:t>
      </w:r>
      <w:r w:rsidR="00F96F51">
        <w:t xml:space="preserve">2 to </w:t>
      </w:r>
      <w:r w:rsidRPr="00FC6F4A">
        <w:t xml:space="preserve">5 </w:t>
      </w:r>
      <w:r w:rsidR="00A12B6E">
        <w:t>feet</w:t>
      </w:r>
      <w:r w:rsidRPr="00FC6F4A">
        <w:t xml:space="preserve"> </w:t>
      </w:r>
      <w:r w:rsidR="00A12B6E">
        <w:t>below ground surface (</w:t>
      </w:r>
      <w:proofErr w:type="spellStart"/>
      <w:r w:rsidRPr="00FC6F4A">
        <w:t>bgs</w:t>
      </w:r>
      <w:proofErr w:type="spellEnd"/>
      <w:r w:rsidR="00A12B6E">
        <w:t>)</w:t>
      </w:r>
      <w:r w:rsidR="00242D3A">
        <w:t xml:space="preserve"> </w:t>
      </w:r>
      <w:r w:rsidR="00F96F51">
        <w:t>beneath</w:t>
      </w:r>
      <w:r w:rsidR="00242D3A">
        <w:t xml:space="preserve"> the </w:t>
      </w:r>
      <w:r w:rsidR="00F96F51">
        <w:t xml:space="preserve">Site </w:t>
      </w:r>
      <w:r w:rsidR="00242D3A">
        <w:t>building</w:t>
      </w:r>
      <w:r w:rsidRPr="00FC6F4A">
        <w:t xml:space="preserve"> (</w:t>
      </w:r>
      <w:r w:rsidR="00A12B6E">
        <w:t xml:space="preserve">see </w:t>
      </w:r>
      <w:r w:rsidR="00A12B6E" w:rsidRPr="00FC6F4A">
        <w:t>Fig</w:t>
      </w:r>
      <w:r w:rsidR="00A12B6E">
        <w:t>ure</w:t>
      </w:r>
      <w:r w:rsidR="00A12B6E" w:rsidRPr="00FC6F4A">
        <w:t xml:space="preserve"> 3</w:t>
      </w:r>
      <w:r w:rsidR="00A12B6E">
        <w:t xml:space="preserve">, </w:t>
      </w:r>
      <w:r w:rsidR="00A12B6E" w:rsidRPr="00BA2A55">
        <w:rPr>
          <w:i/>
        </w:rPr>
        <w:t>Area of Restrictions</w:t>
      </w:r>
      <w:r w:rsidRPr="00FC6F4A">
        <w:t>)</w:t>
      </w:r>
      <w:r w:rsidR="00B13E04">
        <w:t>.</w:t>
      </w:r>
    </w:p>
    <w:p w14:paraId="6B582EC9" w14:textId="77777777" w:rsidR="00DF7343" w:rsidRPr="00FC6F4A" w:rsidRDefault="00DF7343" w:rsidP="00DF7343">
      <w:pPr>
        <w:spacing w:line="264" w:lineRule="auto"/>
        <w:jc w:val="both"/>
      </w:pPr>
    </w:p>
    <w:p w14:paraId="61E4DBF3" w14:textId="6DCBF56E" w:rsidR="00DF7343" w:rsidRDefault="00DF7343" w:rsidP="00F016D2">
      <w:pPr>
        <w:spacing w:line="264" w:lineRule="auto"/>
        <w:jc w:val="both"/>
      </w:pPr>
      <w:r w:rsidRPr="00F96F51">
        <w:rPr>
          <w:b/>
        </w:rPr>
        <w:t>Groundwater:</w:t>
      </w:r>
      <w:r w:rsidRPr="00F96F51">
        <w:t xml:space="preserve"> Depth to groundwater beneath the Site ranges from about </w:t>
      </w:r>
      <w:r w:rsidR="00242D3A" w:rsidRPr="00F96F51">
        <w:t>17</w:t>
      </w:r>
      <w:r w:rsidRPr="00F96F51">
        <w:t xml:space="preserve"> to </w:t>
      </w:r>
      <w:r w:rsidR="00242D3A" w:rsidRPr="00F96F51">
        <w:t>31</w:t>
      </w:r>
      <w:r w:rsidR="00A12B6E" w:rsidRPr="00F96F51">
        <w:t xml:space="preserve"> feet</w:t>
      </w:r>
      <w:r w:rsidRPr="00F96F51">
        <w:t xml:space="preserve"> </w:t>
      </w:r>
      <w:proofErr w:type="spellStart"/>
      <w:r w:rsidRPr="00F96F51">
        <w:t>bgs</w:t>
      </w:r>
      <w:proofErr w:type="spellEnd"/>
      <w:r w:rsidR="00B13E04" w:rsidRPr="00F96F51">
        <w:t xml:space="preserve">. </w:t>
      </w:r>
      <w:r w:rsidRPr="00F96F51">
        <w:t>PC</w:t>
      </w:r>
      <w:r w:rsidR="00242D3A" w:rsidRPr="00F96F51">
        <w:t>E</w:t>
      </w:r>
      <w:r w:rsidRPr="00F96F51">
        <w:t xml:space="preserve"> is </w:t>
      </w:r>
      <w:r w:rsidR="00242D3A" w:rsidRPr="00F96F51">
        <w:t xml:space="preserve">not </w:t>
      </w:r>
      <w:r w:rsidRPr="00F96F51">
        <w:t xml:space="preserve">present within the groundwater saturated zone, </w:t>
      </w:r>
      <w:r w:rsidR="00242D3A" w:rsidRPr="00F96F51">
        <w:t>and not</w:t>
      </w:r>
      <w:r w:rsidRPr="00F96F51">
        <w:t xml:space="preserve"> in contact with the groundwater at the Site. The direction of groundwater flow at the Site has been generally to the </w:t>
      </w:r>
      <w:r w:rsidR="00E07708" w:rsidRPr="00F96F51">
        <w:t>southwest</w:t>
      </w:r>
      <w:r w:rsidR="00F016D2" w:rsidRPr="00F96F51">
        <w:t>.</w:t>
      </w:r>
    </w:p>
    <w:p w14:paraId="23D6E327" w14:textId="77777777" w:rsidR="00DF7343" w:rsidRPr="00FC6F4A" w:rsidRDefault="00DF7343" w:rsidP="00DF7343">
      <w:pPr>
        <w:pStyle w:val="BodyText"/>
        <w:kinsoku w:val="0"/>
        <w:overflowPunct w:val="0"/>
        <w:spacing w:after="0" w:line="264" w:lineRule="auto"/>
        <w:jc w:val="both"/>
      </w:pPr>
    </w:p>
    <w:p w14:paraId="70275DC1" w14:textId="05B976D8" w:rsidR="00DF7343" w:rsidRPr="00F016D2" w:rsidRDefault="00DF7343" w:rsidP="00F016D2">
      <w:pPr>
        <w:pStyle w:val="BodyText"/>
        <w:kinsoku w:val="0"/>
        <w:overflowPunct w:val="0"/>
        <w:spacing w:after="240" w:line="264" w:lineRule="auto"/>
        <w:jc w:val="both"/>
      </w:pPr>
      <w:r w:rsidRPr="00FC6F4A">
        <w:rPr>
          <w:b/>
          <w:bCs/>
        </w:rPr>
        <w:t>Vapor:</w:t>
      </w:r>
      <w:r w:rsidRPr="00FC6F4A">
        <w:rPr>
          <w:bCs/>
        </w:rPr>
        <w:t xml:space="preserve"> The </w:t>
      </w:r>
      <w:r w:rsidR="00E07708">
        <w:rPr>
          <w:bCs/>
        </w:rPr>
        <w:t>sub-slab</w:t>
      </w:r>
      <w:r w:rsidRPr="00FC6F4A">
        <w:rPr>
          <w:bCs/>
        </w:rPr>
        <w:t xml:space="preserve"> </w:t>
      </w:r>
      <w:r w:rsidR="00E07708">
        <w:rPr>
          <w:bCs/>
        </w:rPr>
        <w:t>vapor</w:t>
      </w:r>
      <w:r w:rsidRPr="00FC6F4A">
        <w:rPr>
          <w:bCs/>
        </w:rPr>
        <w:t xml:space="preserve"> data collected </w:t>
      </w:r>
      <w:r w:rsidR="00E07708">
        <w:rPr>
          <w:bCs/>
        </w:rPr>
        <w:t>to date has had detections of PCE</w:t>
      </w:r>
      <w:r w:rsidRPr="00FC6F4A">
        <w:rPr>
          <w:bCs/>
        </w:rPr>
        <w:t xml:space="preserve"> </w:t>
      </w:r>
      <w:r w:rsidRPr="00F96F51">
        <w:rPr>
          <w:bCs/>
        </w:rPr>
        <w:t xml:space="preserve">above </w:t>
      </w:r>
      <w:r w:rsidR="00116EAA">
        <w:rPr>
          <w:bCs/>
        </w:rPr>
        <w:t>its</w:t>
      </w:r>
      <w:r w:rsidRPr="00FC6F4A">
        <w:rPr>
          <w:bCs/>
        </w:rPr>
        <w:t xml:space="preserve"> respective Method B </w:t>
      </w:r>
      <w:r w:rsidR="00F96F51">
        <w:rPr>
          <w:bCs/>
        </w:rPr>
        <w:t>screening</w:t>
      </w:r>
      <w:r w:rsidRPr="00FC6F4A">
        <w:rPr>
          <w:bCs/>
        </w:rPr>
        <w:t xml:space="preserve"> level of </w:t>
      </w:r>
      <w:r w:rsidR="00F96F51">
        <w:rPr>
          <w:bCs/>
        </w:rPr>
        <w:t>1,50</w:t>
      </w:r>
      <w:r w:rsidR="00E07708">
        <w:rPr>
          <w:bCs/>
        </w:rPr>
        <w:t>0</w:t>
      </w:r>
      <w:r w:rsidRPr="00FC6F4A">
        <w:rPr>
          <w:bCs/>
        </w:rPr>
        <w:t xml:space="preserve"> </w:t>
      </w:r>
      <w:proofErr w:type="spellStart"/>
      <w:r w:rsidR="00037268" w:rsidRPr="00FC6F4A">
        <w:t>μ</w:t>
      </w:r>
      <w:r w:rsidRPr="00FC6F4A">
        <w:rPr>
          <w:bCs/>
        </w:rPr>
        <w:t>g</w:t>
      </w:r>
      <w:proofErr w:type="spellEnd"/>
      <w:r w:rsidRPr="00FC6F4A">
        <w:rPr>
          <w:bCs/>
        </w:rPr>
        <w:t>/m</w:t>
      </w:r>
      <w:r w:rsidRPr="00FC6F4A">
        <w:rPr>
          <w:bCs/>
          <w:vertAlign w:val="superscript"/>
        </w:rPr>
        <w:t>3</w:t>
      </w:r>
      <w:r w:rsidR="00F96F51">
        <w:rPr>
          <w:bCs/>
        </w:rPr>
        <w:t xml:space="preserve"> for a commercial worker scenario (</w:t>
      </w:r>
      <w:r w:rsidRPr="00FC6F4A">
        <w:rPr>
          <w:bCs/>
        </w:rPr>
        <w:t xml:space="preserve">the land use is commercial and consistent with operation of a </w:t>
      </w:r>
      <w:r w:rsidR="00E07708">
        <w:rPr>
          <w:bCs/>
        </w:rPr>
        <w:t>laundromat</w:t>
      </w:r>
      <w:r w:rsidR="00F96F51">
        <w:rPr>
          <w:bCs/>
        </w:rPr>
        <w:t xml:space="preserve">). </w:t>
      </w:r>
      <w:r w:rsidRPr="00FC6F4A">
        <w:rPr>
          <w:bCs/>
        </w:rPr>
        <w:t xml:space="preserve">Confirmation </w:t>
      </w:r>
      <w:r w:rsidR="00F016D2">
        <w:rPr>
          <w:bCs/>
        </w:rPr>
        <w:t>v</w:t>
      </w:r>
      <w:r w:rsidRPr="00FC6F4A">
        <w:rPr>
          <w:bCs/>
        </w:rPr>
        <w:t xml:space="preserve">apor monitoring is necessary to ensure </w:t>
      </w:r>
      <w:r w:rsidR="00E07708">
        <w:rPr>
          <w:bCs/>
        </w:rPr>
        <w:t xml:space="preserve">PCE </w:t>
      </w:r>
      <w:r w:rsidR="00F96F51">
        <w:rPr>
          <w:bCs/>
        </w:rPr>
        <w:t xml:space="preserve">concentrations in indoor air </w:t>
      </w:r>
      <w:r w:rsidRPr="00FC6F4A">
        <w:rPr>
          <w:bCs/>
        </w:rPr>
        <w:t>remain</w:t>
      </w:r>
      <w:r w:rsidR="00F96F51">
        <w:rPr>
          <w:bCs/>
        </w:rPr>
        <w:t xml:space="preserve"> below MTCA Method B CULs</w:t>
      </w:r>
      <w:r w:rsidRPr="00FC6F4A">
        <w:rPr>
          <w:bCs/>
        </w:rPr>
        <w:t xml:space="preserve"> pending the 5</w:t>
      </w:r>
      <w:r w:rsidR="00F016D2">
        <w:rPr>
          <w:bCs/>
        </w:rPr>
        <w:t>-year Periodic</w:t>
      </w:r>
      <w:r w:rsidRPr="00FC6F4A">
        <w:rPr>
          <w:bCs/>
        </w:rPr>
        <w:t xml:space="preserve"> Review.</w:t>
      </w:r>
      <w:bookmarkStart w:id="4" w:name="_Toc531765372"/>
    </w:p>
    <w:p w14:paraId="13EE4293" w14:textId="5A4464D8" w:rsidR="002860C7" w:rsidRDefault="00DF7343" w:rsidP="002860C7">
      <w:pPr>
        <w:pStyle w:val="Heading2"/>
        <w:spacing w:before="0"/>
      </w:pPr>
      <w:bookmarkStart w:id="5" w:name="_Toc162966025"/>
      <w:bookmarkEnd w:id="4"/>
      <w:r w:rsidRPr="00FC6F4A">
        <w:t>Compliance/Contingency</w:t>
      </w:r>
      <w:r w:rsidRPr="00FC6F4A">
        <w:rPr>
          <w:spacing w:val="-18"/>
        </w:rPr>
        <w:t xml:space="preserve"> </w:t>
      </w:r>
      <w:r w:rsidRPr="00FC6F4A">
        <w:t>Plan</w:t>
      </w:r>
      <w:r w:rsidRPr="00FC6F4A">
        <w:rPr>
          <w:spacing w:val="-12"/>
        </w:rPr>
        <w:t xml:space="preserve"> </w:t>
      </w:r>
      <w:r w:rsidRPr="00FC6F4A">
        <w:t>for</w:t>
      </w:r>
      <w:r w:rsidRPr="00FC6F4A">
        <w:rPr>
          <w:spacing w:val="-15"/>
        </w:rPr>
        <w:t xml:space="preserve"> </w:t>
      </w:r>
      <w:r w:rsidR="00832172">
        <w:rPr>
          <w:spacing w:val="-15"/>
        </w:rPr>
        <w:t>P</w:t>
      </w:r>
      <w:r w:rsidRPr="00FC6F4A">
        <w:t>etroleum</w:t>
      </w:r>
      <w:r w:rsidRPr="00FC6F4A">
        <w:rPr>
          <w:spacing w:val="-13"/>
        </w:rPr>
        <w:t xml:space="preserve"> </w:t>
      </w:r>
      <w:r w:rsidR="00832172">
        <w:rPr>
          <w:spacing w:val="-13"/>
        </w:rPr>
        <w:t>H</w:t>
      </w:r>
      <w:r w:rsidRPr="00FC6F4A">
        <w:t>ydrocarbon</w:t>
      </w:r>
      <w:r w:rsidRPr="00FC6F4A">
        <w:rPr>
          <w:spacing w:val="-12"/>
        </w:rPr>
        <w:t xml:space="preserve"> </w:t>
      </w:r>
      <w:r w:rsidRPr="00FC6F4A">
        <w:t>(TPH)</w:t>
      </w:r>
      <w:r w:rsidRPr="00FC6F4A">
        <w:rPr>
          <w:spacing w:val="-15"/>
        </w:rPr>
        <w:t xml:space="preserve"> </w:t>
      </w:r>
      <w:r w:rsidRPr="00FC6F4A">
        <w:t>constituents,</w:t>
      </w:r>
      <w:r w:rsidRPr="00FC6F4A">
        <w:rPr>
          <w:spacing w:val="-13"/>
        </w:rPr>
        <w:t xml:space="preserve"> </w:t>
      </w:r>
      <w:r w:rsidRPr="00FC6F4A">
        <w:t>based</w:t>
      </w:r>
      <w:r w:rsidRPr="00FC6F4A">
        <w:rPr>
          <w:spacing w:val="-13"/>
        </w:rPr>
        <w:t xml:space="preserve"> </w:t>
      </w:r>
      <w:r w:rsidRPr="00FC6F4A">
        <w:t>on</w:t>
      </w:r>
      <w:r w:rsidRPr="00FC6F4A">
        <w:rPr>
          <w:spacing w:val="-13"/>
        </w:rPr>
        <w:t xml:space="preserve"> </w:t>
      </w:r>
      <w:r w:rsidRPr="00FC6F4A">
        <w:t>WAC 173-340-820</w:t>
      </w:r>
      <w:bookmarkEnd w:id="5"/>
    </w:p>
    <w:p w14:paraId="7CDCF6F2" w14:textId="1D6AC444" w:rsidR="00CD679C" w:rsidRPr="00F96F51" w:rsidRDefault="00434C5E" w:rsidP="00F96F51">
      <w:pPr>
        <w:spacing w:line="264" w:lineRule="auto"/>
        <w:jc w:val="both"/>
      </w:pPr>
      <w:r w:rsidRPr="00921326">
        <w:rPr>
          <w:b/>
        </w:rPr>
        <w:t>Vapor:</w:t>
      </w:r>
      <w:r w:rsidRPr="00921326">
        <w:t xml:space="preserve"> </w:t>
      </w:r>
      <w:r w:rsidR="000371AD">
        <w:t>Two previously utilized ambient air locations</w:t>
      </w:r>
      <w:r w:rsidRPr="000371AD">
        <w:t xml:space="preserve"> </w:t>
      </w:r>
      <w:r w:rsidR="000371AD">
        <w:t>(</w:t>
      </w:r>
      <w:r w:rsidR="000371AD" w:rsidRPr="000371AD">
        <w:t>Indoor</w:t>
      </w:r>
      <w:r w:rsidR="000371AD">
        <w:t>-1 and Indoor-4), one outdoor ambient air sampling location (Ambient-4), and five sub</w:t>
      </w:r>
      <w:r w:rsidR="00D338D2">
        <w:t>-</w:t>
      </w:r>
      <w:r w:rsidR="000371AD">
        <w:t>slab vapor sampling pins (SS-1 through SS-5)</w:t>
      </w:r>
      <w:r w:rsidRPr="00921326">
        <w:t xml:space="preserve"> will be used for the confirmation sampling and will be sampled and analyzed </w:t>
      </w:r>
      <w:r w:rsidR="00A95090">
        <w:t>every 18 months following the issuance of the NFA</w:t>
      </w:r>
      <w:r w:rsidRPr="00921326">
        <w:t>. The sampling and analytical results will be submitted to PLIA for review</w:t>
      </w:r>
      <w:r w:rsidR="00B13E04">
        <w:t xml:space="preserve">. </w:t>
      </w:r>
      <w:r w:rsidR="00F016D2" w:rsidRPr="00C90B9A">
        <w:t xml:space="preserve">Vapor probe locations are illustrated on Figure 2, </w:t>
      </w:r>
      <w:r w:rsidR="00F016D2" w:rsidRPr="00C90B9A">
        <w:rPr>
          <w:i/>
        </w:rPr>
        <w:t>Site Map</w:t>
      </w:r>
      <w:r w:rsidR="00F016D2" w:rsidRPr="00C90B9A">
        <w:t xml:space="preserve">, and Figure 3, </w:t>
      </w:r>
      <w:r w:rsidR="00F016D2" w:rsidRPr="00C90B9A">
        <w:rPr>
          <w:i/>
        </w:rPr>
        <w:t>Area of Restrictions</w:t>
      </w:r>
      <w:r w:rsidRPr="00921326">
        <w:t>.</w:t>
      </w:r>
    </w:p>
    <w:p w14:paraId="06506F4D" w14:textId="77777777" w:rsidR="003F6A83" w:rsidRPr="003170E6" w:rsidRDefault="003F6A83" w:rsidP="00D006F5">
      <w:pPr>
        <w:pStyle w:val="Heading3"/>
      </w:pPr>
      <w:bookmarkStart w:id="6" w:name="_Toc162966026"/>
      <w:r w:rsidRPr="003170E6">
        <w:t>Contingency Plan</w:t>
      </w:r>
      <w:bookmarkEnd w:id="6"/>
    </w:p>
    <w:p w14:paraId="32A74DE0" w14:textId="56A3C1D5" w:rsidR="003F6A83" w:rsidRDefault="00F96F51" w:rsidP="00D006F5">
      <w:pPr>
        <w:spacing w:before="120" w:line="264" w:lineRule="auto"/>
        <w:jc w:val="both"/>
      </w:pPr>
      <w:r w:rsidRPr="003170E6">
        <w:t>If</w:t>
      </w:r>
      <w:r w:rsidR="003F6A83" w:rsidRPr="003170E6">
        <w:t xml:space="preserve"> </w:t>
      </w:r>
      <w:r w:rsidR="00D006F5">
        <w:t xml:space="preserve">constituents </w:t>
      </w:r>
      <w:r w:rsidR="007460BE" w:rsidRPr="003170E6">
        <w:t xml:space="preserve">are detected </w:t>
      </w:r>
      <w:r w:rsidR="007460BE">
        <w:t xml:space="preserve">in the </w:t>
      </w:r>
      <w:r w:rsidR="00A95090">
        <w:t>adjusted</w:t>
      </w:r>
      <w:r w:rsidR="006D6A04">
        <w:t xml:space="preserve"> ambient air</w:t>
      </w:r>
      <w:r w:rsidR="003F6A83" w:rsidRPr="003170E6">
        <w:t xml:space="preserve"> </w:t>
      </w:r>
      <w:r w:rsidR="00A95090">
        <w:t>(Indoor-1 and Indoor-</w:t>
      </w:r>
      <w:r w:rsidR="007460BE">
        <w:t>4</w:t>
      </w:r>
      <w:r w:rsidR="00A95090">
        <w:t xml:space="preserve">) </w:t>
      </w:r>
      <w:r w:rsidR="003F6A83" w:rsidRPr="003170E6">
        <w:t xml:space="preserve">above </w:t>
      </w:r>
      <w:r w:rsidR="007460BE">
        <w:rPr>
          <w:bCs/>
        </w:rPr>
        <w:t>MTCA Method B CULs</w:t>
      </w:r>
      <w:r w:rsidR="007460BE">
        <w:rPr>
          <w:bCs/>
        </w:rPr>
        <w:t>, AEG will consider a follow-up round of sampling to confirm the results</w:t>
      </w:r>
      <w:r w:rsidR="00B13E04">
        <w:t>.</w:t>
      </w:r>
      <w:r w:rsidR="007460BE">
        <w:t xml:space="preserve"> If the results are confirmed, AEG will coordinate with Ecology on additional mitigation measures.</w:t>
      </w:r>
    </w:p>
    <w:p w14:paraId="7CA01FF9" w14:textId="10A9603A" w:rsidR="00E575D6" w:rsidRPr="00A95090" w:rsidRDefault="003F6A83" w:rsidP="00FA2D64">
      <w:pPr>
        <w:pStyle w:val="Heading3"/>
        <w:rPr>
          <w:color w:val="000000"/>
        </w:rPr>
      </w:pPr>
      <w:bookmarkStart w:id="7" w:name="_Toc162966027"/>
      <w:r w:rsidRPr="00A95090">
        <w:t>Vapor</w:t>
      </w:r>
      <w:r w:rsidR="00B20252">
        <w:t xml:space="preserve"> and Sub</w:t>
      </w:r>
      <w:r w:rsidR="00D338D2">
        <w:t>-S</w:t>
      </w:r>
      <w:r w:rsidR="00B20252">
        <w:t>lab</w:t>
      </w:r>
      <w:r w:rsidRPr="00A95090">
        <w:rPr>
          <w:spacing w:val="-5"/>
        </w:rPr>
        <w:t xml:space="preserve"> </w:t>
      </w:r>
      <w:r w:rsidRPr="00A95090">
        <w:t>Sampling</w:t>
      </w:r>
      <w:bookmarkEnd w:id="7"/>
    </w:p>
    <w:p w14:paraId="27F13D52" w14:textId="4523F473" w:rsidR="00E575D6" w:rsidRDefault="00E575D6" w:rsidP="00E575D6">
      <w:pPr>
        <w:spacing w:line="264" w:lineRule="auto"/>
        <w:jc w:val="both"/>
      </w:pPr>
      <w:r>
        <w:t>Vapor (i.e., ambient air)</w:t>
      </w:r>
      <w:r w:rsidR="00A95090">
        <w:t xml:space="preserve"> and sub</w:t>
      </w:r>
      <w:r w:rsidR="00D338D2">
        <w:t>-</w:t>
      </w:r>
      <w:r w:rsidR="00A95090">
        <w:t>slab vapor</w:t>
      </w:r>
      <w:r>
        <w:t xml:space="preserve"> samples will be collected in accordance with Ecology’s </w:t>
      </w:r>
      <w:r w:rsidRPr="000E69B1">
        <w:rPr>
          <w:i/>
        </w:rPr>
        <w:t>Guidance for Evaluating Soil Vapor Intrusion in Washington State</w:t>
      </w:r>
      <w:r w:rsidR="00B13E04">
        <w:t xml:space="preserve">. </w:t>
      </w:r>
      <w:r w:rsidR="00A95090">
        <w:t xml:space="preserve">Ambient air </w:t>
      </w:r>
      <w:r w:rsidR="00A95090">
        <w:lastRenderedPageBreak/>
        <w:t>s</w:t>
      </w:r>
      <w:r>
        <w:t>amples will be collected using 6-liter (L) Summa canisters with 8-hour inlet flow regulators, and placed within the breathing zone at about 4 to 5 feet above the ground surface</w:t>
      </w:r>
      <w:r w:rsidR="00B13E04">
        <w:t xml:space="preserve">. </w:t>
      </w:r>
      <w:r w:rsidR="0084793B">
        <w:t>After placing the canisters at each sampling location, the inlet valves will be opened, and staff will return at the end of the 8-hour event to close the canisters</w:t>
      </w:r>
      <w:r w:rsidR="00B13E04">
        <w:t xml:space="preserve">. </w:t>
      </w:r>
      <w:r w:rsidR="0084793B">
        <w:t>Sub</w:t>
      </w:r>
      <w:r w:rsidR="00D338D2">
        <w:t>-</w:t>
      </w:r>
      <w:r w:rsidR="0084793B">
        <w:t>slab samples will be collected using 1-L Summa canisters with 10-minute inlet flow regulators, hooked up to existing sub</w:t>
      </w:r>
      <w:r w:rsidR="00D338D2">
        <w:t>-</w:t>
      </w:r>
      <w:r w:rsidR="0084793B">
        <w:t>slab vapor testing pins</w:t>
      </w:r>
      <w:r w:rsidR="00B13E04">
        <w:t xml:space="preserve">. </w:t>
      </w:r>
    </w:p>
    <w:p w14:paraId="7C59CD88" w14:textId="77777777" w:rsidR="003F6A83" w:rsidRDefault="003F6A83" w:rsidP="003170E6">
      <w:pPr>
        <w:pStyle w:val="BodyText"/>
        <w:kinsoku w:val="0"/>
        <w:overflowPunct w:val="0"/>
        <w:spacing w:after="0"/>
        <w:jc w:val="both"/>
        <w:rPr>
          <w:color w:val="4B4B4D"/>
          <w:w w:val="105"/>
        </w:rPr>
      </w:pPr>
    </w:p>
    <w:p w14:paraId="0C933CA0" w14:textId="2567A704" w:rsidR="002C6F6A" w:rsidRDefault="002C6F6A" w:rsidP="002C6F6A">
      <w:pPr>
        <w:pStyle w:val="BodyText"/>
        <w:kinsoku w:val="0"/>
        <w:overflowPunct w:val="0"/>
        <w:spacing w:after="0"/>
        <w:jc w:val="both"/>
      </w:pPr>
      <w:r>
        <w:t xml:space="preserve">Vapor sample locations are illustrated on Figure 2, </w:t>
      </w:r>
      <w:r>
        <w:rPr>
          <w:i/>
          <w:iCs/>
        </w:rPr>
        <w:t>Site Map</w:t>
      </w:r>
      <w:r>
        <w:t>.</w:t>
      </w:r>
    </w:p>
    <w:p w14:paraId="49C0A882" w14:textId="794E5442" w:rsidR="003F6A83" w:rsidRDefault="003F6A83" w:rsidP="002C6F6A">
      <w:pPr>
        <w:pStyle w:val="Heading3"/>
        <w:spacing w:after="120"/>
        <w:rPr>
          <w:color w:val="000000"/>
        </w:rPr>
      </w:pPr>
      <w:bookmarkStart w:id="8" w:name="bookmark4"/>
      <w:bookmarkStart w:id="9" w:name="_Toc162966028"/>
      <w:bookmarkEnd w:id="8"/>
      <w:r>
        <w:t>Quality</w:t>
      </w:r>
      <w:r>
        <w:rPr>
          <w:spacing w:val="-4"/>
        </w:rPr>
        <w:t xml:space="preserve"> </w:t>
      </w:r>
      <w:r>
        <w:t>Controls</w:t>
      </w:r>
      <w:bookmarkEnd w:id="9"/>
    </w:p>
    <w:p w14:paraId="7F0D7291" w14:textId="445D0ACE" w:rsidR="003F6A83" w:rsidRDefault="003F6A83" w:rsidP="002339FC">
      <w:pPr>
        <w:pStyle w:val="BodyText"/>
        <w:kinsoku w:val="0"/>
        <w:overflowPunct w:val="0"/>
        <w:spacing w:after="0" w:line="264" w:lineRule="auto"/>
        <w:jc w:val="both"/>
      </w:pPr>
      <w:r w:rsidRPr="002C6F6A">
        <w:t>All</w:t>
      </w:r>
      <w:r w:rsidRPr="002C6F6A">
        <w:rPr>
          <w:spacing w:val="-12"/>
        </w:rPr>
        <w:t xml:space="preserve"> </w:t>
      </w:r>
      <w:r w:rsidR="00FA2D64">
        <w:t>sub-slab</w:t>
      </w:r>
      <w:r w:rsidRPr="002C6F6A">
        <w:t xml:space="preserve"> </w:t>
      </w:r>
      <w:r w:rsidR="00FA2D64">
        <w:t>vapor</w:t>
      </w:r>
      <w:r w:rsidRPr="002C6F6A">
        <w:rPr>
          <w:spacing w:val="-13"/>
        </w:rPr>
        <w:t xml:space="preserve"> </w:t>
      </w:r>
      <w:r w:rsidRPr="002C6F6A">
        <w:t>samples</w:t>
      </w:r>
      <w:r w:rsidRPr="002C6F6A">
        <w:rPr>
          <w:spacing w:val="-9"/>
        </w:rPr>
        <w:t xml:space="preserve"> </w:t>
      </w:r>
      <w:r w:rsidRPr="002C6F6A">
        <w:t>will</w:t>
      </w:r>
      <w:r w:rsidRPr="002C6F6A">
        <w:rPr>
          <w:spacing w:val="-11"/>
        </w:rPr>
        <w:t xml:space="preserve"> </w:t>
      </w:r>
      <w:r w:rsidRPr="002C6F6A">
        <w:t>be</w:t>
      </w:r>
      <w:r w:rsidRPr="002C6F6A">
        <w:rPr>
          <w:spacing w:val="-13"/>
        </w:rPr>
        <w:t xml:space="preserve"> </w:t>
      </w:r>
      <w:r w:rsidRPr="002C6F6A">
        <w:t>collected</w:t>
      </w:r>
      <w:r w:rsidRPr="002C6F6A">
        <w:rPr>
          <w:spacing w:val="-13"/>
        </w:rPr>
        <w:t xml:space="preserve"> </w:t>
      </w:r>
      <w:r w:rsidRPr="002C6F6A">
        <w:t>in</w:t>
      </w:r>
      <w:r w:rsidRPr="002C6F6A">
        <w:rPr>
          <w:spacing w:val="-12"/>
        </w:rPr>
        <w:t xml:space="preserve"> </w:t>
      </w:r>
      <w:r w:rsidRPr="002C6F6A">
        <w:t>accordance</w:t>
      </w:r>
      <w:r w:rsidRPr="002C6F6A">
        <w:rPr>
          <w:spacing w:val="-13"/>
        </w:rPr>
        <w:t xml:space="preserve"> </w:t>
      </w:r>
      <w:r w:rsidRPr="002C6F6A">
        <w:t>with</w:t>
      </w:r>
      <w:r w:rsidRPr="002C6F6A">
        <w:rPr>
          <w:spacing w:val="-12"/>
        </w:rPr>
        <w:t xml:space="preserve"> </w:t>
      </w:r>
      <w:r w:rsidRPr="002C6F6A">
        <w:t>industry</w:t>
      </w:r>
      <w:r w:rsidRPr="002C6F6A">
        <w:rPr>
          <w:spacing w:val="-17"/>
        </w:rPr>
        <w:t xml:space="preserve"> </w:t>
      </w:r>
      <w:r w:rsidRPr="002C6F6A">
        <w:t>protocols</w:t>
      </w:r>
      <w:r w:rsidRPr="002C6F6A">
        <w:rPr>
          <w:spacing w:val="-11"/>
        </w:rPr>
        <w:t xml:space="preserve"> </w:t>
      </w:r>
      <w:r w:rsidRPr="002C6F6A">
        <w:t>for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collection, documentation, and handling of</w:t>
      </w:r>
      <w:r>
        <w:rPr>
          <w:spacing w:val="-9"/>
        </w:rPr>
        <w:t xml:space="preserve"> </w:t>
      </w:r>
      <w:r>
        <w:t>samples.</w:t>
      </w:r>
    </w:p>
    <w:p w14:paraId="41F121BB" w14:textId="77777777" w:rsidR="003F6A83" w:rsidRDefault="003F6A83" w:rsidP="002339FC">
      <w:pPr>
        <w:pStyle w:val="BodyText"/>
        <w:kinsoku w:val="0"/>
        <w:overflowPunct w:val="0"/>
        <w:spacing w:after="0" w:line="264" w:lineRule="auto"/>
        <w:rPr>
          <w:sz w:val="26"/>
          <w:szCs w:val="26"/>
        </w:rPr>
      </w:pPr>
    </w:p>
    <w:p w14:paraId="5957D051" w14:textId="057E7867" w:rsidR="002C6F6A" w:rsidRDefault="002C6F6A" w:rsidP="002339FC">
      <w:pPr>
        <w:pStyle w:val="BodyText"/>
        <w:kinsoku w:val="0"/>
        <w:overflowPunct w:val="0"/>
        <w:spacing w:after="0" w:line="264" w:lineRule="auto"/>
        <w:jc w:val="both"/>
      </w:pPr>
      <w:r>
        <w:t>All Summa canisters will be certified clean prior to use, and will be located away from areas of potential interference.</w:t>
      </w:r>
    </w:p>
    <w:p w14:paraId="75B91EFE" w14:textId="77777777" w:rsidR="003F6A83" w:rsidRDefault="003F6A83" w:rsidP="002339FC">
      <w:pPr>
        <w:pStyle w:val="BodyText"/>
        <w:kinsoku w:val="0"/>
        <w:overflowPunct w:val="0"/>
        <w:spacing w:after="0" w:line="264" w:lineRule="auto"/>
        <w:rPr>
          <w:sz w:val="26"/>
          <w:szCs w:val="26"/>
        </w:rPr>
      </w:pPr>
    </w:p>
    <w:p w14:paraId="0D92EC2C" w14:textId="098C9CB1" w:rsidR="003F6A83" w:rsidRDefault="003F6A83" w:rsidP="00D006F5">
      <w:pPr>
        <w:pStyle w:val="BodyText"/>
        <w:kinsoku w:val="0"/>
        <w:overflowPunct w:val="0"/>
        <w:spacing w:after="0" w:line="264" w:lineRule="auto"/>
        <w:jc w:val="both"/>
        <w:rPr>
          <w:sz w:val="26"/>
          <w:szCs w:val="26"/>
        </w:rPr>
      </w:pPr>
      <w:r w:rsidRPr="007460BE">
        <w:t xml:space="preserve">All samples will be transported to the laboratory under industry standard chain-of-custody protocols. </w:t>
      </w:r>
    </w:p>
    <w:p w14:paraId="587B1279" w14:textId="77777777" w:rsidR="003F6A83" w:rsidRDefault="003F6A83" w:rsidP="002C6F6A">
      <w:pPr>
        <w:pStyle w:val="Heading3"/>
        <w:spacing w:after="120"/>
        <w:rPr>
          <w:color w:val="000000"/>
        </w:rPr>
      </w:pPr>
      <w:bookmarkStart w:id="10" w:name="bookmark5"/>
      <w:bookmarkStart w:id="11" w:name="_Toc162966029"/>
      <w:bookmarkEnd w:id="10"/>
      <w:r>
        <w:t>Inspection</w:t>
      </w:r>
      <w:bookmarkEnd w:id="11"/>
    </w:p>
    <w:p w14:paraId="04809888" w14:textId="44BD702C" w:rsidR="003F6A83" w:rsidRDefault="003F6A83" w:rsidP="002339FC">
      <w:pPr>
        <w:pStyle w:val="BodyText"/>
        <w:kinsoku w:val="0"/>
        <w:overflowPunct w:val="0"/>
        <w:spacing w:after="0" w:line="264" w:lineRule="auto"/>
        <w:jc w:val="both"/>
      </w:pPr>
      <w:r>
        <w:t xml:space="preserve">As part of sampling activities, </w:t>
      </w:r>
      <w:r w:rsidR="00F749AA">
        <w:t xml:space="preserve">the condition of </w:t>
      </w:r>
      <w:r>
        <w:t xml:space="preserve">the Site building, which </w:t>
      </w:r>
      <w:r w:rsidR="007460BE">
        <w:t>is</w:t>
      </w:r>
      <w:r>
        <w:t xml:space="preserve"> acting as a cap for remaining </w:t>
      </w:r>
      <w:r w:rsidR="00FA2D64">
        <w:t>PCE</w:t>
      </w:r>
      <w:r w:rsidR="007460BE">
        <w:t>-</w:t>
      </w:r>
      <w:r w:rsidR="00FA2D64">
        <w:t>contaminated soil and</w:t>
      </w:r>
      <w:r>
        <w:t xml:space="preserve"> </w:t>
      </w:r>
      <w:r w:rsidR="00F749AA">
        <w:t>v</w:t>
      </w:r>
      <w:r>
        <w:t xml:space="preserve">apor contamination, will be inspected for integrity as part of the Site Institutional Control to ensure the integrity of the Site </w:t>
      </w:r>
      <w:r w:rsidR="00F749AA">
        <w:t>r</w:t>
      </w:r>
      <w:r>
        <w:t>emedy for the continued protection of the human health and the environment</w:t>
      </w:r>
      <w:r w:rsidR="00B13E04">
        <w:t xml:space="preserve">. </w:t>
      </w:r>
      <w:r w:rsidR="00B20252">
        <w:t>Inspection will be conducted once every 18 months during the vapor sampling activities.</w:t>
      </w:r>
    </w:p>
    <w:p w14:paraId="54685473" w14:textId="77777777" w:rsidR="003F6A83" w:rsidRDefault="003F6A83" w:rsidP="002339FC">
      <w:pPr>
        <w:pStyle w:val="BodyText"/>
        <w:kinsoku w:val="0"/>
        <w:overflowPunct w:val="0"/>
        <w:spacing w:after="0" w:line="264" w:lineRule="auto"/>
        <w:rPr>
          <w:sz w:val="23"/>
          <w:szCs w:val="23"/>
        </w:rPr>
      </w:pPr>
    </w:p>
    <w:p w14:paraId="7A894BBD" w14:textId="2629917F" w:rsidR="002339FC" w:rsidRDefault="003F6A83" w:rsidP="002339FC">
      <w:pPr>
        <w:pStyle w:val="BodyText"/>
        <w:kinsoku w:val="0"/>
        <w:overflowPunct w:val="0"/>
        <w:spacing w:after="0" w:line="264" w:lineRule="auto"/>
        <w:jc w:val="both"/>
      </w:pPr>
      <w:r w:rsidRPr="007460BE">
        <w:t>To</w:t>
      </w:r>
      <w:r w:rsidRPr="007460BE">
        <w:rPr>
          <w:spacing w:val="-5"/>
        </w:rPr>
        <w:t xml:space="preserve"> </w:t>
      </w:r>
      <w:r w:rsidRPr="007460BE">
        <w:t>document</w:t>
      </w:r>
      <w:r w:rsidRPr="007460BE">
        <w:rPr>
          <w:spacing w:val="-5"/>
        </w:rPr>
        <w:t xml:space="preserve"> </w:t>
      </w:r>
      <w:r w:rsidRPr="007460BE">
        <w:t>inspection</w:t>
      </w:r>
      <w:r w:rsidRPr="007460BE">
        <w:rPr>
          <w:spacing w:val="-2"/>
        </w:rPr>
        <w:t xml:space="preserve"> </w:t>
      </w:r>
      <w:r w:rsidRPr="007460BE">
        <w:t>activities,</w:t>
      </w:r>
      <w:r w:rsidRPr="007460BE">
        <w:rPr>
          <w:spacing w:val="-5"/>
        </w:rPr>
        <w:t xml:space="preserve"> </w:t>
      </w:r>
      <w:r w:rsidRPr="007460BE">
        <w:t>AEG</w:t>
      </w:r>
      <w:r w:rsidRPr="007460BE">
        <w:rPr>
          <w:spacing w:val="-5"/>
        </w:rPr>
        <w:t xml:space="preserve"> </w:t>
      </w:r>
      <w:r w:rsidRPr="007460BE">
        <w:t>will</w:t>
      </w:r>
      <w:r w:rsidRPr="007460BE">
        <w:rPr>
          <w:spacing w:val="-4"/>
        </w:rPr>
        <w:t xml:space="preserve"> </w:t>
      </w:r>
      <w:r w:rsidR="007460BE">
        <w:t>include a summary in the vapor monitoring reports</w:t>
      </w:r>
      <w:r w:rsidRPr="007460BE">
        <w:rPr>
          <w:spacing w:val="-5"/>
        </w:rPr>
        <w:t>.</w:t>
      </w:r>
      <w:r>
        <w:rPr>
          <w:spacing w:val="-5"/>
        </w:rPr>
        <w:t xml:space="preserve"> </w:t>
      </w:r>
    </w:p>
    <w:p w14:paraId="64E18B46" w14:textId="234482B6" w:rsidR="003F6A83" w:rsidRDefault="003F6A83" w:rsidP="002C6F6A">
      <w:pPr>
        <w:pStyle w:val="Heading3"/>
        <w:spacing w:after="120"/>
      </w:pPr>
      <w:bookmarkStart w:id="12" w:name="_Toc162966030"/>
      <w:r>
        <w:t>Repo</w:t>
      </w:r>
      <w:bookmarkStart w:id="13" w:name="_TOC_250000"/>
      <w:bookmarkEnd w:id="13"/>
      <w:r>
        <w:t>rting and Record Keeping</w:t>
      </w:r>
      <w:bookmarkEnd w:id="12"/>
    </w:p>
    <w:p w14:paraId="3BA8F07F" w14:textId="494DD871" w:rsidR="003F6A83" w:rsidRDefault="003F6A83" w:rsidP="002339FC">
      <w:pPr>
        <w:pStyle w:val="BodyText"/>
        <w:spacing w:after="0" w:line="264" w:lineRule="auto"/>
        <w:jc w:val="both"/>
      </w:pPr>
      <w:r>
        <w:t xml:space="preserve">All records associated with this work plan will be sent to </w:t>
      </w:r>
      <w:r w:rsidR="007460BE">
        <w:t>Ecology</w:t>
      </w:r>
      <w:r>
        <w:t xml:space="preserve"> within 30 days of finalizing the reports for the</w:t>
      </w:r>
      <w:r w:rsidR="00D338D2">
        <w:t xml:space="preserve"> individual</w:t>
      </w:r>
      <w:r>
        <w:t xml:space="preserve"> </w:t>
      </w:r>
      <w:r w:rsidR="00D338D2">
        <w:t xml:space="preserve">sampling events outlined in </w:t>
      </w:r>
      <w:r w:rsidR="007460BE">
        <w:t>S</w:t>
      </w:r>
      <w:r w:rsidR="00D338D2">
        <w:t>ection 2</w:t>
      </w:r>
      <w:r>
        <w:t xml:space="preserve"> pending the 5-year Review.</w:t>
      </w:r>
    </w:p>
    <w:p w14:paraId="79073DFB" w14:textId="77777777" w:rsidR="002339FC" w:rsidRDefault="002339FC" w:rsidP="002339FC">
      <w:pPr>
        <w:pStyle w:val="BodyText"/>
        <w:spacing w:after="0" w:line="264" w:lineRule="auto"/>
        <w:jc w:val="both"/>
      </w:pPr>
    </w:p>
    <w:p w14:paraId="50B54CE2" w14:textId="77777777" w:rsidR="00434C5E" w:rsidRDefault="00434C5E" w:rsidP="002860C7">
      <w:pPr>
        <w:pStyle w:val="AEG"/>
        <w:rPr>
          <w:highlight w:val="yellow"/>
        </w:rPr>
      </w:pPr>
    </w:p>
    <w:bookmarkEnd w:id="3"/>
    <w:p w14:paraId="19C17ADC" w14:textId="5E87F81C" w:rsidR="002860C7" w:rsidRDefault="002860C7" w:rsidP="002860C7">
      <w:pPr>
        <w:spacing w:after="160" w:line="259" w:lineRule="auto"/>
        <w:rPr>
          <w:b/>
          <w:bCs/>
          <w:caps/>
          <w:kern w:val="32"/>
        </w:rPr>
      </w:pPr>
    </w:p>
    <w:sectPr w:rsidR="002860C7" w:rsidSect="006A60C6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1152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DA657" w14:textId="77777777" w:rsidR="0057786E" w:rsidRDefault="0057786E" w:rsidP="008E3119">
      <w:r>
        <w:separator/>
      </w:r>
    </w:p>
  </w:endnote>
  <w:endnote w:type="continuationSeparator" w:id="0">
    <w:p w14:paraId="22712A34" w14:textId="77777777" w:rsidR="0057786E" w:rsidRDefault="0057786E" w:rsidP="008E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548B" w14:textId="77777777" w:rsidR="0057786E" w:rsidRDefault="0057786E" w:rsidP="008E3119">
    <w:pPr>
      <w:pStyle w:val="ReturnAddress"/>
      <w:framePr w:w="0" w:hRule="auto" w:hSpace="0" w:vSpace="0" w:wrap="auto" w:vAnchor="margin" w:hAnchor="text" w:xAlign="left" w:yAlign="inline" w:anchorLock="0"/>
      <w:overflowPunct w:val="0"/>
      <w:autoSpaceDE w:val="0"/>
      <w:autoSpaceDN w:val="0"/>
      <w:adjustRightInd w:val="0"/>
      <w:spacing w:line="240" w:lineRule="auto"/>
      <w:textAlignment w:val="baseline"/>
      <w:rPr>
        <w:rFonts w:ascii="Times New Roman" w:hAnsi="Times New Roman"/>
        <w:color w:val="800000"/>
        <w:sz w:val="16"/>
      </w:rPr>
    </w:pPr>
  </w:p>
  <w:p w14:paraId="52193D93" w14:textId="77777777" w:rsidR="0057786E" w:rsidRDefault="0057786E" w:rsidP="008E3119">
    <w:pPr>
      <w:pStyle w:val="ReturnAddress"/>
      <w:framePr w:w="0" w:hRule="auto" w:hSpace="0" w:vSpace="0" w:wrap="auto" w:vAnchor="margin" w:hAnchor="text" w:xAlign="left" w:yAlign="inline" w:anchorLock="0"/>
      <w:overflowPunct w:val="0"/>
      <w:autoSpaceDE w:val="0"/>
      <w:autoSpaceDN w:val="0"/>
      <w:adjustRightInd w:val="0"/>
      <w:spacing w:line="240" w:lineRule="auto"/>
      <w:textAlignment w:val="baseline"/>
      <w:rPr>
        <w:rFonts w:ascii="Times New Roman" w:hAnsi="Times New Roman"/>
        <w:color w:val="800000"/>
        <w:sz w:val="16"/>
      </w:rPr>
    </w:pPr>
  </w:p>
  <w:p w14:paraId="2D5C0B84" w14:textId="77777777" w:rsidR="0057786E" w:rsidRPr="00DB4608" w:rsidRDefault="006512D7" w:rsidP="008E3119">
    <w:pPr>
      <w:pStyle w:val="ReturnAddress"/>
      <w:framePr w:w="0" w:hRule="auto" w:hSpace="0" w:vSpace="0" w:wrap="auto" w:vAnchor="margin" w:hAnchor="text" w:xAlign="left" w:yAlign="inline" w:anchorLock="0"/>
      <w:overflowPunct w:val="0"/>
      <w:autoSpaceDE w:val="0"/>
      <w:autoSpaceDN w:val="0"/>
      <w:adjustRightInd w:val="0"/>
      <w:spacing w:line="240" w:lineRule="auto"/>
      <w:textAlignment w:val="baseline"/>
      <w:rPr>
        <w:rFonts w:ascii="Times New Roman" w:hAnsi="Times New Roman"/>
        <w:color w:val="008000"/>
        <w:sz w:val="16"/>
      </w:rPr>
    </w:pPr>
    <w:r>
      <w:rPr>
        <w:rFonts w:ascii="Times New Roman" w:hAnsi="Times New Roman"/>
        <w:color w:val="008000"/>
        <w:sz w:val="16"/>
      </w:rPr>
      <w:t>2633 parkmont lane sw</w:t>
    </w:r>
    <w:r w:rsidR="0057786E" w:rsidRPr="00DB4608">
      <w:rPr>
        <w:rFonts w:ascii="Times New Roman" w:hAnsi="Times New Roman"/>
        <w:color w:val="008000"/>
        <w:sz w:val="16"/>
      </w:rPr>
      <w:t xml:space="preserve">, suite </w:t>
    </w:r>
    <w:r>
      <w:rPr>
        <w:rFonts w:ascii="Times New Roman" w:hAnsi="Times New Roman"/>
        <w:color w:val="008000"/>
        <w:sz w:val="16"/>
      </w:rPr>
      <w:t>a</w:t>
    </w:r>
    <w:r w:rsidR="0057786E" w:rsidRPr="00DB4608">
      <w:rPr>
        <w:rFonts w:ascii="Times New Roman" w:hAnsi="Times New Roman"/>
        <w:color w:val="008000"/>
        <w:sz w:val="16"/>
      </w:rPr>
      <w:t xml:space="preserve"> • OLYMPIA, WA • 9850</w:t>
    </w:r>
    <w:r>
      <w:rPr>
        <w:rFonts w:ascii="Times New Roman" w:hAnsi="Times New Roman"/>
        <w:color w:val="008000"/>
        <w:sz w:val="16"/>
      </w:rPr>
      <w:t>2-575</w:t>
    </w:r>
    <w:r w:rsidR="0057786E" w:rsidRPr="00DB4608">
      <w:rPr>
        <w:rFonts w:ascii="Times New Roman" w:hAnsi="Times New Roman"/>
        <w:color w:val="008000"/>
        <w:sz w:val="16"/>
      </w:rPr>
      <w:t>1</w:t>
    </w:r>
  </w:p>
  <w:p w14:paraId="3F329BFF" w14:textId="77777777" w:rsidR="0057786E" w:rsidRDefault="0057786E" w:rsidP="008E3119">
    <w:pPr>
      <w:pStyle w:val="Footer"/>
      <w:jc w:val="center"/>
      <w:rPr>
        <w:color w:val="800000"/>
        <w:sz w:val="16"/>
      </w:rPr>
    </w:pPr>
    <w:r w:rsidRPr="00DB4608">
      <w:rPr>
        <w:color w:val="008000"/>
        <w:sz w:val="16"/>
      </w:rPr>
      <w:t xml:space="preserve">Phone: 360.352.9835 • Fax: 360.352.8164 • Email: </w:t>
    </w:r>
    <w:hyperlink r:id="rId1" w:history="1">
      <w:r w:rsidRPr="00CA2FA8">
        <w:rPr>
          <w:rStyle w:val="Hyperlink"/>
          <w:sz w:val="16"/>
        </w:rPr>
        <w:t>admin@aegwa.com</w:t>
      </w:r>
    </w:hyperlink>
  </w:p>
  <w:p w14:paraId="139765B3" w14:textId="77777777" w:rsidR="0057786E" w:rsidRDefault="0057786E" w:rsidP="008E3119">
    <w:pPr>
      <w:pStyle w:val="Footer"/>
      <w:jc w:val="center"/>
      <w:rPr>
        <w:color w:val="800000"/>
        <w:sz w:val="16"/>
      </w:rPr>
    </w:pPr>
  </w:p>
  <w:p w14:paraId="32253242" w14:textId="6A601EAE" w:rsidR="0057786E" w:rsidRPr="00650849" w:rsidRDefault="0057786E" w:rsidP="00A7175C">
    <w:pPr>
      <w:pStyle w:val="Footer"/>
      <w:jc w:val="center"/>
      <w:rPr>
        <w:sz w:val="20"/>
        <w:szCs w:val="20"/>
      </w:rPr>
    </w:pPr>
    <w:r w:rsidRPr="00650849">
      <w:rPr>
        <w:sz w:val="20"/>
        <w:szCs w:val="20"/>
      </w:rPr>
      <w:fldChar w:fldCharType="begin"/>
    </w:r>
    <w:r w:rsidRPr="00650849">
      <w:rPr>
        <w:sz w:val="20"/>
        <w:szCs w:val="20"/>
      </w:rPr>
      <w:instrText xml:space="preserve"> PAGE   \* MERGEFORMAT </w:instrText>
    </w:r>
    <w:r w:rsidRPr="00650849">
      <w:rPr>
        <w:sz w:val="20"/>
        <w:szCs w:val="20"/>
      </w:rPr>
      <w:fldChar w:fldCharType="separate"/>
    </w:r>
    <w:r w:rsidR="00FD17F5">
      <w:rPr>
        <w:noProof/>
        <w:sz w:val="20"/>
        <w:szCs w:val="20"/>
      </w:rPr>
      <w:t>5</w:t>
    </w:r>
    <w:r w:rsidRPr="0065084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D0AC" w14:textId="77777777" w:rsidR="0057786E" w:rsidRDefault="0057786E" w:rsidP="008E3119">
      <w:r>
        <w:separator/>
      </w:r>
    </w:p>
  </w:footnote>
  <w:footnote w:type="continuationSeparator" w:id="0">
    <w:p w14:paraId="1433E5DC" w14:textId="77777777" w:rsidR="0057786E" w:rsidRDefault="0057786E" w:rsidP="008E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B027" w14:textId="07C65221" w:rsidR="0057786E" w:rsidRPr="004C1D00" w:rsidRDefault="008E52A4" w:rsidP="00A7175C">
    <w:pPr>
      <w:pStyle w:val="Header"/>
      <w:pBdr>
        <w:bottom w:val="single" w:sz="4" w:space="1" w:color="auto"/>
      </w:pBdr>
      <w:jc w:val="right"/>
      <w:rPr>
        <w:color w:val="385623" w:themeColor="accent6" w:themeShade="80"/>
        <w:sz w:val="20"/>
      </w:rPr>
    </w:pPr>
    <w:r w:rsidRPr="004C1D00">
      <w:rPr>
        <w:color w:val="385623" w:themeColor="accent6" w:themeShade="80"/>
        <w:sz w:val="20"/>
      </w:rPr>
      <w:t>AEG Atlas</w:t>
    </w:r>
    <w:r w:rsidR="0057786E" w:rsidRPr="004C1D00">
      <w:rPr>
        <w:color w:val="385623" w:themeColor="accent6" w:themeShade="80"/>
        <w:sz w:val="20"/>
      </w:rPr>
      <w:t>, LLC</w:t>
    </w:r>
  </w:p>
  <w:p w14:paraId="5FB4AEAB" w14:textId="77777777" w:rsidR="0057786E" w:rsidRPr="00183088" w:rsidRDefault="006512D7" w:rsidP="00A7175C">
    <w:pPr>
      <w:pStyle w:val="Header"/>
      <w:jc w:val="right"/>
      <w:rPr>
        <w:b/>
        <w:i/>
        <w:sz w:val="20"/>
      </w:rPr>
    </w:pPr>
    <w:r>
      <w:rPr>
        <w:b/>
        <w:i/>
        <w:sz w:val="20"/>
      </w:rPr>
      <w:t>Compliance</w:t>
    </w:r>
    <w:r w:rsidR="0057786E" w:rsidRPr="00183088">
      <w:rPr>
        <w:b/>
        <w:i/>
        <w:sz w:val="20"/>
      </w:rPr>
      <w:t xml:space="preserve"> Monitoring and Contingency Plan</w:t>
    </w:r>
  </w:p>
  <w:p w14:paraId="6BEA7DD0" w14:textId="77777777" w:rsidR="008E52A4" w:rsidRPr="00B02E43" w:rsidRDefault="008E52A4" w:rsidP="008E52A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Lacey Urban Center, Olympia, Washington</w:t>
    </w:r>
  </w:p>
  <w:p w14:paraId="1DE9869B" w14:textId="183EAD1D" w:rsidR="008E52A4" w:rsidRDefault="008E52A4" w:rsidP="008E52A4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AEG Atlas Project No. 18-236</w:t>
    </w:r>
  </w:p>
  <w:p w14:paraId="41698DB1" w14:textId="05CBD7FE" w:rsidR="0057786E" w:rsidRDefault="007460BE" w:rsidP="009D2CCF">
    <w:pPr>
      <w:pStyle w:val="Header"/>
      <w:spacing w:after="120"/>
      <w:jc w:val="right"/>
    </w:pPr>
    <w:r>
      <w:rPr>
        <w:sz w:val="20"/>
        <w:szCs w:val="20"/>
      </w:rPr>
      <w:t>April 2,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69CF" w14:textId="506C2436" w:rsidR="0057786E" w:rsidRDefault="008E52A4">
    <w:pPr>
      <w:pStyle w:val="Header"/>
    </w:pPr>
    <w:r>
      <w:rPr>
        <w:noProof/>
      </w:rPr>
      <w:drawing>
        <wp:inline distT="0" distB="0" distL="0" distR="0" wp14:anchorId="5FB5FB90" wp14:editId="5CE360B9">
          <wp:extent cx="2000250" cy="693877"/>
          <wp:effectExtent l="0" t="0" r="0" b="0"/>
          <wp:docPr id="2" name="Picture 2" descr="A group of logos with a blue circle and a blue s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group of logos with a blue circle and a blue st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178" cy="69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572" w:hanging="432"/>
      </w:pPr>
    </w:lvl>
    <w:lvl w:ilvl="1">
      <w:numFmt w:val="decimal"/>
      <w:lvlText w:val="%1.%2"/>
      <w:lvlJc w:val="left"/>
      <w:pPr>
        <w:ind w:left="432" w:hanging="432"/>
      </w:pPr>
      <w:rPr>
        <w:b/>
        <w:bCs/>
        <w:spacing w:val="-4"/>
        <w:w w:val="99"/>
      </w:rPr>
    </w:lvl>
    <w:lvl w:ilvl="2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115" w:hanging="360"/>
      </w:pPr>
    </w:lvl>
    <w:lvl w:ilvl="4">
      <w:numFmt w:val="bullet"/>
      <w:lvlText w:val="•"/>
      <w:lvlJc w:val="left"/>
      <w:pPr>
        <w:ind w:left="3190" w:hanging="360"/>
      </w:pPr>
    </w:lvl>
    <w:lvl w:ilvl="5">
      <w:numFmt w:val="bullet"/>
      <w:lvlText w:val="•"/>
      <w:lvlJc w:val="left"/>
      <w:pPr>
        <w:ind w:left="4265" w:hanging="360"/>
      </w:pPr>
    </w:lvl>
    <w:lvl w:ilvl="6">
      <w:numFmt w:val="bullet"/>
      <w:lvlText w:val="•"/>
      <w:lvlJc w:val="left"/>
      <w:pPr>
        <w:ind w:left="534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90" w:hanging="360"/>
      </w:pPr>
    </w:lvl>
  </w:abstractNum>
  <w:abstractNum w:abstractNumId="1" w15:restartNumberingAfterBreak="0">
    <w:nsid w:val="018F07A0"/>
    <w:multiLevelType w:val="hybridMultilevel"/>
    <w:tmpl w:val="71AA10B4"/>
    <w:lvl w:ilvl="0" w:tplc="E6D2B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2332D"/>
    <w:multiLevelType w:val="hybridMultilevel"/>
    <w:tmpl w:val="A5A2C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8EC"/>
    <w:multiLevelType w:val="multilevel"/>
    <w:tmpl w:val="96AA6EA2"/>
    <w:lvl w:ilvl="0">
      <w:start w:val="3"/>
      <w:numFmt w:val="decimal"/>
      <w:lvlText w:val="%1"/>
      <w:lvlJc w:val="left"/>
      <w:pPr>
        <w:ind w:left="1540" w:hanging="14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40" w:hanging="144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0" w:hanging="1440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5">
      <w:start w:val="1"/>
      <w:numFmt w:val="bullet"/>
      <w:lvlText w:val=""/>
      <w:lvlJc w:val="left"/>
      <w:pPr>
        <w:ind w:left="1540" w:hanging="720"/>
      </w:pPr>
      <w:rPr>
        <w:rFonts w:ascii="Symbol" w:hAnsi="Symbol" w:hint="default"/>
        <w:color w:val="auto"/>
        <w:w w:val="88"/>
        <w:sz w:val="18"/>
        <w:szCs w:val="18"/>
      </w:rPr>
    </w:lvl>
    <w:lvl w:ilvl="6"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4" w15:restartNumberingAfterBreak="0">
    <w:nsid w:val="0F7F3D56"/>
    <w:multiLevelType w:val="hybridMultilevel"/>
    <w:tmpl w:val="B1CA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23AAB"/>
    <w:multiLevelType w:val="hybridMultilevel"/>
    <w:tmpl w:val="737CD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9393D"/>
    <w:multiLevelType w:val="hybridMultilevel"/>
    <w:tmpl w:val="346C7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20D6"/>
    <w:multiLevelType w:val="hybridMultilevel"/>
    <w:tmpl w:val="C65C5BB4"/>
    <w:lvl w:ilvl="0" w:tplc="80804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D4950"/>
    <w:multiLevelType w:val="multilevel"/>
    <w:tmpl w:val="2BA84352"/>
    <w:lvl w:ilvl="0">
      <w:start w:val="3"/>
      <w:numFmt w:val="decimal"/>
      <w:lvlText w:val="%1"/>
      <w:lvlJc w:val="left"/>
      <w:pPr>
        <w:ind w:left="15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0" w:hanging="1440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</w:rPr>
    </w:lvl>
    <w:lvl w:ilvl="4">
      <w:start w:val="1"/>
      <w:numFmt w:val="decimal"/>
      <w:lvlText w:val="%5."/>
      <w:lvlJc w:val="left"/>
      <w:pPr>
        <w:ind w:left="82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5">
      <w:start w:val="1"/>
      <w:numFmt w:val="bullet"/>
      <w:lvlText w:val=""/>
      <w:lvlJc w:val="left"/>
      <w:pPr>
        <w:ind w:left="1540" w:hanging="720"/>
      </w:pPr>
      <w:rPr>
        <w:rFonts w:ascii="Symbol" w:hAnsi="Symbol" w:hint="default"/>
        <w:color w:val="auto"/>
        <w:w w:val="88"/>
        <w:sz w:val="18"/>
        <w:szCs w:val="18"/>
      </w:rPr>
    </w:lvl>
    <w:lvl w:ilvl="6"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9" w15:restartNumberingAfterBreak="0">
    <w:nsid w:val="27D30B35"/>
    <w:multiLevelType w:val="hybridMultilevel"/>
    <w:tmpl w:val="3662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11D31"/>
    <w:multiLevelType w:val="multilevel"/>
    <w:tmpl w:val="29E0E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52E5E6D"/>
    <w:multiLevelType w:val="multilevel"/>
    <w:tmpl w:val="A270309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246108"/>
    <w:multiLevelType w:val="hybridMultilevel"/>
    <w:tmpl w:val="7C265DBA"/>
    <w:lvl w:ilvl="0" w:tplc="33A49B14">
      <w:numFmt w:val="bullet"/>
      <w:lvlText w:val="-"/>
      <w:lvlJc w:val="left"/>
      <w:pPr>
        <w:ind w:left="199" w:hanging="111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1" w:tplc="D22A0B5E">
      <w:numFmt w:val="bullet"/>
      <w:lvlText w:val="•"/>
      <w:lvlJc w:val="left"/>
      <w:pPr>
        <w:ind w:left="300" w:hanging="111"/>
      </w:pPr>
      <w:rPr>
        <w:rFonts w:hint="default"/>
      </w:rPr>
    </w:lvl>
    <w:lvl w:ilvl="2" w:tplc="6EA8AE6A">
      <w:numFmt w:val="bullet"/>
      <w:lvlText w:val="•"/>
      <w:lvlJc w:val="left"/>
      <w:pPr>
        <w:ind w:left="428" w:hanging="111"/>
      </w:pPr>
      <w:rPr>
        <w:rFonts w:hint="default"/>
      </w:rPr>
    </w:lvl>
    <w:lvl w:ilvl="3" w:tplc="9A10E06C">
      <w:numFmt w:val="bullet"/>
      <w:lvlText w:val="•"/>
      <w:lvlJc w:val="left"/>
      <w:pPr>
        <w:ind w:left="556" w:hanging="111"/>
      </w:pPr>
      <w:rPr>
        <w:rFonts w:hint="default"/>
      </w:rPr>
    </w:lvl>
    <w:lvl w:ilvl="4" w:tplc="2C704248">
      <w:numFmt w:val="bullet"/>
      <w:lvlText w:val="•"/>
      <w:lvlJc w:val="left"/>
      <w:pPr>
        <w:ind w:left="683" w:hanging="111"/>
      </w:pPr>
      <w:rPr>
        <w:rFonts w:hint="default"/>
      </w:rPr>
    </w:lvl>
    <w:lvl w:ilvl="5" w:tplc="4A6698EA">
      <w:numFmt w:val="bullet"/>
      <w:lvlText w:val="•"/>
      <w:lvlJc w:val="left"/>
      <w:pPr>
        <w:ind w:left="811" w:hanging="111"/>
      </w:pPr>
      <w:rPr>
        <w:rFonts w:hint="default"/>
      </w:rPr>
    </w:lvl>
    <w:lvl w:ilvl="6" w:tplc="DCF8B1AC">
      <w:numFmt w:val="bullet"/>
      <w:lvlText w:val="•"/>
      <w:lvlJc w:val="left"/>
      <w:pPr>
        <w:ind w:left="939" w:hanging="111"/>
      </w:pPr>
      <w:rPr>
        <w:rFonts w:hint="default"/>
      </w:rPr>
    </w:lvl>
    <w:lvl w:ilvl="7" w:tplc="9DC4D916">
      <w:numFmt w:val="bullet"/>
      <w:lvlText w:val="•"/>
      <w:lvlJc w:val="left"/>
      <w:pPr>
        <w:ind w:left="1067" w:hanging="111"/>
      </w:pPr>
      <w:rPr>
        <w:rFonts w:hint="default"/>
      </w:rPr>
    </w:lvl>
    <w:lvl w:ilvl="8" w:tplc="B274A580">
      <w:numFmt w:val="bullet"/>
      <w:lvlText w:val="•"/>
      <w:lvlJc w:val="left"/>
      <w:pPr>
        <w:ind w:left="1195" w:hanging="111"/>
      </w:pPr>
      <w:rPr>
        <w:rFonts w:hint="default"/>
      </w:rPr>
    </w:lvl>
  </w:abstractNum>
  <w:abstractNum w:abstractNumId="13" w15:restartNumberingAfterBreak="0">
    <w:nsid w:val="43BB274B"/>
    <w:multiLevelType w:val="hybridMultilevel"/>
    <w:tmpl w:val="2A5A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17530"/>
    <w:multiLevelType w:val="hybridMultilevel"/>
    <w:tmpl w:val="ED1C0F44"/>
    <w:lvl w:ilvl="0" w:tplc="7F1A7A20">
      <w:start w:val="1"/>
      <w:numFmt w:val="decimal"/>
      <w:pStyle w:val="Heading3"/>
      <w:lvlText w:val="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04D4"/>
    <w:multiLevelType w:val="hybridMultilevel"/>
    <w:tmpl w:val="C398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615AA"/>
    <w:multiLevelType w:val="multilevel"/>
    <w:tmpl w:val="EF2C25A2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A0F2AE6"/>
    <w:multiLevelType w:val="hybridMultilevel"/>
    <w:tmpl w:val="FAD8F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73D84"/>
    <w:multiLevelType w:val="hybridMultilevel"/>
    <w:tmpl w:val="C2861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B2D1D"/>
    <w:multiLevelType w:val="hybridMultilevel"/>
    <w:tmpl w:val="CCA8F672"/>
    <w:lvl w:ilvl="0" w:tplc="0900B992">
      <w:numFmt w:val="bullet"/>
      <w:lvlText w:val="-"/>
      <w:lvlJc w:val="left"/>
      <w:pPr>
        <w:ind w:left="204" w:hanging="111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BCBC231C">
      <w:numFmt w:val="bullet"/>
      <w:lvlText w:val="•"/>
      <w:lvlJc w:val="left"/>
      <w:pPr>
        <w:ind w:left="369" w:hanging="111"/>
      </w:pPr>
      <w:rPr>
        <w:rFonts w:hint="default"/>
      </w:rPr>
    </w:lvl>
    <w:lvl w:ilvl="2" w:tplc="7130DE1A">
      <w:numFmt w:val="bullet"/>
      <w:lvlText w:val="•"/>
      <w:lvlJc w:val="left"/>
      <w:pPr>
        <w:ind w:left="538" w:hanging="111"/>
      </w:pPr>
      <w:rPr>
        <w:rFonts w:hint="default"/>
      </w:rPr>
    </w:lvl>
    <w:lvl w:ilvl="3" w:tplc="124648E4">
      <w:numFmt w:val="bullet"/>
      <w:lvlText w:val="•"/>
      <w:lvlJc w:val="left"/>
      <w:pPr>
        <w:ind w:left="707" w:hanging="111"/>
      </w:pPr>
      <w:rPr>
        <w:rFonts w:hint="default"/>
      </w:rPr>
    </w:lvl>
    <w:lvl w:ilvl="4" w:tplc="EA9AB130">
      <w:numFmt w:val="bullet"/>
      <w:lvlText w:val="•"/>
      <w:lvlJc w:val="left"/>
      <w:pPr>
        <w:ind w:left="876" w:hanging="111"/>
      </w:pPr>
      <w:rPr>
        <w:rFonts w:hint="default"/>
      </w:rPr>
    </w:lvl>
    <w:lvl w:ilvl="5" w:tplc="06900E18">
      <w:numFmt w:val="bullet"/>
      <w:lvlText w:val="•"/>
      <w:lvlJc w:val="left"/>
      <w:pPr>
        <w:ind w:left="1045" w:hanging="111"/>
      </w:pPr>
      <w:rPr>
        <w:rFonts w:hint="default"/>
      </w:rPr>
    </w:lvl>
    <w:lvl w:ilvl="6" w:tplc="16B68BC0">
      <w:numFmt w:val="bullet"/>
      <w:lvlText w:val="•"/>
      <w:lvlJc w:val="left"/>
      <w:pPr>
        <w:ind w:left="1215" w:hanging="111"/>
      </w:pPr>
      <w:rPr>
        <w:rFonts w:hint="default"/>
      </w:rPr>
    </w:lvl>
    <w:lvl w:ilvl="7" w:tplc="A90CA730">
      <w:numFmt w:val="bullet"/>
      <w:lvlText w:val="•"/>
      <w:lvlJc w:val="left"/>
      <w:pPr>
        <w:ind w:left="1384" w:hanging="111"/>
      </w:pPr>
      <w:rPr>
        <w:rFonts w:hint="default"/>
      </w:rPr>
    </w:lvl>
    <w:lvl w:ilvl="8" w:tplc="77F69C24">
      <w:numFmt w:val="bullet"/>
      <w:lvlText w:val="•"/>
      <w:lvlJc w:val="left"/>
      <w:pPr>
        <w:ind w:left="1553" w:hanging="111"/>
      </w:pPr>
      <w:rPr>
        <w:rFonts w:hint="default"/>
      </w:rPr>
    </w:lvl>
  </w:abstractNum>
  <w:abstractNum w:abstractNumId="20" w15:restartNumberingAfterBreak="0">
    <w:nsid w:val="5FAF77EC"/>
    <w:multiLevelType w:val="hybridMultilevel"/>
    <w:tmpl w:val="770A4642"/>
    <w:lvl w:ilvl="0" w:tplc="A34C437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F5396"/>
    <w:multiLevelType w:val="multilevel"/>
    <w:tmpl w:val="8FA08CB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tyleHeading3After6ptLinespacingMultiple11li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2" w15:restartNumberingAfterBreak="0">
    <w:nsid w:val="785B13D0"/>
    <w:multiLevelType w:val="singleLevel"/>
    <w:tmpl w:val="F3EC4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D16BC9"/>
    <w:multiLevelType w:val="hybridMultilevel"/>
    <w:tmpl w:val="DEC489F0"/>
    <w:lvl w:ilvl="0" w:tplc="0C881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B5512"/>
    <w:multiLevelType w:val="hybridMultilevel"/>
    <w:tmpl w:val="D0CC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7059F"/>
    <w:multiLevelType w:val="hybridMultilevel"/>
    <w:tmpl w:val="F4E0EC62"/>
    <w:lvl w:ilvl="0" w:tplc="4296F9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331929">
    <w:abstractNumId w:val="1"/>
  </w:num>
  <w:num w:numId="2" w16cid:durableId="1818300875">
    <w:abstractNumId w:val="20"/>
  </w:num>
  <w:num w:numId="3" w16cid:durableId="398597958">
    <w:abstractNumId w:val="16"/>
  </w:num>
  <w:num w:numId="4" w16cid:durableId="1968509908">
    <w:abstractNumId w:val="11"/>
  </w:num>
  <w:num w:numId="5" w16cid:durableId="1983728632">
    <w:abstractNumId w:val="21"/>
  </w:num>
  <w:num w:numId="6" w16cid:durableId="763955841">
    <w:abstractNumId w:val="5"/>
  </w:num>
  <w:num w:numId="7" w16cid:durableId="1642882281">
    <w:abstractNumId w:val="2"/>
  </w:num>
  <w:num w:numId="8" w16cid:durableId="1308824336">
    <w:abstractNumId w:val="6"/>
  </w:num>
  <w:num w:numId="9" w16cid:durableId="1213077415">
    <w:abstractNumId w:val="17"/>
  </w:num>
  <w:num w:numId="10" w16cid:durableId="428350919">
    <w:abstractNumId w:val="13"/>
  </w:num>
  <w:num w:numId="11" w16cid:durableId="854422737">
    <w:abstractNumId w:val="18"/>
  </w:num>
  <w:num w:numId="12" w16cid:durableId="593393828">
    <w:abstractNumId w:val="15"/>
  </w:num>
  <w:num w:numId="13" w16cid:durableId="152961189">
    <w:abstractNumId w:val="24"/>
  </w:num>
  <w:num w:numId="14" w16cid:durableId="2026899335">
    <w:abstractNumId w:val="7"/>
  </w:num>
  <w:num w:numId="15" w16cid:durableId="1534731317">
    <w:abstractNumId w:val="4"/>
  </w:num>
  <w:num w:numId="16" w16cid:durableId="1269461878">
    <w:abstractNumId w:val="23"/>
  </w:num>
  <w:num w:numId="17" w16cid:durableId="1614631380">
    <w:abstractNumId w:val="25"/>
  </w:num>
  <w:num w:numId="18" w16cid:durableId="705716940">
    <w:abstractNumId w:val="22"/>
  </w:num>
  <w:num w:numId="19" w16cid:durableId="100076409">
    <w:abstractNumId w:val="9"/>
  </w:num>
  <w:num w:numId="20" w16cid:durableId="76097629">
    <w:abstractNumId w:val="19"/>
  </w:num>
  <w:num w:numId="21" w16cid:durableId="234974665">
    <w:abstractNumId w:val="12"/>
  </w:num>
  <w:num w:numId="22" w16cid:durableId="351225061">
    <w:abstractNumId w:val="8"/>
  </w:num>
  <w:num w:numId="23" w16cid:durableId="613950283">
    <w:abstractNumId w:val="3"/>
  </w:num>
  <w:num w:numId="24" w16cid:durableId="1039009955">
    <w:abstractNumId w:val="0"/>
  </w:num>
  <w:num w:numId="25" w16cid:durableId="1124695524">
    <w:abstractNumId w:val="19"/>
  </w:num>
  <w:num w:numId="26" w16cid:durableId="1120567041">
    <w:abstractNumId w:val="10"/>
  </w:num>
  <w:num w:numId="27" w16cid:durableId="878128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19"/>
    <w:rsid w:val="000009CA"/>
    <w:rsid w:val="00007980"/>
    <w:rsid w:val="0001708C"/>
    <w:rsid w:val="00017C79"/>
    <w:rsid w:val="00032858"/>
    <w:rsid w:val="000371AD"/>
    <w:rsid w:val="00037268"/>
    <w:rsid w:val="00044B1F"/>
    <w:rsid w:val="00053A4E"/>
    <w:rsid w:val="00056E26"/>
    <w:rsid w:val="0006037D"/>
    <w:rsid w:val="00064020"/>
    <w:rsid w:val="000700D7"/>
    <w:rsid w:val="00073485"/>
    <w:rsid w:val="0007548D"/>
    <w:rsid w:val="00075A1C"/>
    <w:rsid w:val="000920EE"/>
    <w:rsid w:val="000A2D28"/>
    <w:rsid w:val="000A3ACA"/>
    <w:rsid w:val="000B2E8B"/>
    <w:rsid w:val="000B7543"/>
    <w:rsid w:val="000C555B"/>
    <w:rsid w:val="000C71AA"/>
    <w:rsid w:val="000C77EE"/>
    <w:rsid w:val="000D11E7"/>
    <w:rsid w:val="000D1353"/>
    <w:rsid w:val="000D67EE"/>
    <w:rsid w:val="000F2B2B"/>
    <w:rsid w:val="000F324D"/>
    <w:rsid w:val="000F6B13"/>
    <w:rsid w:val="001112D9"/>
    <w:rsid w:val="00116EAA"/>
    <w:rsid w:val="00121725"/>
    <w:rsid w:val="0012359F"/>
    <w:rsid w:val="001344EB"/>
    <w:rsid w:val="001432F3"/>
    <w:rsid w:val="001513A8"/>
    <w:rsid w:val="001552B2"/>
    <w:rsid w:val="00156DDF"/>
    <w:rsid w:val="00161BC4"/>
    <w:rsid w:val="00163271"/>
    <w:rsid w:val="00165981"/>
    <w:rsid w:val="00166BAA"/>
    <w:rsid w:val="00171CC1"/>
    <w:rsid w:val="00181AA8"/>
    <w:rsid w:val="00183088"/>
    <w:rsid w:val="00183FB9"/>
    <w:rsid w:val="001952B4"/>
    <w:rsid w:val="00196B80"/>
    <w:rsid w:val="001A3C74"/>
    <w:rsid w:val="001B022D"/>
    <w:rsid w:val="001C2C33"/>
    <w:rsid w:val="001C3D26"/>
    <w:rsid w:val="001F0F05"/>
    <w:rsid w:val="001F1777"/>
    <w:rsid w:val="001F52E3"/>
    <w:rsid w:val="001F711C"/>
    <w:rsid w:val="0020216B"/>
    <w:rsid w:val="002041B8"/>
    <w:rsid w:val="0021268D"/>
    <w:rsid w:val="002206A6"/>
    <w:rsid w:val="002216B4"/>
    <w:rsid w:val="0022262B"/>
    <w:rsid w:val="002339FC"/>
    <w:rsid w:val="0024287D"/>
    <w:rsid w:val="00242D3A"/>
    <w:rsid w:val="002454D0"/>
    <w:rsid w:val="00245A5C"/>
    <w:rsid w:val="00251042"/>
    <w:rsid w:val="002519AD"/>
    <w:rsid w:val="00257992"/>
    <w:rsid w:val="00275C3E"/>
    <w:rsid w:val="00276C61"/>
    <w:rsid w:val="002860C7"/>
    <w:rsid w:val="00296AD4"/>
    <w:rsid w:val="002A6D9F"/>
    <w:rsid w:val="002A7385"/>
    <w:rsid w:val="002C1FAE"/>
    <w:rsid w:val="002C6F6A"/>
    <w:rsid w:val="002D45D0"/>
    <w:rsid w:val="002D73FC"/>
    <w:rsid w:val="002D75E1"/>
    <w:rsid w:val="002E526E"/>
    <w:rsid w:val="002E7222"/>
    <w:rsid w:val="002F5291"/>
    <w:rsid w:val="00315DFE"/>
    <w:rsid w:val="003170E6"/>
    <w:rsid w:val="003257FA"/>
    <w:rsid w:val="00341D81"/>
    <w:rsid w:val="00342E5B"/>
    <w:rsid w:val="00360477"/>
    <w:rsid w:val="00363CC2"/>
    <w:rsid w:val="00365BC3"/>
    <w:rsid w:val="00370CEA"/>
    <w:rsid w:val="00376936"/>
    <w:rsid w:val="003902F6"/>
    <w:rsid w:val="0039176C"/>
    <w:rsid w:val="003B08DB"/>
    <w:rsid w:val="003B32A0"/>
    <w:rsid w:val="003C705A"/>
    <w:rsid w:val="003D737B"/>
    <w:rsid w:val="003E4F93"/>
    <w:rsid w:val="003F6A83"/>
    <w:rsid w:val="00401578"/>
    <w:rsid w:val="00410068"/>
    <w:rsid w:val="00430D96"/>
    <w:rsid w:val="0043305E"/>
    <w:rsid w:val="00434C5E"/>
    <w:rsid w:val="0043656E"/>
    <w:rsid w:val="00440588"/>
    <w:rsid w:val="00443E32"/>
    <w:rsid w:val="004449EB"/>
    <w:rsid w:val="00450741"/>
    <w:rsid w:val="00451BF1"/>
    <w:rsid w:val="0045777A"/>
    <w:rsid w:val="004612D1"/>
    <w:rsid w:val="00465704"/>
    <w:rsid w:val="00472869"/>
    <w:rsid w:val="0047769B"/>
    <w:rsid w:val="0048330E"/>
    <w:rsid w:val="00485A2B"/>
    <w:rsid w:val="004928E0"/>
    <w:rsid w:val="00497474"/>
    <w:rsid w:val="00497767"/>
    <w:rsid w:val="004A4C87"/>
    <w:rsid w:val="004A7531"/>
    <w:rsid w:val="004C1D00"/>
    <w:rsid w:val="004D3B43"/>
    <w:rsid w:val="004D484F"/>
    <w:rsid w:val="004E29D7"/>
    <w:rsid w:val="004F4EBA"/>
    <w:rsid w:val="00505186"/>
    <w:rsid w:val="00517080"/>
    <w:rsid w:val="00517B11"/>
    <w:rsid w:val="005221E7"/>
    <w:rsid w:val="005303A0"/>
    <w:rsid w:val="0054068F"/>
    <w:rsid w:val="00551BB2"/>
    <w:rsid w:val="00563E01"/>
    <w:rsid w:val="0057786E"/>
    <w:rsid w:val="00587EBD"/>
    <w:rsid w:val="005900FB"/>
    <w:rsid w:val="00593D92"/>
    <w:rsid w:val="005A4BC8"/>
    <w:rsid w:val="005A50EF"/>
    <w:rsid w:val="005B0D07"/>
    <w:rsid w:val="005B121A"/>
    <w:rsid w:val="005B1522"/>
    <w:rsid w:val="005B7CAF"/>
    <w:rsid w:val="005D2B00"/>
    <w:rsid w:val="005D68C1"/>
    <w:rsid w:val="005E0D67"/>
    <w:rsid w:val="006000F6"/>
    <w:rsid w:val="00606267"/>
    <w:rsid w:val="006131F7"/>
    <w:rsid w:val="00630C11"/>
    <w:rsid w:val="006319AE"/>
    <w:rsid w:val="00633DF6"/>
    <w:rsid w:val="00636AA2"/>
    <w:rsid w:val="00636DF2"/>
    <w:rsid w:val="00650611"/>
    <w:rsid w:val="00650849"/>
    <w:rsid w:val="006512D7"/>
    <w:rsid w:val="00651EA1"/>
    <w:rsid w:val="00660725"/>
    <w:rsid w:val="006656F2"/>
    <w:rsid w:val="00676A97"/>
    <w:rsid w:val="0068183E"/>
    <w:rsid w:val="0068606E"/>
    <w:rsid w:val="00693BBF"/>
    <w:rsid w:val="00697341"/>
    <w:rsid w:val="006A60C6"/>
    <w:rsid w:val="006B1BB8"/>
    <w:rsid w:val="006B2BBD"/>
    <w:rsid w:val="006C0200"/>
    <w:rsid w:val="006D1FDA"/>
    <w:rsid w:val="006D26D1"/>
    <w:rsid w:val="006D4196"/>
    <w:rsid w:val="006D6A04"/>
    <w:rsid w:val="006E46E4"/>
    <w:rsid w:val="006E6CB1"/>
    <w:rsid w:val="00711285"/>
    <w:rsid w:val="0071499B"/>
    <w:rsid w:val="00724338"/>
    <w:rsid w:val="00724563"/>
    <w:rsid w:val="007320FF"/>
    <w:rsid w:val="00733FA1"/>
    <w:rsid w:val="0073411F"/>
    <w:rsid w:val="00736136"/>
    <w:rsid w:val="0073665C"/>
    <w:rsid w:val="00745727"/>
    <w:rsid w:val="007460BE"/>
    <w:rsid w:val="0075007C"/>
    <w:rsid w:val="0075399F"/>
    <w:rsid w:val="00753E64"/>
    <w:rsid w:val="00755DCB"/>
    <w:rsid w:val="007755C5"/>
    <w:rsid w:val="007812EC"/>
    <w:rsid w:val="00782928"/>
    <w:rsid w:val="00792361"/>
    <w:rsid w:val="007A2C12"/>
    <w:rsid w:val="007A6978"/>
    <w:rsid w:val="007A713A"/>
    <w:rsid w:val="007B449E"/>
    <w:rsid w:val="007E3D97"/>
    <w:rsid w:val="007F3FEE"/>
    <w:rsid w:val="008026FD"/>
    <w:rsid w:val="00813A4E"/>
    <w:rsid w:val="00832172"/>
    <w:rsid w:val="00832894"/>
    <w:rsid w:val="00844A08"/>
    <w:rsid w:val="0084793B"/>
    <w:rsid w:val="00851392"/>
    <w:rsid w:val="008528DF"/>
    <w:rsid w:val="00865623"/>
    <w:rsid w:val="00873B78"/>
    <w:rsid w:val="00876D86"/>
    <w:rsid w:val="00881F01"/>
    <w:rsid w:val="008861BA"/>
    <w:rsid w:val="008869CB"/>
    <w:rsid w:val="00896581"/>
    <w:rsid w:val="008A0210"/>
    <w:rsid w:val="008A0363"/>
    <w:rsid w:val="008A3F76"/>
    <w:rsid w:val="008A4318"/>
    <w:rsid w:val="008B0C6E"/>
    <w:rsid w:val="008B1873"/>
    <w:rsid w:val="008C3D19"/>
    <w:rsid w:val="008D66EB"/>
    <w:rsid w:val="008E00D2"/>
    <w:rsid w:val="008E1B64"/>
    <w:rsid w:val="008E3119"/>
    <w:rsid w:val="008E52A4"/>
    <w:rsid w:val="008F1E40"/>
    <w:rsid w:val="009024D2"/>
    <w:rsid w:val="00916413"/>
    <w:rsid w:val="00917038"/>
    <w:rsid w:val="00921652"/>
    <w:rsid w:val="00933B35"/>
    <w:rsid w:val="00937A10"/>
    <w:rsid w:val="00937DE4"/>
    <w:rsid w:val="00945154"/>
    <w:rsid w:val="00961D7F"/>
    <w:rsid w:val="00962937"/>
    <w:rsid w:val="00974916"/>
    <w:rsid w:val="00975287"/>
    <w:rsid w:val="009762B3"/>
    <w:rsid w:val="0097735C"/>
    <w:rsid w:val="00983F05"/>
    <w:rsid w:val="00990C40"/>
    <w:rsid w:val="00992694"/>
    <w:rsid w:val="009B44B9"/>
    <w:rsid w:val="009D1666"/>
    <w:rsid w:val="009D2CCF"/>
    <w:rsid w:val="009D32BF"/>
    <w:rsid w:val="009D4EBE"/>
    <w:rsid w:val="009E081B"/>
    <w:rsid w:val="009E616D"/>
    <w:rsid w:val="009F2B92"/>
    <w:rsid w:val="009F49B1"/>
    <w:rsid w:val="00A05A59"/>
    <w:rsid w:val="00A12B6E"/>
    <w:rsid w:val="00A15D81"/>
    <w:rsid w:val="00A22460"/>
    <w:rsid w:val="00A25CA2"/>
    <w:rsid w:val="00A30092"/>
    <w:rsid w:val="00A3161A"/>
    <w:rsid w:val="00A57787"/>
    <w:rsid w:val="00A65FDF"/>
    <w:rsid w:val="00A678A1"/>
    <w:rsid w:val="00A7175C"/>
    <w:rsid w:val="00A71963"/>
    <w:rsid w:val="00A74F71"/>
    <w:rsid w:val="00A76976"/>
    <w:rsid w:val="00A905BE"/>
    <w:rsid w:val="00A93B5E"/>
    <w:rsid w:val="00A940DB"/>
    <w:rsid w:val="00A95090"/>
    <w:rsid w:val="00A954EB"/>
    <w:rsid w:val="00A95B5D"/>
    <w:rsid w:val="00AA0C09"/>
    <w:rsid w:val="00AB2CDC"/>
    <w:rsid w:val="00AB6F69"/>
    <w:rsid w:val="00AC674A"/>
    <w:rsid w:val="00AD48F0"/>
    <w:rsid w:val="00AF33BA"/>
    <w:rsid w:val="00B03312"/>
    <w:rsid w:val="00B05B72"/>
    <w:rsid w:val="00B13E04"/>
    <w:rsid w:val="00B20252"/>
    <w:rsid w:val="00B308BB"/>
    <w:rsid w:val="00B35199"/>
    <w:rsid w:val="00B40589"/>
    <w:rsid w:val="00B41EBC"/>
    <w:rsid w:val="00B457AD"/>
    <w:rsid w:val="00B51E02"/>
    <w:rsid w:val="00B532B3"/>
    <w:rsid w:val="00B5430E"/>
    <w:rsid w:val="00B7053B"/>
    <w:rsid w:val="00B72893"/>
    <w:rsid w:val="00B82C41"/>
    <w:rsid w:val="00BA2A55"/>
    <w:rsid w:val="00BC5BD2"/>
    <w:rsid w:val="00BE1666"/>
    <w:rsid w:val="00BE7FDA"/>
    <w:rsid w:val="00BF2A59"/>
    <w:rsid w:val="00BF758B"/>
    <w:rsid w:val="00C03412"/>
    <w:rsid w:val="00C06DA6"/>
    <w:rsid w:val="00C21C82"/>
    <w:rsid w:val="00C2588B"/>
    <w:rsid w:val="00C27439"/>
    <w:rsid w:val="00C36DF2"/>
    <w:rsid w:val="00C46E16"/>
    <w:rsid w:val="00C53F63"/>
    <w:rsid w:val="00C72A6E"/>
    <w:rsid w:val="00C838AD"/>
    <w:rsid w:val="00C90B9A"/>
    <w:rsid w:val="00CA3608"/>
    <w:rsid w:val="00CB2CCE"/>
    <w:rsid w:val="00CC1617"/>
    <w:rsid w:val="00CC194E"/>
    <w:rsid w:val="00CD679C"/>
    <w:rsid w:val="00CE5C24"/>
    <w:rsid w:val="00CE731F"/>
    <w:rsid w:val="00CF0AF4"/>
    <w:rsid w:val="00CF4457"/>
    <w:rsid w:val="00CF674A"/>
    <w:rsid w:val="00D006F5"/>
    <w:rsid w:val="00D02CEB"/>
    <w:rsid w:val="00D04172"/>
    <w:rsid w:val="00D16D5D"/>
    <w:rsid w:val="00D219B2"/>
    <w:rsid w:val="00D32E4F"/>
    <w:rsid w:val="00D3387C"/>
    <w:rsid w:val="00D338D2"/>
    <w:rsid w:val="00D34904"/>
    <w:rsid w:val="00D375E3"/>
    <w:rsid w:val="00D446CC"/>
    <w:rsid w:val="00D52164"/>
    <w:rsid w:val="00D523F9"/>
    <w:rsid w:val="00D55FCB"/>
    <w:rsid w:val="00D73658"/>
    <w:rsid w:val="00D74F58"/>
    <w:rsid w:val="00D75C9A"/>
    <w:rsid w:val="00D85199"/>
    <w:rsid w:val="00D93EC8"/>
    <w:rsid w:val="00DA02FA"/>
    <w:rsid w:val="00DA3997"/>
    <w:rsid w:val="00DA6547"/>
    <w:rsid w:val="00DB1906"/>
    <w:rsid w:val="00DB4608"/>
    <w:rsid w:val="00DD0D1C"/>
    <w:rsid w:val="00DD15F2"/>
    <w:rsid w:val="00DD3C0B"/>
    <w:rsid w:val="00DD3E9F"/>
    <w:rsid w:val="00DF21EB"/>
    <w:rsid w:val="00DF7343"/>
    <w:rsid w:val="00E03025"/>
    <w:rsid w:val="00E0413B"/>
    <w:rsid w:val="00E06EAD"/>
    <w:rsid w:val="00E075A0"/>
    <w:rsid w:val="00E07708"/>
    <w:rsid w:val="00E11E63"/>
    <w:rsid w:val="00E231F5"/>
    <w:rsid w:val="00E370B3"/>
    <w:rsid w:val="00E43AC4"/>
    <w:rsid w:val="00E44D28"/>
    <w:rsid w:val="00E575D6"/>
    <w:rsid w:val="00E66346"/>
    <w:rsid w:val="00E67E21"/>
    <w:rsid w:val="00E83D8B"/>
    <w:rsid w:val="00E94DEC"/>
    <w:rsid w:val="00E96D1C"/>
    <w:rsid w:val="00EA782D"/>
    <w:rsid w:val="00EB58F9"/>
    <w:rsid w:val="00EB6140"/>
    <w:rsid w:val="00EB7048"/>
    <w:rsid w:val="00EC6440"/>
    <w:rsid w:val="00EC647A"/>
    <w:rsid w:val="00EC7DB2"/>
    <w:rsid w:val="00ED1FC3"/>
    <w:rsid w:val="00ED64E4"/>
    <w:rsid w:val="00EE15AD"/>
    <w:rsid w:val="00EF151E"/>
    <w:rsid w:val="00EF19E3"/>
    <w:rsid w:val="00F016D2"/>
    <w:rsid w:val="00F041EE"/>
    <w:rsid w:val="00F133C6"/>
    <w:rsid w:val="00F22B78"/>
    <w:rsid w:val="00F45CCA"/>
    <w:rsid w:val="00F6031F"/>
    <w:rsid w:val="00F617CF"/>
    <w:rsid w:val="00F679ED"/>
    <w:rsid w:val="00F749AA"/>
    <w:rsid w:val="00F75FEB"/>
    <w:rsid w:val="00F8061F"/>
    <w:rsid w:val="00F96F51"/>
    <w:rsid w:val="00F973C7"/>
    <w:rsid w:val="00FA2D64"/>
    <w:rsid w:val="00FA3F77"/>
    <w:rsid w:val="00FB0909"/>
    <w:rsid w:val="00FB0C5F"/>
    <w:rsid w:val="00FB0FF1"/>
    <w:rsid w:val="00FB3939"/>
    <w:rsid w:val="00FC1481"/>
    <w:rsid w:val="00FD17F5"/>
    <w:rsid w:val="00FD3417"/>
    <w:rsid w:val="00FD765B"/>
    <w:rsid w:val="00FE23CC"/>
    <w:rsid w:val="00FE5F84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9B01F"/>
  <w15:chartTrackingRefBased/>
  <w15:docId w15:val="{47407986-7B41-42B9-9EFF-B80714414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"/>
    <w:basedOn w:val="Normal"/>
    <w:next w:val="Normal"/>
    <w:link w:val="Heading1Char"/>
    <w:autoRedefine/>
    <w:qFormat/>
    <w:rsid w:val="00AB2CDC"/>
    <w:pPr>
      <w:keepNext/>
      <w:numPr>
        <w:numId w:val="3"/>
      </w:numPr>
      <w:spacing w:after="120" w:line="264" w:lineRule="auto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qFormat/>
    <w:rsid w:val="00D74F58"/>
    <w:pPr>
      <w:keepNext/>
      <w:numPr>
        <w:ilvl w:val="1"/>
        <w:numId w:val="3"/>
      </w:numPr>
      <w:spacing w:before="240" w:after="120" w:line="264" w:lineRule="auto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D74F58"/>
    <w:pPr>
      <w:keepNext/>
      <w:numPr>
        <w:numId w:val="27"/>
      </w:numPr>
      <w:spacing w:before="240" w:after="60" w:line="264" w:lineRule="auto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74F58"/>
    <w:pPr>
      <w:keepNext/>
      <w:numPr>
        <w:ilvl w:val="3"/>
        <w:numId w:val="3"/>
      </w:numPr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D74F58"/>
    <w:pPr>
      <w:keepNext/>
      <w:numPr>
        <w:ilvl w:val="4"/>
        <w:numId w:val="3"/>
      </w:numPr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D74F58"/>
    <w:pPr>
      <w:numPr>
        <w:ilvl w:val="5"/>
        <w:numId w:val="3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D74F58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74F58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74F5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E3119"/>
  </w:style>
  <w:style w:type="paragraph" w:customStyle="1" w:styleId="AEG">
    <w:name w:val="AEG"/>
    <w:basedOn w:val="BodyText"/>
    <w:link w:val="AEGChar"/>
    <w:qFormat/>
    <w:rsid w:val="008E3119"/>
    <w:pPr>
      <w:spacing w:after="0" w:line="264" w:lineRule="auto"/>
      <w:jc w:val="both"/>
    </w:pPr>
  </w:style>
  <w:style w:type="character" w:customStyle="1" w:styleId="AEGChar">
    <w:name w:val="AEG Char"/>
    <w:basedOn w:val="BodyTextChar"/>
    <w:link w:val="AEG"/>
    <w:rsid w:val="008E311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E3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E311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8E3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31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3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11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E3119"/>
    <w:rPr>
      <w:color w:val="0000FF"/>
      <w:u w:val="single"/>
    </w:rPr>
  </w:style>
  <w:style w:type="paragraph" w:customStyle="1" w:styleId="ReturnAddress">
    <w:name w:val="Return Address"/>
    <w:rsid w:val="008E3119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customStyle="1" w:styleId="Body0">
    <w:name w:val="Body"/>
    <w:basedOn w:val="Normal"/>
    <w:link w:val="BodyChar"/>
    <w:rsid w:val="005E0D67"/>
    <w:pPr>
      <w:autoSpaceDE w:val="0"/>
      <w:autoSpaceDN w:val="0"/>
      <w:adjustRightInd w:val="0"/>
      <w:spacing w:line="264" w:lineRule="auto"/>
      <w:jc w:val="both"/>
    </w:pPr>
    <w:rPr>
      <w:rFonts w:cs="Arial"/>
    </w:rPr>
  </w:style>
  <w:style w:type="character" w:customStyle="1" w:styleId="BodyChar">
    <w:name w:val="Body Char"/>
    <w:link w:val="Body0"/>
    <w:rsid w:val="005E0D67"/>
    <w:rPr>
      <w:rFonts w:ascii="Times New Roman" w:eastAsia="Times New Roman" w:hAnsi="Times New Roman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3D737B"/>
    <w:pPr>
      <w:ind w:left="720"/>
      <w:contextualSpacing/>
    </w:pPr>
  </w:style>
  <w:style w:type="character" w:customStyle="1" w:styleId="Heading1Char">
    <w:name w:val="Heading 1 Char"/>
    <w:aliases w:val="Heading 1 Char2 Char"/>
    <w:basedOn w:val="DefaultParagraphFont"/>
    <w:link w:val="Heading1"/>
    <w:rsid w:val="00AB2CDC"/>
    <w:rPr>
      <w:rFonts w:ascii="Times New Roman" w:eastAsia="Times New Roman" w:hAnsi="Times New Roman" w:cs="Times New Roman"/>
      <w:b/>
      <w:bCs/>
      <w:cap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4F58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74F58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74F5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D74F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74F5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74F58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74F5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74F58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StyleHeading3After6ptLinespacingMultiple11li">
    <w:name w:val="Style Heading 3 + After:  6 pt Line spacing:  Multiple 1.1 li"/>
    <w:basedOn w:val="Heading3"/>
    <w:rsid w:val="00CF0AF4"/>
    <w:pPr>
      <w:numPr>
        <w:ilvl w:val="2"/>
        <w:numId w:val="5"/>
      </w:numPr>
      <w:spacing w:after="120"/>
    </w:pPr>
    <w:rPr>
      <w:szCs w:val="20"/>
    </w:rPr>
  </w:style>
  <w:style w:type="character" w:customStyle="1" w:styleId="BodyTextChar1">
    <w:name w:val="Body Text Char1"/>
    <w:rsid w:val="00CF0AF4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5B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36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3613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736136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532B3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532B3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54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39176C"/>
    <w:pPr>
      <w:widowControl w:val="0"/>
      <w:spacing w:line="264" w:lineRule="auto"/>
      <w:jc w:val="center"/>
    </w:pPr>
    <w:rPr>
      <w:i/>
      <w:iCs/>
      <w:sz w:val="28"/>
    </w:rPr>
  </w:style>
  <w:style w:type="character" w:customStyle="1" w:styleId="SubtitleChar">
    <w:name w:val="Subtitle Char"/>
    <w:basedOn w:val="DefaultParagraphFont"/>
    <w:link w:val="Subtitle"/>
    <w:rsid w:val="0039176C"/>
    <w:rPr>
      <w:rFonts w:ascii="Times New Roman" w:eastAsia="Times New Roman" w:hAnsi="Times New Roman" w:cs="Times New Roman"/>
      <w:i/>
      <w:iC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AC674A"/>
    <w:pPr>
      <w:widowControl w:val="0"/>
      <w:autoSpaceDE w:val="0"/>
      <w:autoSpaceDN w:val="0"/>
      <w:spacing w:line="184" w:lineRule="exact"/>
      <w:ind w:left="137" w:right="119"/>
      <w:jc w:val="center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6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B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B3"/>
    <w:rPr>
      <w:sz w:val="20"/>
      <w:szCs w:val="20"/>
    </w:rPr>
  </w:style>
  <w:style w:type="paragraph" w:customStyle="1" w:styleId="Default">
    <w:name w:val="Default"/>
    <w:rsid w:val="00286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aegw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51BFD-13C8-4FD6-9B45-AD193AF2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ProCirrus Technologies, Inc.</Company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Lombardini</dc:creator>
  <cp:keywords/>
  <dc:description/>
  <cp:lastModifiedBy>Scott Rose</cp:lastModifiedBy>
  <cp:revision>42</cp:revision>
  <cp:lastPrinted>2021-04-21T17:13:00Z</cp:lastPrinted>
  <dcterms:created xsi:type="dcterms:W3CDTF">2021-03-29T20:50:00Z</dcterms:created>
  <dcterms:modified xsi:type="dcterms:W3CDTF">2024-04-02T23:00:00Z</dcterms:modified>
</cp:coreProperties>
</file>