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AC5B" w14:textId="77777777" w:rsidR="0021004D" w:rsidRPr="004130B7" w:rsidRDefault="0021004D" w:rsidP="0021004D">
      <w:pPr>
        <w:pStyle w:val="MemoTitle"/>
      </w:pPr>
      <w:r w:rsidRPr="004130B7">
        <w:t>Memorandum</w:t>
      </w:r>
    </w:p>
    <w:tbl>
      <w:tblPr>
        <w:tblW w:w="9558" w:type="dxa"/>
        <w:jc w:val="center"/>
        <w:tblBorders>
          <w:bottom w:val="double" w:sz="4" w:space="0" w:color="auto"/>
        </w:tblBorders>
        <w:tblLayout w:type="fixed"/>
        <w:tblLook w:val="0000" w:firstRow="0" w:lastRow="0" w:firstColumn="0" w:lastColumn="0" w:noHBand="0" w:noVBand="0"/>
      </w:tblPr>
      <w:tblGrid>
        <w:gridCol w:w="1458"/>
        <w:gridCol w:w="8100"/>
      </w:tblGrid>
      <w:tr w:rsidR="0021004D" w14:paraId="6ABE63CD" w14:textId="77777777" w:rsidTr="00840D43">
        <w:trPr>
          <w:cantSplit/>
          <w:jc w:val="center"/>
        </w:trPr>
        <w:tc>
          <w:tcPr>
            <w:tcW w:w="1458" w:type="dxa"/>
          </w:tcPr>
          <w:p w14:paraId="6A720389" w14:textId="77777777" w:rsidR="0021004D" w:rsidRDefault="0021004D" w:rsidP="00840D43">
            <w:pPr>
              <w:pStyle w:val="MemoAddress"/>
            </w:pPr>
            <w:r>
              <w:t>To:</w:t>
            </w:r>
          </w:p>
        </w:tc>
        <w:tc>
          <w:tcPr>
            <w:tcW w:w="8100" w:type="dxa"/>
          </w:tcPr>
          <w:p w14:paraId="32FE8EF0" w14:textId="58DB3E14" w:rsidR="0021004D" w:rsidRDefault="0021004D" w:rsidP="00840D43">
            <w:pPr>
              <w:pStyle w:val="NormalTable"/>
              <w:jc w:val="left"/>
            </w:pPr>
            <w:r>
              <w:t>Sunny Becker</w:t>
            </w:r>
            <w:r w:rsidR="00B53BA0">
              <w:t>,</w:t>
            </w:r>
            <w:r>
              <w:t xml:space="preserve"> Washington State Department of Ecology</w:t>
            </w:r>
          </w:p>
        </w:tc>
      </w:tr>
      <w:tr w:rsidR="0021004D" w14:paraId="5D563E04" w14:textId="77777777" w:rsidTr="00840D43">
        <w:trPr>
          <w:cantSplit/>
          <w:jc w:val="center"/>
        </w:trPr>
        <w:tc>
          <w:tcPr>
            <w:tcW w:w="1458" w:type="dxa"/>
          </w:tcPr>
          <w:p w14:paraId="2507AEC7" w14:textId="77777777" w:rsidR="0021004D" w:rsidRDefault="0021004D" w:rsidP="00840D43">
            <w:pPr>
              <w:pStyle w:val="MemoAddress"/>
            </w:pPr>
            <w:r>
              <w:t>Copies:</w:t>
            </w:r>
          </w:p>
        </w:tc>
        <w:tc>
          <w:tcPr>
            <w:tcW w:w="8100" w:type="dxa"/>
          </w:tcPr>
          <w:p w14:paraId="32C8D313" w14:textId="59C4BE15" w:rsidR="0021004D" w:rsidRDefault="0021004D" w:rsidP="00840D43">
            <w:pPr>
              <w:pStyle w:val="NormalTable"/>
              <w:jc w:val="left"/>
            </w:pPr>
            <w:r>
              <w:t>Scott Adamek</w:t>
            </w:r>
            <w:r w:rsidR="00AE160B">
              <w:t xml:space="preserve"> and Ryan Robert</w:t>
            </w:r>
            <w:r w:rsidR="00B53BA0">
              <w:t>,</w:t>
            </w:r>
            <w:r>
              <w:t xml:space="preserve"> City of Bothell</w:t>
            </w:r>
          </w:p>
        </w:tc>
      </w:tr>
      <w:tr w:rsidR="0021004D" w14:paraId="3A47814A" w14:textId="77777777" w:rsidTr="00840D43">
        <w:trPr>
          <w:cantSplit/>
          <w:jc w:val="center"/>
        </w:trPr>
        <w:tc>
          <w:tcPr>
            <w:tcW w:w="1458" w:type="dxa"/>
          </w:tcPr>
          <w:p w14:paraId="50960F8C" w14:textId="77777777" w:rsidR="0021004D" w:rsidRDefault="0021004D" w:rsidP="00840D43">
            <w:pPr>
              <w:pStyle w:val="MemoAddress"/>
            </w:pPr>
            <w:r>
              <w:t>From:</w:t>
            </w:r>
          </w:p>
        </w:tc>
        <w:tc>
          <w:tcPr>
            <w:tcW w:w="8100" w:type="dxa"/>
          </w:tcPr>
          <w:p w14:paraId="27DF3D83" w14:textId="72DF42DD" w:rsidR="0021004D" w:rsidRDefault="0021004D" w:rsidP="00840D43">
            <w:pPr>
              <w:pStyle w:val="NormalTable"/>
              <w:jc w:val="left"/>
            </w:pPr>
            <w:r>
              <w:t>Gabe Cisneros</w:t>
            </w:r>
            <w:r w:rsidR="00356FCF">
              <w:t xml:space="preserve"> and</w:t>
            </w:r>
            <w:r>
              <w:t xml:space="preserve"> Danielle Gallaher</w:t>
            </w:r>
            <w:r w:rsidR="00B53BA0">
              <w:t>,</w:t>
            </w:r>
            <w:r>
              <w:t xml:space="preserve"> Floyd|Snider</w:t>
            </w:r>
          </w:p>
        </w:tc>
      </w:tr>
      <w:tr w:rsidR="0021004D" w14:paraId="15E472A7" w14:textId="77777777" w:rsidTr="00840D43">
        <w:trPr>
          <w:cantSplit/>
          <w:jc w:val="center"/>
        </w:trPr>
        <w:tc>
          <w:tcPr>
            <w:tcW w:w="1458" w:type="dxa"/>
          </w:tcPr>
          <w:p w14:paraId="6437BE49" w14:textId="77777777" w:rsidR="0021004D" w:rsidRDefault="0021004D" w:rsidP="00840D43">
            <w:pPr>
              <w:pStyle w:val="MemoAddress"/>
            </w:pPr>
            <w:r>
              <w:t>Date:</w:t>
            </w:r>
          </w:p>
        </w:tc>
        <w:tc>
          <w:tcPr>
            <w:tcW w:w="8100" w:type="dxa"/>
            <w:shd w:val="clear" w:color="auto" w:fill="auto"/>
          </w:tcPr>
          <w:p w14:paraId="498BDE85" w14:textId="565298DF" w:rsidR="0021004D" w:rsidRPr="00D82D09" w:rsidRDefault="008F2C57" w:rsidP="00840D43">
            <w:pPr>
              <w:pStyle w:val="NormalTable"/>
              <w:jc w:val="left"/>
            </w:pPr>
            <w:r w:rsidRPr="00D82D09">
              <w:t>March 14, 2025</w:t>
            </w:r>
          </w:p>
        </w:tc>
      </w:tr>
      <w:tr w:rsidR="0021004D" w14:paraId="2A8D6EA0" w14:textId="77777777" w:rsidTr="00840D43">
        <w:trPr>
          <w:cantSplit/>
          <w:jc w:val="center"/>
        </w:trPr>
        <w:tc>
          <w:tcPr>
            <w:tcW w:w="1458" w:type="dxa"/>
            <w:tcBorders>
              <w:bottom w:val="nil"/>
            </w:tcBorders>
          </w:tcPr>
          <w:p w14:paraId="780F3E71" w14:textId="77777777" w:rsidR="0021004D" w:rsidRDefault="0021004D" w:rsidP="00840D43">
            <w:pPr>
              <w:pStyle w:val="MemoAddress"/>
            </w:pPr>
            <w:r>
              <w:t>Project ID:</w:t>
            </w:r>
          </w:p>
        </w:tc>
        <w:tc>
          <w:tcPr>
            <w:tcW w:w="8100" w:type="dxa"/>
            <w:tcBorders>
              <w:bottom w:val="nil"/>
            </w:tcBorders>
          </w:tcPr>
          <w:p w14:paraId="7BDB63B7" w14:textId="09607219" w:rsidR="0021004D" w:rsidRDefault="0096208E" w:rsidP="00840D43">
            <w:pPr>
              <w:pStyle w:val="NormalTable"/>
              <w:jc w:val="left"/>
            </w:pPr>
            <w:r w:rsidRPr="0096208E">
              <w:t>COB-OnCall</w:t>
            </w:r>
            <w:r w:rsidR="00881EAD">
              <w:t xml:space="preserve"> 2717</w:t>
            </w:r>
          </w:p>
        </w:tc>
      </w:tr>
      <w:tr w:rsidR="0021004D" w14:paraId="4DDA0D83" w14:textId="77777777" w:rsidTr="00BE4A37">
        <w:trPr>
          <w:cantSplit/>
          <w:jc w:val="center"/>
        </w:trPr>
        <w:tc>
          <w:tcPr>
            <w:tcW w:w="1458" w:type="dxa"/>
          </w:tcPr>
          <w:p w14:paraId="0ED9AF71" w14:textId="77777777" w:rsidR="0021004D" w:rsidRDefault="0021004D" w:rsidP="00840D43">
            <w:pPr>
              <w:pStyle w:val="MemoAddress"/>
            </w:pPr>
            <w:r>
              <w:t>Re:</w:t>
            </w:r>
          </w:p>
        </w:tc>
        <w:tc>
          <w:tcPr>
            <w:tcW w:w="8100" w:type="dxa"/>
          </w:tcPr>
          <w:p w14:paraId="502C482F" w14:textId="60AE2D60" w:rsidR="0021004D" w:rsidRDefault="0021004D" w:rsidP="00840D43">
            <w:pPr>
              <w:pStyle w:val="MemoRe"/>
              <w:jc w:val="left"/>
            </w:pPr>
            <w:r>
              <w:t>2024 Annual Groundwater Monitoring</w:t>
            </w:r>
          </w:p>
        </w:tc>
      </w:tr>
    </w:tbl>
    <w:p w14:paraId="108210BD" w14:textId="77777777" w:rsidR="00177E67" w:rsidRDefault="00177E67" w:rsidP="00177E67">
      <w:pPr>
        <w:pStyle w:val="NormalZero"/>
      </w:pPr>
    </w:p>
    <w:p w14:paraId="59A23808" w14:textId="4CE53729" w:rsidR="00E90118" w:rsidRDefault="00E90118" w:rsidP="0036042F">
      <w:pPr>
        <w:pStyle w:val="Heading2"/>
      </w:pPr>
      <w:r>
        <w:t>Introduction</w:t>
      </w:r>
    </w:p>
    <w:p w14:paraId="2C882328" w14:textId="044F87E3" w:rsidR="00056C33" w:rsidRDefault="00E90118" w:rsidP="00A12D2A">
      <w:pPr>
        <w:pStyle w:val="NormalSix"/>
      </w:pPr>
      <w:r>
        <w:t xml:space="preserve">This </w:t>
      </w:r>
      <w:r w:rsidR="00E12F2A">
        <w:t>a</w:t>
      </w:r>
      <w:r>
        <w:t xml:space="preserve">nnual </w:t>
      </w:r>
      <w:r w:rsidR="00E12F2A">
        <w:t>g</w:t>
      </w:r>
      <w:r w:rsidR="00E540EC">
        <w:t xml:space="preserve">roundwater </w:t>
      </w:r>
      <w:r w:rsidR="00E12F2A">
        <w:t>m</w:t>
      </w:r>
      <w:r w:rsidR="00E540EC">
        <w:t xml:space="preserve">onitoring </w:t>
      </w:r>
      <w:r w:rsidR="00E12F2A">
        <w:t>m</w:t>
      </w:r>
      <w:r w:rsidR="00E540EC">
        <w:t xml:space="preserve">emorandum presents the </w:t>
      </w:r>
      <w:r w:rsidR="00CE3C5E">
        <w:t xml:space="preserve">results of the </w:t>
      </w:r>
      <w:r w:rsidR="00C5342E">
        <w:t xml:space="preserve">2024 </w:t>
      </w:r>
      <w:r w:rsidR="00CE3C5E">
        <w:t xml:space="preserve">annual </w:t>
      </w:r>
      <w:r w:rsidR="00EF4008">
        <w:t xml:space="preserve">groundwater monitoring and sampling </w:t>
      </w:r>
      <w:r w:rsidR="00C5342E">
        <w:t>events</w:t>
      </w:r>
      <w:r w:rsidR="00F72E41">
        <w:t xml:space="preserve"> conducted in April and September 2024</w:t>
      </w:r>
      <w:r w:rsidR="00BF3AA5">
        <w:t xml:space="preserve"> at the </w:t>
      </w:r>
      <w:r w:rsidR="00A419AB">
        <w:t xml:space="preserve">City of Bothell’s (City’s) </w:t>
      </w:r>
      <w:r w:rsidR="006F69BF">
        <w:t xml:space="preserve">Bothell Service Center </w:t>
      </w:r>
      <w:r w:rsidR="00615E36">
        <w:t xml:space="preserve">(BSC) </w:t>
      </w:r>
      <w:r w:rsidR="007770B4">
        <w:t>Simon &amp; Son</w:t>
      </w:r>
      <w:r w:rsidR="009A7931">
        <w:t xml:space="preserve"> </w:t>
      </w:r>
      <w:r w:rsidR="005A4ABF">
        <w:t>S</w:t>
      </w:r>
      <w:r w:rsidR="003918E9">
        <w:t>ite</w:t>
      </w:r>
      <w:r w:rsidR="006F69BF">
        <w:t xml:space="preserve"> </w:t>
      </w:r>
      <w:r w:rsidR="0079348B">
        <w:t xml:space="preserve">(Site) </w:t>
      </w:r>
      <w:r w:rsidR="006F69BF">
        <w:t xml:space="preserve">located </w:t>
      </w:r>
      <w:r w:rsidR="00D06DCE">
        <w:t xml:space="preserve">at </w:t>
      </w:r>
      <w:r w:rsidR="00AC495F">
        <w:t xml:space="preserve">9911 Main Street, formerly identified as </w:t>
      </w:r>
      <w:r w:rsidR="00D06DCE">
        <w:t xml:space="preserve">18107 Bothell Way NE </w:t>
      </w:r>
      <w:r w:rsidR="006F69BF">
        <w:t>in Bothell, Washington</w:t>
      </w:r>
      <w:r w:rsidR="00D06DCE">
        <w:t xml:space="preserve"> (Figure 1)</w:t>
      </w:r>
      <w:r w:rsidR="00C5342E">
        <w:t>.</w:t>
      </w:r>
      <w:r w:rsidR="006F69BF">
        <w:t xml:space="preserve"> </w:t>
      </w:r>
      <w:r w:rsidR="009F5B9B">
        <w:t xml:space="preserve">Annual performance monitoring </w:t>
      </w:r>
      <w:r w:rsidR="009A7931">
        <w:t xml:space="preserve">at the Site was conducted in accordance with the </w:t>
      </w:r>
      <w:r w:rsidR="00FD26D4">
        <w:t xml:space="preserve">Consent Decree </w:t>
      </w:r>
      <w:r w:rsidR="00F575B8">
        <w:t>(CD)</w:t>
      </w:r>
      <w:r w:rsidR="00FD26D4">
        <w:t xml:space="preserve"> </w:t>
      </w:r>
      <w:r w:rsidR="009A7931">
        <w:t>No. 18-2-02852-3</w:t>
      </w:r>
      <w:r w:rsidR="003643A9">
        <w:t xml:space="preserve"> SEA</w:t>
      </w:r>
      <w:r w:rsidR="005B6C3D">
        <w:t xml:space="preserve"> </w:t>
      </w:r>
      <w:r w:rsidR="00402E69">
        <w:t xml:space="preserve">(first and latest amendment </w:t>
      </w:r>
      <w:r w:rsidR="00E72A4D">
        <w:t xml:space="preserve">entered into King County Superior Court on </w:t>
      </w:r>
      <w:r w:rsidR="00D55D42">
        <w:t xml:space="preserve">October </w:t>
      </w:r>
      <w:r w:rsidR="00E72A4D">
        <w:t>31</w:t>
      </w:r>
      <w:r w:rsidR="00992CAC">
        <w:t xml:space="preserve">, </w:t>
      </w:r>
      <w:r w:rsidR="00E72A4D">
        <w:t>2019</w:t>
      </w:r>
      <w:r w:rsidR="00402E69">
        <w:t>)</w:t>
      </w:r>
      <w:r w:rsidR="005B6C3D">
        <w:t xml:space="preserve">. </w:t>
      </w:r>
      <w:r w:rsidR="00CE1C95">
        <w:t>Annual g</w:t>
      </w:r>
      <w:r w:rsidR="001908E5">
        <w:t xml:space="preserve">roundwater </w:t>
      </w:r>
      <w:r w:rsidR="00CE1C95">
        <w:t xml:space="preserve">sampling </w:t>
      </w:r>
      <w:r w:rsidR="0010675F">
        <w:t xml:space="preserve">is conducted </w:t>
      </w:r>
      <w:r w:rsidR="00CE1C95">
        <w:t xml:space="preserve">to </w:t>
      </w:r>
      <w:r w:rsidR="0010675F">
        <w:t xml:space="preserve">monitor </w:t>
      </w:r>
      <w:r w:rsidR="00CE1C95">
        <w:t xml:space="preserve">the </w:t>
      </w:r>
      <w:r w:rsidR="001908E5">
        <w:t xml:space="preserve">performance </w:t>
      </w:r>
      <w:r w:rsidR="00CE1C95">
        <w:t xml:space="preserve">of </w:t>
      </w:r>
      <w:r w:rsidR="00C6060D">
        <w:t xml:space="preserve">selected remedy </w:t>
      </w:r>
      <w:r w:rsidR="00D61FCD">
        <w:t xml:space="preserve">in reducing </w:t>
      </w:r>
      <w:r w:rsidR="00F452A9">
        <w:t xml:space="preserve">chlorinated volatile organic compounds (CVOCs) concentrations in groundwater. </w:t>
      </w:r>
      <w:r w:rsidR="0010675F">
        <w:t xml:space="preserve">The sections </w:t>
      </w:r>
      <w:r w:rsidR="00DF37C4">
        <w:t>below</w:t>
      </w:r>
      <w:r w:rsidR="00056C33">
        <w:t xml:space="preserve"> include</w:t>
      </w:r>
      <w:r w:rsidR="00A12D2A">
        <w:t xml:space="preserve"> the following</w:t>
      </w:r>
      <w:r w:rsidR="00056C33">
        <w:t>:</w:t>
      </w:r>
      <w:r w:rsidR="0010675F">
        <w:t xml:space="preserve"> </w:t>
      </w:r>
    </w:p>
    <w:p w14:paraId="3ACA1F71" w14:textId="4A2CE5E1" w:rsidR="00056C33" w:rsidRDefault="00056C33" w:rsidP="00C01AC6">
      <w:pPr>
        <w:pStyle w:val="Bullet1"/>
      </w:pPr>
      <w:r>
        <w:t>A</w:t>
      </w:r>
      <w:r w:rsidR="0010675F">
        <w:t xml:space="preserve"> brief summary of the </w:t>
      </w:r>
      <w:r w:rsidR="00C37995">
        <w:t xml:space="preserve">Site background </w:t>
      </w:r>
    </w:p>
    <w:p w14:paraId="3FE7ECE5" w14:textId="77777777" w:rsidR="00056C33" w:rsidRDefault="00056C33" w:rsidP="00C01AC6">
      <w:pPr>
        <w:pStyle w:val="Bullet1"/>
      </w:pPr>
      <w:r>
        <w:t>T</w:t>
      </w:r>
      <w:r w:rsidR="00074100">
        <w:t xml:space="preserve">imeline of the selected remedy </w:t>
      </w:r>
    </w:p>
    <w:p w14:paraId="73855093" w14:textId="3BF94342" w:rsidR="00056C33" w:rsidRDefault="00056C33" w:rsidP="00C01AC6">
      <w:pPr>
        <w:pStyle w:val="Bullet1"/>
      </w:pPr>
      <w:r>
        <w:t>A</w:t>
      </w:r>
      <w:r w:rsidR="006618F6">
        <w:t xml:space="preserve"> review of the previous data </w:t>
      </w:r>
    </w:p>
    <w:p w14:paraId="72233E2C" w14:textId="76C9F4AA" w:rsidR="00056C33" w:rsidRDefault="00056C33" w:rsidP="00C01AC6">
      <w:pPr>
        <w:pStyle w:val="Bullet1"/>
      </w:pPr>
      <w:r>
        <w:t>S</w:t>
      </w:r>
      <w:r w:rsidR="00DF37C4">
        <w:t>ystem</w:t>
      </w:r>
      <w:r>
        <w:t xml:space="preserve"> optimization adjustments</w:t>
      </w:r>
    </w:p>
    <w:p w14:paraId="1A746493" w14:textId="77777777" w:rsidR="00056C33" w:rsidRDefault="00056C33" w:rsidP="00C01AC6">
      <w:pPr>
        <w:pStyle w:val="Bullet1"/>
      </w:pPr>
      <w:r>
        <w:t>F</w:t>
      </w:r>
      <w:r w:rsidR="00074100">
        <w:t>ield activities performed during monitoring events</w:t>
      </w:r>
    </w:p>
    <w:p w14:paraId="3F9A45AC" w14:textId="77777777" w:rsidR="007E7EE2" w:rsidRDefault="007E7EE2" w:rsidP="00C01AC6">
      <w:pPr>
        <w:pStyle w:val="Bullet1"/>
      </w:pPr>
      <w:r>
        <w:t xml:space="preserve">Analytical results </w:t>
      </w:r>
    </w:p>
    <w:p w14:paraId="74FB29A4" w14:textId="77777777" w:rsidR="00C01AC6" w:rsidRDefault="007E7EE2" w:rsidP="00C01AC6">
      <w:pPr>
        <w:pStyle w:val="Bullet1"/>
      </w:pPr>
      <w:r>
        <w:t>Eva</w:t>
      </w:r>
      <w:r w:rsidR="00C01AC6">
        <w:t>l</w:t>
      </w:r>
      <w:r>
        <w:t xml:space="preserve">uation of the </w:t>
      </w:r>
      <w:r w:rsidR="00C01AC6">
        <w:t>results based on system adjustments</w:t>
      </w:r>
    </w:p>
    <w:p w14:paraId="2AE71093" w14:textId="733125F0" w:rsidR="00EC6CE1" w:rsidRDefault="00C01AC6" w:rsidP="00C01AC6">
      <w:pPr>
        <w:pStyle w:val="Bullet1Last"/>
      </w:pPr>
      <w:r>
        <w:t>Conclusions and next steps</w:t>
      </w:r>
      <w:r w:rsidR="00ED71B2">
        <w:t xml:space="preserve"> </w:t>
      </w:r>
    </w:p>
    <w:p w14:paraId="01819663" w14:textId="5DD8203E" w:rsidR="0021004D" w:rsidRDefault="0021004D" w:rsidP="00BE4A37">
      <w:pPr>
        <w:pStyle w:val="Heading2"/>
      </w:pPr>
      <w:r>
        <w:lastRenderedPageBreak/>
        <w:t xml:space="preserve">Site </w:t>
      </w:r>
      <w:r w:rsidR="00346679">
        <w:t xml:space="preserve">Background and </w:t>
      </w:r>
      <w:r>
        <w:t>History</w:t>
      </w:r>
    </w:p>
    <w:p w14:paraId="29EBFEDB" w14:textId="1809E7BC" w:rsidR="002F53AE" w:rsidRDefault="002A5C66" w:rsidP="00865C2A">
      <w:pPr>
        <w:pStyle w:val="NormalSix"/>
      </w:pPr>
      <w:r>
        <w:t>The property containing the source of contamination was previously owned by Bothell Service Center Associates.</w:t>
      </w:r>
      <w:r w:rsidR="00AC495F">
        <w:t xml:space="preserve"> The Site </w:t>
      </w:r>
      <w:r w:rsidR="00852832">
        <w:t xml:space="preserve">was once three separate parcels that </w:t>
      </w:r>
      <w:r w:rsidR="00927082">
        <w:t>included</w:t>
      </w:r>
      <w:r w:rsidR="00865C2A">
        <w:t xml:space="preserve"> the following</w:t>
      </w:r>
      <w:r w:rsidR="002F53AE">
        <w:t>:</w:t>
      </w:r>
      <w:r w:rsidR="00927082">
        <w:t xml:space="preserve"> </w:t>
      </w:r>
    </w:p>
    <w:p w14:paraId="670BBBE1" w14:textId="77777777" w:rsidR="002F53AE" w:rsidRDefault="002F53AE" w:rsidP="003F62FC">
      <w:pPr>
        <w:pStyle w:val="Bullet1"/>
      </w:pPr>
      <w:r>
        <w:t>A</w:t>
      </w:r>
      <w:r w:rsidR="00352CFA">
        <w:t xml:space="preserve"> former dry cleaning facility, BSC</w:t>
      </w:r>
      <w:r w:rsidR="006D7395">
        <w:t>, located in the northwestern portion of the Site</w:t>
      </w:r>
    </w:p>
    <w:p w14:paraId="14EF57D0" w14:textId="57F86A35" w:rsidR="00927082" w:rsidRDefault="002F53AE" w:rsidP="003F62FC">
      <w:pPr>
        <w:pStyle w:val="Bullet1"/>
      </w:pPr>
      <w:r>
        <w:t xml:space="preserve">A former gasoline station and automotive repair </w:t>
      </w:r>
      <w:r w:rsidR="003C0A6F">
        <w:t>facility, Al’s Auto Bothel</w:t>
      </w:r>
      <w:r w:rsidR="00BC54AF">
        <w:t>l</w:t>
      </w:r>
      <w:r w:rsidR="003C0A6F">
        <w:t xml:space="preserve"> Wexler (Wexler), in the northeastern portion of the Site</w:t>
      </w:r>
    </w:p>
    <w:p w14:paraId="1BB414EB" w14:textId="209516BF" w:rsidR="003C0A6F" w:rsidRDefault="003C0A6F" w:rsidP="003F62FC">
      <w:pPr>
        <w:pStyle w:val="Bullet1Last"/>
      </w:pPr>
      <w:r>
        <w:t xml:space="preserve">A former automotive repair, Bothell Former Hertz/AARenco/AA </w:t>
      </w:r>
      <w:r w:rsidRPr="003C6BDF">
        <w:t xml:space="preserve">Rentals of </w:t>
      </w:r>
      <w:r w:rsidRPr="004A6FEF">
        <w:t>Bothel</w:t>
      </w:r>
      <w:r w:rsidR="00BC2DD5" w:rsidRPr="003C6BDF">
        <w:t>l</w:t>
      </w:r>
      <w:r w:rsidRPr="003C6BDF">
        <w:t xml:space="preserve"> Inc</w:t>
      </w:r>
      <w:r w:rsidR="005D1CEF">
        <w:t>.</w:t>
      </w:r>
      <w:r>
        <w:t xml:space="preserve"> (Hertz</w:t>
      </w:r>
      <w:r w:rsidR="003F62FC">
        <w:t>),</w:t>
      </w:r>
      <w:r>
        <w:t xml:space="preserve"> </w:t>
      </w:r>
      <w:r w:rsidR="003F62FC">
        <w:t xml:space="preserve">in the </w:t>
      </w:r>
      <w:r>
        <w:t xml:space="preserve">southern portion of the Site </w:t>
      </w:r>
    </w:p>
    <w:p w14:paraId="2FAA9AC2" w14:textId="6CDC3F42" w:rsidR="00AC495F" w:rsidRPr="00880318" w:rsidRDefault="003F62FC" w:rsidP="00AC495F">
      <w:pPr>
        <w:rPr>
          <w:spacing w:val="-2"/>
        </w:rPr>
      </w:pPr>
      <w:r w:rsidRPr="00880318">
        <w:rPr>
          <w:spacing w:val="-2"/>
        </w:rPr>
        <w:t xml:space="preserve">All three </w:t>
      </w:r>
      <w:r w:rsidR="00A373DE" w:rsidRPr="00880318">
        <w:rPr>
          <w:spacing w:val="-2"/>
        </w:rPr>
        <w:t xml:space="preserve">former </w:t>
      </w:r>
      <w:r w:rsidRPr="00880318">
        <w:rPr>
          <w:spacing w:val="-2"/>
        </w:rPr>
        <w:t xml:space="preserve">parcels </w:t>
      </w:r>
      <w:r w:rsidR="00A373DE" w:rsidRPr="00880318">
        <w:rPr>
          <w:spacing w:val="-2"/>
        </w:rPr>
        <w:t xml:space="preserve">are </w:t>
      </w:r>
      <w:r w:rsidRPr="00880318">
        <w:rPr>
          <w:spacing w:val="-2"/>
        </w:rPr>
        <w:t xml:space="preserve">currently </w:t>
      </w:r>
      <w:r w:rsidR="00A373DE" w:rsidRPr="00880318">
        <w:rPr>
          <w:spacing w:val="-2"/>
        </w:rPr>
        <w:t xml:space="preserve">located within one city block </w:t>
      </w:r>
      <w:r w:rsidR="00346679" w:rsidRPr="00880318">
        <w:rPr>
          <w:spacing w:val="-2"/>
        </w:rPr>
        <w:t>(Bothel</w:t>
      </w:r>
      <w:r w:rsidR="00BC2DD5" w:rsidRPr="00880318">
        <w:rPr>
          <w:spacing w:val="-2"/>
        </w:rPr>
        <w:t>l</w:t>
      </w:r>
      <w:r w:rsidR="00346679" w:rsidRPr="00880318">
        <w:rPr>
          <w:spacing w:val="-2"/>
        </w:rPr>
        <w:t xml:space="preserve"> Lot D) </w:t>
      </w:r>
      <w:r w:rsidR="00A373DE" w:rsidRPr="00880318">
        <w:rPr>
          <w:spacing w:val="-2"/>
        </w:rPr>
        <w:t xml:space="preserve">that </w:t>
      </w:r>
      <w:r w:rsidR="007920F8" w:rsidRPr="00880318">
        <w:rPr>
          <w:spacing w:val="-2"/>
        </w:rPr>
        <w:t>consists</w:t>
      </w:r>
      <w:r w:rsidR="00977B65" w:rsidRPr="00880318">
        <w:rPr>
          <w:spacing w:val="-2"/>
        </w:rPr>
        <w:t xml:space="preserve"> of one parcel (King County Tax Parcel No. 945720-0050)</w:t>
      </w:r>
      <w:r w:rsidR="00AC495F" w:rsidRPr="00880318">
        <w:rPr>
          <w:spacing w:val="-2"/>
        </w:rPr>
        <w:t xml:space="preserve"> totaling approximately 2.6 acres. The Site </w:t>
      </w:r>
      <w:r w:rsidR="00FC0179" w:rsidRPr="00880318">
        <w:rPr>
          <w:spacing w:val="-2"/>
        </w:rPr>
        <w:t xml:space="preserve">has been </w:t>
      </w:r>
      <w:r w:rsidR="00AC495F" w:rsidRPr="00880318">
        <w:rPr>
          <w:spacing w:val="-2"/>
        </w:rPr>
        <w:t xml:space="preserve">developed </w:t>
      </w:r>
      <w:r w:rsidR="00EC78FE" w:rsidRPr="00880318">
        <w:rPr>
          <w:spacing w:val="-2"/>
        </w:rPr>
        <w:t xml:space="preserve">into an </w:t>
      </w:r>
      <w:r w:rsidR="00AC495F" w:rsidRPr="00880318">
        <w:rPr>
          <w:spacing w:val="-2"/>
        </w:rPr>
        <w:t>approximate 105,000-square foot mixed-use, six-story multi-family apartment building</w:t>
      </w:r>
      <w:r w:rsidR="00EC78FE" w:rsidRPr="00880318">
        <w:rPr>
          <w:spacing w:val="-2"/>
        </w:rPr>
        <w:t>,</w:t>
      </w:r>
      <w:r w:rsidR="00FC0179" w:rsidRPr="00880318">
        <w:rPr>
          <w:spacing w:val="-2"/>
        </w:rPr>
        <w:t xml:space="preserve"> with occupancy beginning in 2025</w:t>
      </w:r>
      <w:r w:rsidR="00AC495F" w:rsidRPr="00880318">
        <w:rPr>
          <w:spacing w:val="-2"/>
        </w:rPr>
        <w:t xml:space="preserve">. The ground floor consists of an open-air parking garage, residential apartments to the north and west, and commercial tenant spaces to the east (along Bothell Way Northeast). The second floor consists of an open-air parking garage and residential apartments, and the third through sixth floors consist of residential apartments. </w:t>
      </w:r>
    </w:p>
    <w:p w14:paraId="324DDB20" w14:textId="3854A52F" w:rsidR="002A5C66" w:rsidRPr="007D28A0" w:rsidRDefault="00523787" w:rsidP="002A5C66">
      <w:r w:rsidRPr="00523787">
        <w:t xml:space="preserve">From the 1990s to present, numerous subsurface investigations and remedial actions have been performed </w:t>
      </w:r>
      <w:r w:rsidR="00A90035">
        <w:t xml:space="preserve">at the </w:t>
      </w:r>
      <w:r w:rsidRPr="00523787">
        <w:t xml:space="preserve">Site. </w:t>
      </w:r>
      <w:r w:rsidR="00622D26">
        <w:t>Historical i</w:t>
      </w:r>
      <w:r w:rsidR="00513E4A">
        <w:t>nvestigation results indicate</w:t>
      </w:r>
      <w:r w:rsidR="00F82BA2">
        <w:t>d</w:t>
      </w:r>
      <w:r w:rsidR="00513E4A">
        <w:t xml:space="preserve"> that </w:t>
      </w:r>
      <w:r w:rsidR="00F82BA2" w:rsidRPr="00523787">
        <w:t>total petroleum hydrocarbon</w:t>
      </w:r>
      <w:r w:rsidR="00245B61">
        <w:t>s</w:t>
      </w:r>
      <w:r w:rsidR="00622D26">
        <w:t>,</w:t>
      </w:r>
      <w:r w:rsidR="00F82BA2" w:rsidRPr="00523787">
        <w:t xml:space="preserve"> metals, and </w:t>
      </w:r>
      <w:r w:rsidR="00622D26">
        <w:t>CVOCs were present in soil and groundwater</w:t>
      </w:r>
      <w:r w:rsidR="0025386D">
        <w:t xml:space="preserve">. </w:t>
      </w:r>
    </w:p>
    <w:p w14:paraId="44024767" w14:textId="09FCED3F" w:rsidR="00F60EAA" w:rsidRDefault="00F60EAA" w:rsidP="0036042F">
      <w:pPr>
        <w:pStyle w:val="Heading3"/>
      </w:pPr>
      <w:r>
        <w:t>Summarize C</w:t>
      </w:r>
      <w:r w:rsidR="00912DE1">
        <w:t>leanup Action Plan</w:t>
      </w:r>
      <w:r>
        <w:t xml:space="preserve"> Remedial Action Objectives</w:t>
      </w:r>
    </w:p>
    <w:p w14:paraId="226B3D5A" w14:textId="2F94B32A" w:rsidR="00DD4595" w:rsidRPr="00DB3BFE" w:rsidRDefault="00467D8D" w:rsidP="00417931">
      <w:pPr>
        <w:rPr>
          <w:spacing w:val="-2"/>
        </w:rPr>
      </w:pPr>
      <w:r w:rsidRPr="00DB3BFE">
        <w:rPr>
          <w:spacing w:val="-2"/>
        </w:rPr>
        <w:t xml:space="preserve">The </w:t>
      </w:r>
      <w:r w:rsidR="00F57B07" w:rsidRPr="00DB3BFE">
        <w:rPr>
          <w:spacing w:val="-2"/>
        </w:rPr>
        <w:t xml:space="preserve">2015 </w:t>
      </w:r>
      <w:r w:rsidR="00C07196" w:rsidRPr="00DB3BFE">
        <w:rPr>
          <w:spacing w:val="-2"/>
        </w:rPr>
        <w:t>Remedial Investigation/Feasibility Study</w:t>
      </w:r>
      <w:r w:rsidRPr="00DB3BFE">
        <w:rPr>
          <w:spacing w:val="-2"/>
        </w:rPr>
        <w:t xml:space="preserve"> identified exposure pathways of </w:t>
      </w:r>
      <w:r w:rsidR="0048185C" w:rsidRPr="00DB3BFE">
        <w:rPr>
          <w:spacing w:val="-2"/>
        </w:rPr>
        <w:t>constituent</w:t>
      </w:r>
      <w:r w:rsidR="00A874EC" w:rsidRPr="00DB3BFE">
        <w:rPr>
          <w:spacing w:val="-2"/>
        </w:rPr>
        <w:t>s</w:t>
      </w:r>
      <w:r w:rsidR="0048185C" w:rsidRPr="00DB3BFE">
        <w:rPr>
          <w:spacing w:val="-2"/>
        </w:rPr>
        <w:t xml:space="preserve"> of concern (</w:t>
      </w:r>
      <w:r w:rsidRPr="00DB3BFE">
        <w:rPr>
          <w:spacing w:val="-2"/>
        </w:rPr>
        <w:t>COCs</w:t>
      </w:r>
      <w:r w:rsidR="0048185C" w:rsidRPr="00DB3BFE">
        <w:rPr>
          <w:spacing w:val="-2"/>
        </w:rPr>
        <w:t>)</w:t>
      </w:r>
      <w:r w:rsidRPr="00DB3BFE">
        <w:rPr>
          <w:spacing w:val="-2"/>
        </w:rPr>
        <w:t xml:space="preserve"> at the Site</w:t>
      </w:r>
      <w:r w:rsidR="00B95D64" w:rsidRPr="00DB3BFE">
        <w:rPr>
          <w:spacing w:val="-2"/>
        </w:rPr>
        <w:t>,</w:t>
      </w:r>
      <w:r w:rsidRPr="00DB3BFE">
        <w:rPr>
          <w:spacing w:val="-2"/>
        </w:rPr>
        <w:t xml:space="preserve"> </w:t>
      </w:r>
      <w:r w:rsidR="006E7B0A" w:rsidRPr="00DB3BFE">
        <w:rPr>
          <w:spacing w:val="-2"/>
        </w:rPr>
        <w:t>a</w:t>
      </w:r>
      <w:r w:rsidRPr="00DB3BFE">
        <w:rPr>
          <w:spacing w:val="-2"/>
        </w:rPr>
        <w:t>nd based on the nature and the extent of contamination, the likely greatest potential risk to human receptors is dermal contact of soil and/or groundwater to construction workers during soil-disturbing activities</w:t>
      </w:r>
      <w:r w:rsidR="00D15FBA" w:rsidRPr="00DB3BFE">
        <w:rPr>
          <w:spacing w:val="-2"/>
        </w:rPr>
        <w:t xml:space="preserve"> (</w:t>
      </w:r>
      <w:r w:rsidR="00D047F4" w:rsidRPr="00DB3BFE">
        <w:rPr>
          <w:spacing w:val="-2"/>
        </w:rPr>
        <w:t>HWA</w:t>
      </w:r>
      <w:r w:rsidR="00D15FBA" w:rsidRPr="00DB3BFE">
        <w:rPr>
          <w:spacing w:val="-2"/>
        </w:rPr>
        <w:t xml:space="preserve"> </w:t>
      </w:r>
      <w:r w:rsidR="0036025B" w:rsidRPr="00DB3BFE">
        <w:rPr>
          <w:spacing w:val="-2"/>
        </w:rPr>
        <w:t xml:space="preserve">Geosciences Inc. </w:t>
      </w:r>
      <w:r w:rsidR="00D047F4" w:rsidRPr="00DB3BFE">
        <w:rPr>
          <w:spacing w:val="-2"/>
        </w:rPr>
        <w:t>2015)</w:t>
      </w:r>
      <w:r w:rsidRPr="00DB3BFE">
        <w:rPr>
          <w:spacing w:val="-2"/>
        </w:rPr>
        <w:t xml:space="preserve">. </w:t>
      </w:r>
      <w:r w:rsidR="0048185C" w:rsidRPr="00DB3BFE">
        <w:rPr>
          <w:spacing w:val="-2"/>
        </w:rPr>
        <w:t xml:space="preserve">The Site COCs were determined to be </w:t>
      </w:r>
      <w:r w:rsidR="004B7679" w:rsidRPr="00DB3BFE">
        <w:rPr>
          <w:spacing w:val="-2"/>
        </w:rPr>
        <w:t>tetrachloroeth</w:t>
      </w:r>
      <w:r w:rsidR="00E72321" w:rsidRPr="00DB3BFE">
        <w:rPr>
          <w:spacing w:val="-2"/>
        </w:rPr>
        <w:t xml:space="preserve">ylene (PCE), trichloroethylene (TCE), </w:t>
      </w:r>
      <w:r w:rsidR="008178A7" w:rsidRPr="00DB3BFE">
        <w:rPr>
          <w:i/>
          <w:iCs/>
          <w:spacing w:val="-2"/>
        </w:rPr>
        <w:t>cis</w:t>
      </w:r>
      <w:r w:rsidR="009B4DA5">
        <w:rPr>
          <w:spacing w:val="-2"/>
        </w:rPr>
        <w:noBreakHyphen/>
      </w:r>
      <w:r w:rsidR="008178A7" w:rsidRPr="00DB3BFE">
        <w:rPr>
          <w:spacing w:val="-2"/>
        </w:rPr>
        <w:t>1,2</w:t>
      </w:r>
      <w:r w:rsidR="009B4DA5">
        <w:rPr>
          <w:spacing w:val="-2"/>
        </w:rPr>
        <w:noBreakHyphen/>
      </w:r>
      <w:r w:rsidR="00851D4A" w:rsidRPr="00DB3BFE">
        <w:rPr>
          <w:spacing w:val="-2"/>
        </w:rPr>
        <w:t>d</w:t>
      </w:r>
      <w:r w:rsidR="00D157A1" w:rsidRPr="00DB3BFE">
        <w:rPr>
          <w:spacing w:val="-2"/>
        </w:rPr>
        <w:t>ic</w:t>
      </w:r>
      <w:r w:rsidR="00C50586" w:rsidRPr="00DB3BFE">
        <w:rPr>
          <w:spacing w:val="-2"/>
        </w:rPr>
        <w:t>hloro</w:t>
      </w:r>
      <w:r w:rsidR="00C2424C" w:rsidRPr="00DB3BFE">
        <w:rPr>
          <w:spacing w:val="-2"/>
        </w:rPr>
        <w:t xml:space="preserve">ethylene (DCE), and </w:t>
      </w:r>
      <w:r w:rsidR="00851D4A" w:rsidRPr="00DB3BFE">
        <w:rPr>
          <w:spacing w:val="-2"/>
        </w:rPr>
        <w:t>v</w:t>
      </w:r>
      <w:r w:rsidR="00C2424C" w:rsidRPr="00DB3BFE">
        <w:rPr>
          <w:spacing w:val="-2"/>
        </w:rPr>
        <w:t xml:space="preserve">inyl </w:t>
      </w:r>
      <w:r w:rsidR="00851D4A" w:rsidRPr="00DB3BFE">
        <w:rPr>
          <w:spacing w:val="-2"/>
        </w:rPr>
        <w:t>c</w:t>
      </w:r>
      <w:r w:rsidR="00C2424C" w:rsidRPr="00DB3BFE">
        <w:rPr>
          <w:spacing w:val="-2"/>
        </w:rPr>
        <w:t xml:space="preserve">hloride (VC). </w:t>
      </w:r>
      <w:r w:rsidR="00442473" w:rsidRPr="00DB3BFE">
        <w:rPr>
          <w:spacing w:val="-2"/>
        </w:rPr>
        <w:t xml:space="preserve">However, since the redevelopment </w:t>
      </w:r>
      <w:r w:rsidR="0032585E" w:rsidRPr="00DB3BFE">
        <w:rPr>
          <w:spacing w:val="-2"/>
        </w:rPr>
        <w:t xml:space="preserve">of the </w:t>
      </w:r>
      <w:r w:rsidR="001661AF" w:rsidRPr="00DB3BFE">
        <w:rPr>
          <w:spacing w:val="-2"/>
        </w:rPr>
        <w:t>properties, t</w:t>
      </w:r>
      <w:r w:rsidRPr="00DB3BFE">
        <w:rPr>
          <w:spacing w:val="-2"/>
        </w:rPr>
        <w:t>he most likely exposure risk is inhalation of vapors by commercial workers</w:t>
      </w:r>
      <w:r w:rsidR="00AD0662" w:rsidRPr="00DB3BFE">
        <w:rPr>
          <w:spacing w:val="-2"/>
        </w:rPr>
        <w:t xml:space="preserve"> </w:t>
      </w:r>
      <w:r w:rsidR="00B76528" w:rsidRPr="00DB3BFE">
        <w:rPr>
          <w:spacing w:val="-2"/>
        </w:rPr>
        <w:t xml:space="preserve">within the businesses </w:t>
      </w:r>
      <w:r w:rsidR="001327F2" w:rsidRPr="00DB3BFE">
        <w:rPr>
          <w:spacing w:val="-2"/>
        </w:rPr>
        <w:t xml:space="preserve">and </w:t>
      </w:r>
      <w:r w:rsidR="00A150F7" w:rsidRPr="00DB3BFE">
        <w:rPr>
          <w:spacing w:val="-2"/>
        </w:rPr>
        <w:t xml:space="preserve">occupants of the </w:t>
      </w:r>
      <w:r w:rsidR="00AD0662" w:rsidRPr="00DB3BFE">
        <w:rPr>
          <w:spacing w:val="-2"/>
        </w:rPr>
        <w:t xml:space="preserve">residential </w:t>
      </w:r>
      <w:r w:rsidR="00A150F7" w:rsidRPr="00DB3BFE">
        <w:rPr>
          <w:spacing w:val="-2"/>
        </w:rPr>
        <w:t>dwellings on the ground floor</w:t>
      </w:r>
      <w:r w:rsidRPr="00DB3BFE">
        <w:rPr>
          <w:spacing w:val="-2"/>
        </w:rPr>
        <w:t>.</w:t>
      </w:r>
      <w:r w:rsidR="00AB1060" w:rsidRPr="00DB3BFE">
        <w:rPr>
          <w:spacing w:val="-2"/>
        </w:rPr>
        <w:t xml:space="preserve"> Additionally, </w:t>
      </w:r>
      <w:r w:rsidR="00B76528" w:rsidRPr="00DB3BFE">
        <w:rPr>
          <w:spacing w:val="-2"/>
        </w:rPr>
        <w:t xml:space="preserve">another </w:t>
      </w:r>
      <w:r w:rsidR="00AB1060" w:rsidRPr="00DB3BFE">
        <w:rPr>
          <w:spacing w:val="-2"/>
        </w:rPr>
        <w:t xml:space="preserve">potential risk </w:t>
      </w:r>
      <w:r w:rsidR="00B76528" w:rsidRPr="00DB3BFE">
        <w:rPr>
          <w:spacing w:val="-2"/>
        </w:rPr>
        <w:t xml:space="preserve">is </w:t>
      </w:r>
      <w:r w:rsidR="00AB1060" w:rsidRPr="00DB3BFE">
        <w:rPr>
          <w:spacing w:val="-2"/>
        </w:rPr>
        <w:t>to ecological receptors</w:t>
      </w:r>
      <w:r w:rsidR="00B76528" w:rsidRPr="00DB3BFE">
        <w:rPr>
          <w:spacing w:val="-2"/>
        </w:rPr>
        <w:t xml:space="preserve">, which </w:t>
      </w:r>
      <w:r w:rsidR="00AB1060" w:rsidRPr="00DB3BFE">
        <w:rPr>
          <w:spacing w:val="-2"/>
        </w:rPr>
        <w:t xml:space="preserve">include incidental soil ingestion and dermal contact, as well as ingestion and direct contact with groundwater. </w:t>
      </w:r>
      <w:r w:rsidR="00C0171C" w:rsidRPr="00DB3BFE">
        <w:rPr>
          <w:spacing w:val="-2"/>
        </w:rPr>
        <w:t xml:space="preserve">Therefore, the </w:t>
      </w:r>
      <w:r w:rsidR="004D0720" w:rsidRPr="00DB3BFE">
        <w:rPr>
          <w:spacing w:val="-2"/>
        </w:rPr>
        <w:t>r</w:t>
      </w:r>
      <w:r w:rsidR="00C0171C" w:rsidRPr="00DB3BFE">
        <w:rPr>
          <w:spacing w:val="-2"/>
        </w:rPr>
        <w:t xml:space="preserve">emedial </w:t>
      </w:r>
      <w:r w:rsidR="004D0720" w:rsidRPr="00DB3BFE">
        <w:rPr>
          <w:spacing w:val="-2"/>
        </w:rPr>
        <w:t>a</w:t>
      </w:r>
      <w:r w:rsidR="00C0171C" w:rsidRPr="00DB3BFE">
        <w:rPr>
          <w:spacing w:val="-2"/>
        </w:rPr>
        <w:t xml:space="preserve">ction </w:t>
      </w:r>
      <w:r w:rsidR="004D0720" w:rsidRPr="00DB3BFE">
        <w:rPr>
          <w:spacing w:val="-2"/>
        </w:rPr>
        <w:t>o</w:t>
      </w:r>
      <w:r w:rsidR="00C0171C" w:rsidRPr="00DB3BFE">
        <w:rPr>
          <w:spacing w:val="-2"/>
        </w:rPr>
        <w:t>bjectives</w:t>
      </w:r>
      <w:r w:rsidR="004D0720" w:rsidRPr="00DB3BFE">
        <w:rPr>
          <w:spacing w:val="-2"/>
        </w:rPr>
        <w:t xml:space="preserve"> for the selected cleanup </w:t>
      </w:r>
      <w:r w:rsidR="00E80718" w:rsidRPr="00DB3BFE">
        <w:rPr>
          <w:spacing w:val="-2"/>
        </w:rPr>
        <w:t>address</w:t>
      </w:r>
      <w:r w:rsidR="009933A4" w:rsidRPr="00DB3BFE">
        <w:rPr>
          <w:spacing w:val="-2"/>
        </w:rPr>
        <w:t>ed</w:t>
      </w:r>
      <w:r w:rsidR="00E80718" w:rsidRPr="00DB3BFE">
        <w:rPr>
          <w:spacing w:val="-2"/>
        </w:rPr>
        <w:t xml:space="preserve"> these </w:t>
      </w:r>
      <w:r w:rsidR="004D0720" w:rsidRPr="00DB3BFE">
        <w:rPr>
          <w:spacing w:val="-2"/>
        </w:rPr>
        <w:t>risks</w:t>
      </w:r>
      <w:r w:rsidR="00E80718" w:rsidRPr="00DB3BFE">
        <w:rPr>
          <w:spacing w:val="-2"/>
        </w:rPr>
        <w:t xml:space="preserve">, </w:t>
      </w:r>
      <w:r w:rsidR="009933A4" w:rsidRPr="00DB3BFE">
        <w:rPr>
          <w:spacing w:val="-2"/>
        </w:rPr>
        <w:t xml:space="preserve">which are </w:t>
      </w:r>
      <w:r w:rsidR="000A7A6D" w:rsidRPr="00DB3BFE">
        <w:rPr>
          <w:spacing w:val="-2"/>
        </w:rPr>
        <w:t xml:space="preserve">currently </w:t>
      </w:r>
      <w:r w:rsidR="009933A4" w:rsidRPr="00DB3BFE">
        <w:rPr>
          <w:spacing w:val="-2"/>
        </w:rPr>
        <w:t xml:space="preserve">being </w:t>
      </w:r>
      <w:r w:rsidR="004D0720" w:rsidRPr="00DB3BFE">
        <w:rPr>
          <w:spacing w:val="-2"/>
        </w:rPr>
        <w:t xml:space="preserve">mitigated </w:t>
      </w:r>
      <w:r w:rsidR="009933A4" w:rsidRPr="00DB3BFE">
        <w:rPr>
          <w:spacing w:val="-2"/>
        </w:rPr>
        <w:t xml:space="preserve">to </w:t>
      </w:r>
      <w:r w:rsidR="004D0720" w:rsidRPr="00DB3BFE">
        <w:rPr>
          <w:spacing w:val="-2"/>
        </w:rPr>
        <w:t>remove the contaminants to levels that</w:t>
      </w:r>
      <w:r w:rsidR="009933A4" w:rsidRPr="00DB3BFE">
        <w:rPr>
          <w:spacing w:val="-2"/>
        </w:rPr>
        <w:t xml:space="preserve"> </w:t>
      </w:r>
      <w:r w:rsidR="004D0720" w:rsidRPr="00DB3BFE">
        <w:rPr>
          <w:spacing w:val="-2"/>
        </w:rPr>
        <w:t>are protective to receptors</w:t>
      </w:r>
      <w:r w:rsidR="00B221E6" w:rsidRPr="00DB3BFE">
        <w:rPr>
          <w:spacing w:val="-2"/>
        </w:rPr>
        <w:t xml:space="preserve">, and </w:t>
      </w:r>
      <w:r w:rsidR="004D0720" w:rsidRPr="00DB3BFE">
        <w:rPr>
          <w:spacing w:val="-2"/>
        </w:rPr>
        <w:t xml:space="preserve">institutional or engineering controls </w:t>
      </w:r>
      <w:r w:rsidR="00B221E6" w:rsidRPr="00DB3BFE">
        <w:rPr>
          <w:spacing w:val="-2"/>
        </w:rPr>
        <w:t xml:space="preserve">were placed </w:t>
      </w:r>
      <w:r w:rsidR="004D0720" w:rsidRPr="00DB3BFE">
        <w:rPr>
          <w:spacing w:val="-2"/>
        </w:rPr>
        <w:t>to prevent exposure</w:t>
      </w:r>
      <w:r w:rsidR="00B221E6" w:rsidRPr="00DB3BFE">
        <w:rPr>
          <w:spacing w:val="-2"/>
        </w:rPr>
        <w:t xml:space="preserve">. </w:t>
      </w:r>
      <w:r w:rsidR="000A7A6D" w:rsidRPr="00DB3BFE">
        <w:rPr>
          <w:spacing w:val="-2"/>
        </w:rPr>
        <w:t>The selected</w:t>
      </w:r>
      <w:r w:rsidR="0054492F" w:rsidRPr="00DB3BFE">
        <w:rPr>
          <w:spacing w:val="-2"/>
        </w:rPr>
        <w:t xml:space="preserve"> </w:t>
      </w:r>
      <w:r w:rsidR="002B5901" w:rsidRPr="00DB3BFE">
        <w:rPr>
          <w:spacing w:val="-2"/>
        </w:rPr>
        <w:t>Model Toxics Control Act (MTCA) Methods A and B</w:t>
      </w:r>
      <w:r w:rsidR="000A7A6D" w:rsidRPr="00DB3BFE">
        <w:rPr>
          <w:spacing w:val="-2"/>
        </w:rPr>
        <w:t xml:space="preserve"> cleanup levels for soil and groundwater </w:t>
      </w:r>
      <w:r w:rsidR="00DE342F" w:rsidRPr="00DB3BFE">
        <w:rPr>
          <w:spacing w:val="-2"/>
        </w:rPr>
        <w:t xml:space="preserve">at the Site are shown in the tables below. </w:t>
      </w:r>
    </w:p>
    <w:tbl>
      <w:tblPr>
        <w:tblStyle w:val="TableGrid"/>
        <w:tblW w:w="0" w:type="auto"/>
        <w:jc w:val="center"/>
        <w:tblLook w:val="04A0" w:firstRow="1" w:lastRow="0" w:firstColumn="1" w:lastColumn="0" w:noHBand="0" w:noVBand="1"/>
      </w:tblPr>
      <w:tblGrid>
        <w:gridCol w:w="900"/>
        <w:gridCol w:w="2335"/>
        <w:gridCol w:w="3150"/>
      </w:tblGrid>
      <w:tr w:rsidR="00417931" w14:paraId="64CB0F07" w14:textId="77777777" w:rsidTr="007A5A49">
        <w:trPr>
          <w:jc w:val="center"/>
        </w:trPr>
        <w:tc>
          <w:tcPr>
            <w:tcW w:w="6385" w:type="dxa"/>
            <w:gridSpan w:val="3"/>
            <w:tcBorders>
              <w:top w:val="nil"/>
              <w:left w:val="nil"/>
              <w:right w:val="nil"/>
            </w:tcBorders>
          </w:tcPr>
          <w:p w14:paraId="0ABF37C4" w14:textId="359EE52B" w:rsidR="00417931" w:rsidRDefault="00417931" w:rsidP="00D23555">
            <w:pPr>
              <w:pStyle w:val="TableTitle"/>
            </w:pPr>
            <w:r>
              <w:lastRenderedPageBreak/>
              <w:t>Site Soil Cleanup Levels (CULs) for Unrestricted Land Use</w:t>
            </w:r>
          </w:p>
        </w:tc>
      </w:tr>
      <w:tr w:rsidR="00D86B77" w14:paraId="36AFBFE8" w14:textId="77777777" w:rsidTr="00DB3BFE">
        <w:trPr>
          <w:jc w:val="center"/>
        </w:trPr>
        <w:tc>
          <w:tcPr>
            <w:tcW w:w="3235" w:type="dxa"/>
            <w:gridSpan w:val="2"/>
            <w:vAlign w:val="bottom"/>
          </w:tcPr>
          <w:p w14:paraId="5A04A6F1" w14:textId="30D2141F" w:rsidR="00D86B77" w:rsidRDefault="005C058C" w:rsidP="00DB3BFE">
            <w:pPr>
              <w:pStyle w:val="TableHeading"/>
            </w:pPr>
            <w:r>
              <w:t>COC</w:t>
            </w:r>
          </w:p>
        </w:tc>
        <w:tc>
          <w:tcPr>
            <w:tcW w:w="3150" w:type="dxa"/>
            <w:vAlign w:val="bottom"/>
          </w:tcPr>
          <w:p w14:paraId="7F8544DD" w14:textId="7129DAE4" w:rsidR="00D86B77" w:rsidRDefault="005C058C" w:rsidP="00DB3BFE">
            <w:pPr>
              <w:pStyle w:val="TableHeading"/>
            </w:pPr>
            <w:r>
              <w:t>MTCA Method A</w:t>
            </w:r>
            <w:r w:rsidR="00D1074B">
              <w:t xml:space="preserve"> Soil CUL</w:t>
            </w:r>
          </w:p>
        </w:tc>
      </w:tr>
      <w:tr w:rsidR="00D86B77" w14:paraId="596DB7A5" w14:textId="77777777" w:rsidTr="000B2621">
        <w:trPr>
          <w:jc w:val="center"/>
        </w:trPr>
        <w:tc>
          <w:tcPr>
            <w:tcW w:w="3235" w:type="dxa"/>
            <w:gridSpan w:val="2"/>
            <w:vAlign w:val="center"/>
          </w:tcPr>
          <w:p w14:paraId="0F61F73C" w14:textId="0933965F" w:rsidR="00D86B77" w:rsidRDefault="00D1074B" w:rsidP="00DB3BFE">
            <w:pPr>
              <w:pStyle w:val="NormalTable"/>
            </w:pPr>
            <w:r>
              <w:t>PCE</w:t>
            </w:r>
          </w:p>
        </w:tc>
        <w:tc>
          <w:tcPr>
            <w:tcW w:w="3150" w:type="dxa"/>
            <w:vAlign w:val="center"/>
          </w:tcPr>
          <w:p w14:paraId="3C566501" w14:textId="2712B37F" w:rsidR="00D86B77" w:rsidRDefault="00D1074B" w:rsidP="000B2621">
            <w:pPr>
              <w:pStyle w:val="NormalTable"/>
            </w:pPr>
            <w:r>
              <w:t>0.05 mg/kg</w:t>
            </w:r>
          </w:p>
        </w:tc>
      </w:tr>
      <w:tr w:rsidR="00D86B77" w14:paraId="6141430D" w14:textId="77777777" w:rsidTr="000B2621">
        <w:trPr>
          <w:jc w:val="center"/>
        </w:trPr>
        <w:tc>
          <w:tcPr>
            <w:tcW w:w="3235" w:type="dxa"/>
            <w:gridSpan w:val="2"/>
            <w:vAlign w:val="center"/>
          </w:tcPr>
          <w:p w14:paraId="612B1E70" w14:textId="5A6065F1" w:rsidR="00D86B77" w:rsidRDefault="00D1074B" w:rsidP="00DB3BFE">
            <w:pPr>
              <w:pStyle w:val="NormalTable"/>
            </w:pPr>
            <w:r>
              <w:t>TCE</w:t>
            </w:r>
          </w:p>
        </w:tc>
        <w:tc>
          <w:tcPr>
            <w:tcW w:w="3150" w:type="dxa"/>
            <w:vAlign w:val="center"/>
          </w:tcPr>
          <w:p w14:paraId="4E3BA54C" w14:textId="53E3E927" w:rsidR="00D86B77" w:rsidRDefault="00D1074B" w:rsidP="000B2621">
            <w:pPr>
              <w:pStyle w:val="NormalTable"/>
            </w:pPr>
            <w:r>
              <w:t>0.03 mg/kg</w:t>
            </w:r>
          </w:p>
        </w:tc>
      </w:tr>
      <w:tr w:rsidR="00D86B77" w14:paraId="6080239B" w14:textId="77777777" w:rsidTr="000B2621">
        <w:trPr>
          <w:jc w:val="center"/>
        </w:trPr>
        <w:tc>
          <w:tcPr>
            <w:tcW w:w="3235" w:type="dxa"/>
            <w:gridSpan w:val="2"/>
            <w:vAlign w:val="center"/>
          </w:tcPr>
          <w:p w14:paraId="1FB63FE3" w14:textId="71ED1A6E" w:rsidR="00D86B77" w:rsidRDefault="00D1074B" w:rsidP="00DB3BFE">
            <w:pPr>
              <w:pStyle w:val="NormalTable"/>
            </w:pPr>
            <w:r>
              <w:t>DCE</w:t>
            </w:r>
          </w:p>
        </w:tc>
        <w:tc>
          <w:tcPr>
            <w:tcW w:w="3150" w:type="dxa"/>
            <w:vAlign w:val="center"/>
          </w:tcPr>
          <w:p w14:paraId="2DBDAC1A" w14:textId="6CAEA49B" w:rsidR="00D86B77" w:rsidRDefault="00D1074B" w:rsidP="000B2621">
            <w:pPr>
              <w:pStyle w:val="NormalTable"/>
            </w:pPr>
            <w:r>
              <w:t>0.00515 mg/kg</w:t>
            </w:r>
            <w:r w:rsidR="00F57B07">
              <w:t xml:space="preserve"> (</w:t>
            </w:r>
            <w:r w:rsidR="00475835">
              <w:t>p</w:t>
            </w:r>
            <w:r w:rsidR="00F57B07" w:rsidRPr="00F57B07">
              <w:t xml:space="preserve">rotection of </w:t>
            </w:r>
            <w:r w:rsidR="00475835">
              <w:t>g</w:t>
            </w:r>
            <w:r w:rsidR="00F57B07" w:rsidRPr="00F57B07">
              <w:t xml:space="preserve">roundwater </w:t>
            </w:r>
            <w:r w:rsidR="00475835">
              <w:t>s</w:t>
            </w:r>
            <w:r w:rsidR="00F57B07" w:rsidRPr="00F57B07">
              <w:t>aturated</w:t>
            </w:r>
            <w:r w:rsidR="00F57B07">
              <w:t>)</w:t>
            </w:r>
          </w:p>
        </w:tc>
      </w:tr>
      <w:tr w:rsidR="00D86B77" w14:paraId="1DF76BF4" w14:textId="77777777" w:rsidTr="000B2621">
        <w:trPr>
          <w:trHeight w:val="710"/>
          <w:jc w:val="center"/>
        </w:trPr>
        <w:tc>
          <w:tcPr>
            <w:tcW w:w="3235" w:type="dxa"/>
            <w:gridSpan w:val="2"/>
            <w:vAlign w:val="center"/>
          </w:tcPr>
          <w:p w14:paraId="2EE2DA0F" w14:textId="3E680421" w:rsidR="00D86B77" w:rsidRDefault="00103FCB" w:rsidP="00DB3BFE">
            <w:pPr>
              <w:pStyle w:val="NormalTable"/>
            </w:pPr>
            <w:r>
              <w:t>VC</w:t>
            </w:r>
          </w:p>
        </w:tc>
        <w:tc>
          <w:tcPr>
            <w:tcW w:w="3150" w:type="dxa"/>
            <w:vAlign w:val="center"/>
          </w:tcPr>
          <w:p w14:paraId="4FD448BD" w14:textId="506FC004" w:rsidR="00D86B77" w:rsidRDefault="00103FCB" w:rsidP="000B2621">
            <w:pPr>
              <w:pStyle w:val="NormalTable"/>
            </w:pPr>
            <w:r>
              <w:t>0.0000885 mg/kg</w:t>
            </w:r>
            <w:r w:rsidR="00F57B07">
              <w:t xml:space="preserve"> (</w:t>
            </w:r>
            <w:r w:rsidR="00475835">
              <w:t>p</w:t>
            </w:r>
            <w:r w:rsidR="00F57B07" w:rsidRPr="00F57B07">
              <w:t xml:space="preserve">rotection of </w:t>
            </w:r>
            <w:r w:rsidR="00475835">
              <w:t>g</w:t>
            </w:r>
            <w:r w:rsidR="00F57B07" w:rsidRPr="00F57B07">
              <w:t xml:space="preserve">roundwater </w:t>
            </w:r>
            <w:r w:rsidR="00475835">
              <w:t>s</w:t>
            </w:r>
            <w:r w:rsidR="00F57B07" w:rsidRPr="00F57B07">
              <w:t>aturated</w:t>
            </w:r>
            <w:r w:rsidR="00F57B07">
              <w:t>)</w:t>
            </w:r>
          </w:p>
        </w:tc>
      </w:tr>
      <w:tr w:rsidR="009C74AD" w14:paraId="44400CFB" w14:textId="77777777" w:rsidTr="009C74AD">
        <w:trPr>
          <w:trHeight w:val="64"/>
          <w:jc w:val="center"/>
        </w:trPr>
        <w:tc>
          <w:tcPr>
            <w:tcW w:w="6385" w:type="dxa"/>
            <w:gridSpan w:val="3"/>
            <w:vAlign w:val="bottom"/>
          </w:tcPr>
          <w:p w14:paraId="5634D79A" w14:textId="26DD58B6" w:rsidR="009C74AD" w:rsidRDefault="009C74AD" w:rsidP="009C74AD">
            <w:pPr>
              <w:pStyle w:val="Notes"/>
            </w:pPr>
            <w:r>
              <w:t>Abbreviation:</w:t>
            </w:r>
          </w:p>
        </w:tc>
      </w:tr>
      <w:tr w:rsidR="009C74AD" w14:paraId="7E9EA683" w14:textId="77777777" w:rsidTr="009C74AD">
        <w:trPr>
          <w:trHeight w:val="242"/>
          <w:jc w:val="center"/>
        </w:trPr>
        <w:tc>
          <w:tcPr>
            <w:tcW w:w="900" w:type="dxa"/>
          </w:tcPr>
          <w:p w14:paraId="00E1DFDC" w14:textId="0015F587" w:rsidR="009C74AD" w:rsidRDefault="009C74AD" w:rsidP="009C74AD">
            <w:pPr>
              <w:pStyle w:val="Note"/>
              <w:jc w:val="right"/>
            </w:pPr>
            <w:r>
              <w:t>mg/kg</w:t>
            </w:r>
          </w:p>
        </w:tc>
        <w:tc>
          <w:tcPr>
            <w:tcW w:w="5485" w:type="dxa"/>
            <w:gridSpan w:val="2"/>
          </w:tcPr>
          <w:p w14:paraId="59DFED47" w14:textId="10FC0466" w:rsidR="009C74AD" w:rsidRDefault="009C74AD" w:rsidP="009C74AD">
            <w:pPr>
              <w:pStyle w:val="Note"/>
            </w:pPr>
            <w:r>
              <w:t>Milligrams per kilogram</w:t>
            </w:r>
          </w:p>
        </w:tc>
      </w:tr>
    </w:tbl>
    <w:p w14:paraId="42DEF646" w14:textId="581E7606" w:rsidR="00EC6662" w:rsidRDefault="00EC6662" w:rsidP="00B62375">
      <w:pPr>
        <w:pStyle w:val="NormalZero"/>
      </w:pPr>
    </w:p>
    <w:tbl>
      <w:tblPr>
        <w:tblStyle w:val="TableGrid"/>
        <w:tblW w:w="0" w:type="auto"/>
        <w:jc w:val="center"/>
        <w:tblLook w:val="04A0" w:firstRow="1" w:lastRow="0" w:firstColumn="1" w:lastColumn="0" w:noHBand="0" w:noVBand="1"/>
      </w:tblPr>
      <w:tblGrid>
        <w:gridCol w:w="540"/>
        <w:gridCol w:w="180"/>
        <w:gridCol w:w="985"/>
        <w:gridCol w:w="2430"/>
      </w:tblGrid>
      <w:tr w:rsidR="00417931" w14:paraId="092E4882" w14:textId="77777777" w:rsidTr="009C74AD">
        <w:trPr>
          <w:jc w:val="center"/>
        </w:trPr>
        <w:tc>
          <w:tcPr>
            <w:tcW w:w="4135" w:type="dxa"/>
            <w:gridSpan w:val="4"/>
            <w:tcBorders>
              <w:top w:val="nil"/>
              <w:left w:val="nil"/>
              <w:right w:val="nil"/>
            </w:tcBorders>
          </w:tcPr>
          <w:p w14:paraId="65EE7C95" w14:textId="611499D1" w:rsidR="00417931" w:rsidRDefault="00417931" w:rsidP="006379BD">
            <w:pPr>
              <w:pStyle w:val="TableTitle"/>
            </w:pPr>
            <w:r>
              <w:t>Site Groundwater CULs</w:t>
            </w:r>
          </w:p>
        </w:tc>
      </w:tr>
      <w:tr w:rsidR="00103FCB" w14:paraId="62BC60D4" w14:textId="77777777" w:rsidTr="000B2621">
        <w:trPr>
          <w:jc w:val="center"/>
        </w:trPr>
        <w:tc>
          <w:tcPr>
            <w:tcW w:w="1705" w:type="dxa"/>
            <w:gridSpan w:val="3"/>
            <w:vAlign w:val="bottom"/>
          </w:tcPr>
          <w:p w14:paraId="4906651C" w14:textId="4C16909C" w:rsidR="00103FCB" w:rsidRDefault="00103FCB" w:rsidP="000B2621">
            <w:pPr>
              <w:pStyle w:val="TableHeading"/>
            </w:pPr>
            <w:r>
              <w:t>COC</w:t>
            </w:r>
          </w:p>
        </w:tc>
        <w:tc>
          <w:tcPr>
            <w:tcW w:w="2430" w:type="dxa"/>
            <w:vAlign w:val="bottom"/>
          </w:tcPr>
          <w:p w14:paraId="1561C482" w14:textId="448EB525" w:rsidR="00103FCB" w:rsidRDefault="00103FCB" w:rsidP="000B2621">
            <w:pPr>
              <w:pStyle w:val="TableHeading"/>
            </w:pPr>
            <w:r>
              <w:t>MTCA Method A</w:t>
            </w:r>
            <w:r w:rsidR="000D4C56">
              <w:t xml:space="preserve"> </w:t>
            </w:r>
            <w:r w:rsidR="00614467">
              <w:t>and</w:t>
            </w:r>
            <w:r w:rsidR="000D4C56">
              <w:t xml:space="preserve"> B</w:t>
            </w:r>
            <w:r w:rsidR="00C70DB1">
              <w:t xml:space="preserve"> Groundwater</w:t>
            </w:r>
            <w:r>
              <w:t xml:space="preserve"> CUL</w:t>
            </w:r>
          </w:p>
        </w:tc>
      </w:tr>
      <w:tr w:rsidR="00103FCB" w14:paraId="68DFF40B" w14:textId="77777777" w:rsidTr="000B2621">
        <w:trPr>
          <w:jc w:val="center"/>
        </w:trPr>
        <w:tc>
          <w:tcPr>
            <w:tcW w:w="1705" w:type="dxa"/>
            <w:gridSpan w:val="3"/>
            <w:vAlign w:val="center"/>
          </w:tcPr>
          <w:p w14:paraId="6FDB884B" w14:textId="77777777" w:rsidR="00103FCB" w:rsidRDefault="00103FCB" w:rsidP="000B2621">
            <w:pPr>
              <w:pStyle w:val="NormalTable"/>
            </w:pPr>
            <w:r>
              <w:t>PCE</w:t>
            </w:r>
          </w:p>
        </w:tc>
        <w:tc>
          <w:tcPr>
            <w:tcW w:w="2430" w:type="dxa"/>
            <w:vAlign w:val="center"/>
          </w:tcPr>
          <w:p w14:paraId="540898EF" w14:textId="592DA448" w:rsidR="00103FCB" w:rsidRDefault="00C668F6" w:rsidP="000B2621">
            <w:pPr>
              <w:pStyle w:val="NormalTable"/>
            </w:pPr>
            <w:r>
              <w:t xml:space="preserve">5 </w:t>
            </w:r>
            <w:r w:rsidRPr="00FE39CA">
              <w:t>µg/L</w:t>
            </w:r>
          </w:p>
        </w:tc>
      </w:tr>
      <w:tr w:rsidR="00103FCB" w14:paraId="12E8280A" w14:textId="77777777" w:rsidTr="000B2621">
        <w:trPr>
          <w:jc w:val="center"/>
        </w:trPr>
        <w:tc>
          <w:tcPr>
            <w:tcW w:w="1705" w:type="dxa"/>
            <w:gridSpan w:val="3"/>
            <w:vAlign w:val="center"/>
          </w:tcPr>
          <w:p w14:paraId="72A2476C" w14:textId="77777777" w:rsidR="00103FCB" w:rsidRDefault="00103FCB" w:rsidP="000B2621">
            <w:pPr>
              <w:pStyle w:val="NormalTable"/>
            </w:pPr>
            <w:r>
              <w:t>TCE</w:t>
            </w:r>
          </w:p>
        </w:tc>
        <w:tc>
          <w:tcPr>
            <w:tcW w:w="2430" w:type="dxa"/>
            <w:vAlign w:val="center"/>
          </w:tcPr>
          <w:p w14:paraId="569AFCFC" w14:textId="609F8A3D" w:rsidR="00103FCB" w:rsidRDefault="000D4C56" w:rsidP="000B2621">
            <w:pPr>
              <w:pStyle w:val="NormalTable"/>
            </w:pPr>
            <w:r>
              <w:t xml:space="preserve">5 </w:t>
            </w:r>
            <w:r w:rsidR="00D961AB" w:rsidRPr="00FE39CA">
              <w:t>µg/L</w:t>
            </w:r>
          </w:p>
        </w:tc>
      </w:tr>
      <w:tr w:rsidR="00103FCB" w14:paraId="1A46BEF6" w14:textId="77777777" w:rsidTr="000B2621">
        <w:trPr>
          <w:jc w:val="center"/>
        </w:trPr>
        <w:tc>
          <w:tcPr>
            <w:tcW w:w="1705" w:type="dxa"/>
            <w:gridSpan w:val="3"/>
            <w:vAlign w:val="center"/>
          </w:tcPr>
          <w:p w14:paraId="6F54CEF6" w14:textId="407A393B" w:rsidR="00103FCB" w:rsidRDefault="00103FCB" w:rsidP="000B2621">
            <w:pPr>
              <w:pStyle w:val="NormalTable"/>
            </w:pPr>
            <w:r>
              <w:t>DCE</w:t>
            </w:r>
          </w:p>
        </w:tc>
        <w:tc>
          <w:tcPr>
            <w:tcW w:w="2430" w:type="dxa"/>
            <w:vAlign w:val="center"/>
          </w:tcPr>
          <w:p w14:paraId="2394B093" w14:textId="3641BC5D" w:rsidR="00103FCB" w:rsidRDefault="000D4C56" w:rsidP="000B2621">
            <w:pPr>
              <w:pStyle w:val="NormalTable"/>
            </w:pPr>
            <w:r>
              <w:t xml:space="preserve">16 </w:t>
            </w:r>
            <w:r w:rsidR="00D961AB" w:rsidRPr="00FE39CA">
              <w:t>µg/L</w:t>
            </w:r>
            <w:r w:rsidR="00EE0568">
              <w:t xml:space="preserve"> </w:t>
            </w:r>
            <w:r w:rsidR="00EE0568" w:rsidRPr="00D23555">
              <w:rPr>
                <w:vertAlign w:val="superscript"/>
              </w:rPr>
              <w:t>(1)</w:t>
            </w:r>
          </w:p>
        </w:tc>
      </w:tr>
      <w:tr w:rsidR="00103FCB" w14:paraId="66655056" w14:textId="77777777" w:rsidTr="000B2621">
        <w:trPr>
          <w:jc w:val="center"/>
        </w:trPr>
        <w:tc>
          <w:tcPr>
            <w:tcW w:w="1705" w:type="dxa"/>
            <w:gridSpan w:val="3"/>
            <w:tcBorders>
              <w:bottom w:val="single" w:sz="4" w:space="0" w:color="000000" w:themeColor="text1"/>
            </w:tcBorders>
            <w:vAlign w:val="center"/>
          </w:tcPr>
          <w:p w14:paraId="2718A8C1" w14:textId="77777777" w:rsidR="00103FCB" w:rsidRDefault="00103FCB" w:rsidP="000B2621">
            <w:pPr>
              <w:pStyle w:val="NormalTable"/>
            </w:pPr>
            <w:r>
              <w:t>VC</w:t>
            </w:r>
          </w:p>
        </w:tc>
        <w:tc>
          <w:tcPr>
            <w:tcW w:w="2430" w:type="dxa"/>
            <w:tcBorders>
              <w:bottom w:val="single" w:sz="4" w:space="0" w:color="000000" w:themeColor="text1"/>
            </w:tcBorders>
            <w:vAlign w:val="center"/>
          </w:tcPr>
          <w:p w14:paraId="780EAF3B" w14:textId="6B7F5E69" w:rsidR="00103FCB" w:rsidRDefault="00F11A75" w:rsidP="000B2621">
            <w:pPr>
              <w:pStyle w:val="NormalTable"/>
            </w:pPr>
            <w:r>
              <w:t xml:space="preserve">0.2 </w:t>
            </w:r>
            <w:r w:rsidR="00D961AB" w:rsidRPr="00FE39CA">
              <w:t>µg/L</w:t>
            </w:r>
          </w:p>
        </w:tc>
      </w:tr>
      <w:tr w:rsidR="0073585A" w14:paraId="7F4CAC87" w14:textId="77777777" w:rsidTr="00D23555">
        <w:trPr>
          <w:jc w:val="center"/>
        </w:trPr>
        <w:tc>
          <w:tcPr>
            <w:tcW w:w="4135" w:type="dxa"/>
            <w:gridSpan w:val="4"/>
            <w:tcBorders>
              <w:left w:val="nil"/>
              <w:bottom w:val="nil"/>
              <w:right w:val="nil"/>
            </w:tcBorders>
          </w:tcPr>
          <w:p w14:paraId="09899CAF" w14:textId="7D37D3ED" w:rsidR="0073585A" w:rsidRDefault="0073585A" w:rsidP="006379BD">
            <w:pPr>
              <w:pStyle w:val="Notes"/>
            </w:pPr>
            <w:r>
              <w:t>Note:</w:t>
            </w:r>
          </w:p>
        </w:tc>
      </w:tr>
      <w:tr w:rsidR="0073585A" w14:paraId="36FDA5CD" w14:textId="77777777" w:rsidTr="00D23555">
        <w:trPr>
          <w:jc w:val="center"/>
        </w:trPr>
        <w:tc>
          <w:tcPr>
            <w:tcW w:w="540" w:type="dxa"/>
            <w:tcBorders>
              <w:top w:val="nil"/>
              <w:left w:val="nil"/>
              <w:bottom w:val="nil"/>
              <w:right w:val="nil"/>
            </w:tcBorders>
          </w:tcPr>
          <w:p w14:paraId="6549AC9A" w14:textId="4D54B0D5" w:rsidR="0073585A" w:rsidRPr="006379BD" w:rsidRDefault="0073585A" w:rsidP="00003003">
            <w:pPr>
              <w:pStyle w:val="Note"/>
              <w:jc w:val="right"/>
            </w:pPr>
            <w:r w:rsidRPr="006379BD">
              <w:t>1</w:t>
            </w:r>
          </w:p>
        </w:tc>
        <w:tc>
          <w:tcPr>
            <w:tcW w:w="3595" w:type="dxa"/>
            <w:gridSpan w:val="3"/>
            <w:tcBorders>
              <w:top w:val="nil"/>
              <w:left w:val="nil"/>
              <w:bottom w:val="nil"/>
              <w:right w:val="nil"/>
            </w:tcBorders>
          </w:tcPr>
          <w:p w14:paraId="5E09BF52" w14:textId="4D80DB14" w:rsidR="0073585A" w:rsidRPr="006379BD" w:rsidRDefault="0073585A" w:rsidP="006379BD">
            <w:pPr>
              <w:pStyle w:val="Note"/>
            </w:pPr>
            <w:r w:rsidRPr="006379BD">
              <w:t>MTCA Method B</w:t>
            </w:r>
          </w:p>
        </w:tc>
      </w:tr>
      <w:tr w:rsidR="00F55A07" w14:paraId="37316D53" w14:textId="77777777" w:rsidTr="00D23555">
        <w:trPr>
          <w:jc w:val="center"/>
        </w:trPr>
        <w:tc>
          <w:tcPr>
            <w:tcW w:w="4135" w:type="dxa"/>
            <w:gridSpan w:val="4"/>
            <w:tcBorders>
              <w:top w:val="nil"/>
              <w:left w:val="nil"/>
              <w:bottom w:val="nil"/>
              <w:right w:val="nil"/>
            </w:tcBorders>
          </w:tcPr>
          <w:p w14:paraId="0E5A3F0C" w14:textId="7684F56F" w:rsidR="00F55A07" w:rsidRDefault="00F55A07" w:rsidP="006379BD">
            <w:pPr>
              <w:pStyle w:val="Notes"/>
            </w:pPr>
            <w:r>
              <w:t>Abbreviation:</w:t>
            </w:r>
          </w:p>
        </w:tc>
      </w:tr>
      <w:tr w:rsidR="00F55A07" w14:paraId="6C7BD266" w14:textId="77777777" w:rsidTr="00D23555">
        <w:trPr>
          <w:jc w:val="center"/>
        </w:trPr>
        <w:tc>
          <w:tcPr>
            <w:tcW w:w="720" w:type="dxa"/>
            <w:gridSpan w:val="2"/>
            <w:tcBorders>
              <w:top w:val="nil"/>
              <w:left w:val="nil"/>
              <w:bottom w:val="nil"/>
              <w:right w:val="nil"/>
            </w:tcBorders>
          </w:tcPr>
          <w:p w14:paraId="5FD9426E" w14:textId="7C9616B7" w:rsidR="00F55A07" w:rsidRDefault="00F55A07" w:rsidP="00003003">
            <w:pPr>
              <w:pStyle w:val="Note"/>
              <w:jc w:val="right"/>
            </w:pPr>
            <w:r>
              <w:t>µg/L</w:t>
            </w:r>
          </w:p>
        </w:tc>
        <w:tc>
          <w:tcPr>
            <w:tcW w:w="3415" w:type="dxa"/>
            <w:gridSpan w:val="2"/>
            <w:tcBorders>
              <w:top w:val="nil"/>
              <w:left w:val="nil"/>
              <w:bottom w:val="nil"/>
              <w:right w:val="nil"/>
            </w:tcBorders>
          </w:tcPr>
          <w:p w14:paraId="7A92CAD2" w14:textId="72D5BC09" w:rsidR="00F55A07" w:rsidRDefault="00F55A07" w:rsidP="006379BD">
            <w:pPr>
              <w:pStyle w:val="Note"/>
            </w:pPr>
            <w:r>
              <w:t>Micrograms per liter</w:t>
            </w:r>
          </w:p>
        </w:tc>
      </w:tr>
    </w:tbl>
    <w:p w14:paraId="478E2DD0" w14:textId="77777777" w:rsidR="00837348" w:rsidRDefault="00837348" w:rsidP="00837348">
      <w:pPr>
        <w:pStyle w:val="NormalZero"/>
      </w:pPr>
    </w:p>
    <w:p w14:paraId="5AF8E424" w14:textId="1921FA5B" w:rsidR="0021004D" w:rsidRDefault="00E758C9" w:rsidP="0036042F">
      <w:pPr>
        <w:pStyle w:val="Heading3"/>
      </w:pPr>
      <w:r>
        <w:t>Remediation</w:t>
      </w:r>
      <w:r w:rsidR="0021004D">
        <w:t xml:space="preserve"> Timeline</w:t>
      </w:r>
    </w:p>
    <w:p w14:paraId="4675F281" w14:textId="0CC5C578" w:rsidR="00F20C10" w:rsidRPr="00561201" w:rsidRDefault="00F20C10" w:rsidP="00837348">
      <w:pPr>
        <w:pStyle w:val="NormalSix"/>
      </w:pPr>
      <w:r w:rsidRPr="00561201">
        <w:t xml:space="preserve">Several environmental investigations </w:t>
      </w:r>
      <w:r w:rsidR="00BE285A">
        <w:t>were completed prior to 2016</w:t>
      </w:r>
      <w:r w:rsidRPr="00561201">
        <w:t xml:space="preserve"> at the Site. The findings of these investigations include</w:t>
      </w:r>
      <w:r w:rsidR="00D54249">
        <w:t xml:space="preserve"> the following</w:t>
      </w:r>
      <w:r w:rsidRPr="00561201">
        <w:t xml:space="preserve">: </w:t>
      </w:r>
    </w:p>
    <w:p w14:paraId="35E51B2D" w14:textId="5C8B28F9" w:rsidR="00F20C10" w:rsidRPr="00561201" w:rsidRDefault="00F20C10" w:rsidP="009E4B36">
      <w:pPr>
        <w:pStyle w:val="Bullet1"/>
      </w:pPr>
      <w:r w:rsidRPr="00561201">
        <w:t xml:space="preserve">A release of an unknown quantity of PCE occurred at the Site between 1989 and 1999 during operation of Simon &amp; Son Fine Drycleaning, and a residual source of PCE remains beneath the northwest corner of the </w:t>
      </w:r>
      <w:r w:rsidR="00CF0D51">
        <w:t>Site</w:t>
      </w:r>
      <w:r w:rsidR="007805EC">
        <w:t>.</w:t>
      </w:r>
      <w:r w:rsidR="004A028F">
        <w:t xml:space="preserve"> </w:t>
      </w:r>
      <w:r w:rsidRPr="00561201">
        <w:t xml:space="preserve"> </w:t>
      </w:r>
    </w:p>
    <w:p w14:paraId="31505ECC" w14:textId="15D5090E" w:rsidR="00F20C10" w:rsidRPr="00561201" w:rsidRDefault="00F20C10" w:rsidP="009E4B36">
      <w:pPr>
        <w:pStyle w:val="Bullet1"/>
      </w:pPr>
      <w:r w:rsidRPr="00561201">
        <w:t>The PCE release(s) affected the soil above and below the water table as well as groundwater at the Site</w:t>
      </w:r>
      <w:r w:rsidR="007805EC">
        <w:t>.</w:t>
      </w:r>
      <w:r w:rsidRPr="00561201">
        <w:t xml:space="preserve"> </w:t>
      </w:r>
    </w:p>
    <w:p w14:paraId="73517C97" w14:textId="377986FE" w:rsidR="00F20C10" w:rsidRPr="00561201" w:rsidRDefault="00F20C10" w:rsidP="009E4B36">
      <w:pPr>
        <w:pStyle w:val="Bullet1"/>
      </w:pPr>
      <w:r w:rsidRPr="00561201">
        <w:t xml:space="preserve">PCE as </w:t>
      </w:r>
      <w:r w:rsidR="00113F8E">
        <w:t>dense non-aqueous phase liquid</w:t>
      </w:r>
      <w:r w:rsidRPr="00561201">
        <w:t xml:space="preserve"> has been encountered on the Site at depths of approximately 45 to 50 feet </w:t>
      </w:r>
      <w:r w:rsidR="00B23415" w:rsidRPr="00561201">
        <w:t xml:space="preserve">below ground surface </w:t>
      </w:r>
      <w:r w:rsidR="00B23415">
        <w:t>(</w:t>
      </w:r>
      <w:r w:rsidRPr="00561201">
        <w:t>bgs</w:t>
      </w:r>
      <w:r w:rsidR="00B23415">
        <w:t>)</w:t>
      </w:r>
      <w:r w:rsidRPr="00561201">
        <w:t xml:space="preserve">. </w:t>
      </w:r>
    </w:p>
    <w:p w14:paraId="5E8104EA" w14:textId="1036D501" w:rsidR="00E66034" w:rsidRPr="00561201" w:rsidRDefault="00F20C10" w:rsidP="009E4B36">
      <w:pPr>
        <w:pStyle w:val="Bullet1"/>
      </w:pPr>
      <w:r w:rsidRPr="00561201">
        <w:lastRenderedPageBreak/>
        <w:t>Groundwater is affected to a depth of at least 50 feet</w:t>
      </w:r>
      <w:r w:rsidR="007805EC">
        <w:t>,</w:t>
      </w:r>
      <w:r w:rsidRPr="00561201">
        <w:t xml:space="preserve"> where a silty stratum occurs in the source area, and at a depth of 30 to 40 feet downgradient and across much of the Site</w:t>
      </w:r>
      <w:r w:rsidR="00E66034">
        <w:t>.</w:t>
      </w:r>
    </w:p>
    <w:p w14:paraId="0501D7E5" w14:textId="79CDDEAB" w:rsidR="00E66034" w:rsidRDefault="00F20C10" w:rsidP="009E4B36">
      <w:pPr>
        <w:pStyle w:val="Bullet1Last"/>
      </w:pPr>
      <w:r w:rsidRPr="00561201">
        <w:t xml:space="preserve">The groundwater plume of </w:t>
      </w:r>
      <w:r w:rsidR="00C117D7">
        <w:t xml:space="preserve">CVOCs </w:t>
      </w:r>
      <w:r w:rsidRPr="00561201">
        <w:t>(i.e.</w:t>
      </w:r>
      <w:r w:rsidR="007805EC">
        <w:t>,</w:t>
      </w:r>
      <w:r w:rsidRPr="00561201">
        <w:t xml:space="preserve"> PCE and its breakdown products) migrated </w:t>
      </w:r>
      <w:r w:rsidR="003A7FA9">
        <w:t>from the source area</w:t>
      </w:r>
      <w:r w:rsidR="004F7A66">
        <w:t xml:space="preserve"> with</w:t>
      </w:r>
      <w:r w:rsidR="003A7FA9">
        <w:t xml:space="preserve"> </w:t>
      </w:r>
      <w:r w:rsidRPr="00561201">
        <w:t>east and east-southeasterly flowing groundwater</w:t>
      </w:r>
      <w:r w:rsidR="007805EC">
        <w:t>.</w:t>
      </w:r>
    </w:p>
    <w:p w14:paraId="24BBE0D0" w14:textId="1DFB8767" w:rsidR="00F20C10" w:rsidRPr="00561201" w:rsidRDefault="00F20C10" w:rsidP="00124F75">
      <w:pPr>
        <w:pStyle w:val="NormalSix"/>
      </w:pPr>
      <w:r w:rsidRPr="00561201">
        <w:t>Prior to 2016, the following interim actions were taken to address high PCE concentrations at the site:</w:t>
      </w:r>
    </w:p>
    <w:p w14:paraId="56AC5AD6" w14:textId="63C8A28C" w:rsidR="00F20C10" w:rsidRPr="00561201" w:rsidRDefault="00F20C10" w:rsidP="00124F75">
      <w:pPr>
        <w:pStyle w:val="Bullet1"/>
      </w:pPr>
      <w:r w:rsidRPr="00561201">
        <w:t>Injection of potassium permanganate into the source for in</w:t>
      </w:r>
      <w:r w:rsidR="00AE3D98">
        <w:t xml:space="preserve"> </w:t>
      </w:r>
      <w:r w:rsidRPr="00561201">
        <w:t>situ chemical oxidation</w:t>
      </w:r>
      <w:r w:rsidR="00AE3D98">
        <w:t>;</w:t>
      </w:r>
      <w:r w:rsidRPr="00561201">
        <w:t xml:space="preserve"> rebound was observed</w:t>
      </w:r>
      <w:r w:rsidR="00AE3D98">
        <w:t>.</w:t>
      </w:r>
    </w:p>
    <w:p w14:paraId="2D25A454" w14:textId="10D727E6" w:rsidR="00F20C10" w:rsidRPr="00561201" w:rsidRDefault="00F20C10" w:rsidP="00124F75">
      <w:pPr>
        <w:pStyle w:val="Bullet1"/>
      </w:pPr>
      <w:r w:rsidRPr="00561201">
        <w:t>A soil vapor extraction (SVE) system was installed to address soil vapor contamination</w:t>
      </w:r>
      <w:r w:rsidR="00AE3D98">
        <w:t>.</w:t>
      </w:r>
    </w:p>
    <w:p w14:paraId="181DE32A" w14:textId="2E7670F7" w:rsidR="00F20C10" w:rsidRPr="00561201" w:rsidRDefault="00F20C10" w:rsidP="00124F75">
      <w:pPr>
        <w:pStyle w:val="Bullet1"/>
      </w:pPr>
      <w:r w:rsidRPr="00561201">
        <w:t>More chemical oxidation injections were performed with hydrogen peroxide and in well cells containing chelated iron and sodium persulfate</w:t>
      </w:r>
      <w:r w:rsidR="00AE3D98">
        <w:t>.</w:t>
      </w:r>
    </w:p>
    <w:p w14:paraId="21A8E9C3" w14:textId="51BF1F2D" w:rsidR="00F20C10" w:rsidRPr="004244FA" w:rsidRDefault="00F20C10" w:rsidP="00124F75">
      <w:pPr>
        <w:pStyle w:val="Bullet1Last"/>
        <w:rPr>
          <w:spacing w:val="-2"/>
        </w:rPr>
      </w:pPr>
      <w:r w:rsidRPr="004244FA">
        <w:rPr>
          <w:spacing w:val="-2"/>
        </w:rPr>
        <w:t xml:space="preserve">After additional data </w:t>
      </w:r>
      <w:r w:rsidR="00803504" w:rsidRPr="004244FA">
        <w:rPr>
          <w:spacing w:val="-2"/>
        </w:rPr>
        <w:t>was</w:t>
      </w:r>
      <w:r w:rsidRPr="004244FA">
        <w:rPr>
          <w:spacing w:val="-2"/>
        </w:rPr>
        <w:t xml:space="preserve"> collected, bioremediation was found to be a suitable solution and several rounds of EOS Remediation products were injected at the </w:t>
      </w:r>
      <w:r w:rsidR="00AE3D98" w:rsidRPr="004244FA">
        <w:rPr>
          <w:spacing w:val="-2"/>
        </w:rPr>
        <w:t>S</w:t>
      </w:r>
      <w:r w:rsidRPr="004244FA">
        <w:rPr>
          <w:spacing w:val="-2"/>
        </w:rPr>
        <w:t>ite</w:t>
      </w:r>
      <w:r w:rsidR="00F248F6" w:rsidRPr="004244FA">
        <w:rPr>
          <w:spacing w:val="-2"/>
        </w:rPr>
        <w:t>,</w:t>
      </w:r>
      <w:r w:rsidRPr="004244FA">
        <w:rPr>
          <w:spacing w:val="-2"/>
        </w:rPr>
        <w:t xml:space="preserve"> along with bioaugmentation of </w:t>
      </w:r>
      <w:r w:rsidRPr="004244FA">
        <w:rPr>
          <w:i/>
          <w:iCs/>
          <w:spacing w:val="-2"/>
        </w:rPr>
        <w:t>dehalococcoides</w:t>
      </w:r>
      <w:r w:rsidRPr="004244FA">
        <w:rPr>
          <w:spacing w:val="-2"/>
        </w:rPr>
        <w:t xml:space="preserve"> (DHC)</w:t>
      </w:r>
      <w:r w:rsidR="00FE5873" w:rsidRPr="004244FA">
        <w:rPr>
          <w:spacing w:val="-2"/>
        </w:rPr>
        <w:t>,</w:t>
      </w:r>
      <w:r w:rsidRPr="004244FA">
        <w:rPr>
          <w:spacing w:val="-2"/>
        </w:rPr>
        <w:t xml:space="preserve"> which was found to be successful</w:t>
      </w:r>
      <w:r w:rsidR="00FE5873" w:rsidRPr="004244FA">
        <w:rPr>
          <w:spacing w:val="-2"/>
        </w:rPr>
        <w:t>.</w:t>
      </w:r>
    </w:p>
    <w:p w14:paraId="05502692" w14:textId="045764A9" w:rsidR="00E758C9" w:rsidRDefault="00E758C9" w:rsidP="00E758C9">
      <w:pPr>
        <w:pStyle w:val="Heading4"/>
      </w:pPr>
      <w:r>
        <w:t xml:space="preserve">Thermal and </w:t>
      </w:r>
      <w:r w:rsidR="00FE5873">
        <w:t>S</w:t>
      </w:r>
      <w:r w:rsidR="00FE5873" w:rsidRPr="00561201">
        <w:t xml:space="preserve">oil </w:t>
      </w:r>
      <w:r w:rsidR="00FE5873">
        <w:t>V</w:t>
      </w:r>
      <w:r w:rsidR="00FE5873" w:rsidRPr="00561201">
        <w:t xml:space="preserve">apor </w:t>
      </w:r>
      <w:r w:rsidR="00FE5873">
        <w:t>E</w:t>
      </w:r>
      <w:r w:rsidR="00FE5873" w:rsidRPr="00561201">
        <w:t>xtraction</w:t>
      </w:r>
      <w:r w:rsidR="00E005B0">
        <w:t xml:space="preserve"> </w:t>
      </w:r>
      <w:r>
        <w:t>System</w:t>
      </w:r>
    </w:p>
    <w:p w14:paraId="64630973" w14:textId="58BD5670" w:rsidR="00AB326C" w:rsidRPr="004244FA" w:rsidRDefault="00AB326C" w:rsidP="00AB326C">
      <w:pPr>
        <w:rPr>
          <w:spacing w:val="-2"/>
        </w:rPr>
      </w:pPr>
      <w:r w:rsidRPr="004244FA">
        <w:rPr>
          <w:spacing w:val="-2"/>
        </w:rPr>
        <w:t>To address soil contamination in the source area on the western side of the property, an electric resistance heating in situ remediation technique was constructed. In total, 27 heating well locations were installed primarily in the 5</w:t>
      </w:r>
      <w:r w:rsidR="00F248F6" w:rsidRPr="004244FA">
        <w:rPr>
          <w:spacing w:val="-2"/>
        </w:rPr>
        <w:t xml:space="preserve"> to </w:t>
      </w:r>
      <w:r w:rsidRPr="004244FA">
        <w:rPr>
          <w:spacing w:val="-2"/>
        </w:rPr>
        <w:t>25 foot bgs range</w:t>
      </w:r>
      <w:r w:rsidR="002C57D0" w:rsidRPr="004244FA">
        <w:rPr>
          <w:spacing w:val="-2"/>
        </w:rPr>
        <w:t>,</w:t>
      </w:r>
      <w:r w:rsidRPr="004244FA">
        <w:rPr>
          <w:spacing w:val="-2"/>
        </w:rPr>
        <w:t xml:space="preserve"> with some locations advancing to 55 feet bgs. This system operated for approximately 6 months in 2018 in conjunction with the SVE system installed as an interim action. The process was successful in reducing soil concentrations on the west side of the property to less than </w:t>
      </w:r>
      <w:r w:rsidR="003A7ED7" w:rsidRPr="004244FA">
        <w:rPr>
          <w:spacing w:val="-2"/>
        </w:rPr>
        <w:t>CULs</w:t>
      </w:r>
      <w:r w:rsidRPr="004244FA">
        <w:rPr>
          <w:spacing w:val="-2"/>
        </w:rPr>
        <w:t xml:space="preserve"> for PCE. Additionally, two small, targeted areas of soil were excavated on the eastern side of the property for removal of PCE source material.</w:t>
      </w:r>
    </w:p>
    <w:p w14:paraId="17873593" w14:textId="0ABB3543" w:rsidR="00FD4E61" w:rsidRPr="00FD4E61" w:rsidRDefault="00FD4E61" w:rsidP="00D23555">
      <w:pPr>
        <w:pStyle w:val="Heading4"/>
      </w:pPr>
      <w:r w:rsidRPr="00FD4E61">
        <w:t xml:space="preserve">Bioremediation and Recirculation </w:t>
      </w:r>
      <w:r w:rsidR="00F967FF">
        <w:t>C</w:t>
      </w:r>
      <w:r w:rsidRPr="00FD4E61">
        <w:t>ommenced in 2020</w:t>
      </w:r>
    </w:p>
    <w:p w14:paraId="466E603C" w14:textId="7A81F616" w:rsidR="00AB326C" w:rsidRPr="00561201" w:rsidRDefault="00AB326C" w:rsidP="00AB326C">
      <w:r w:rsidRPr="00561201">
        <w:t xml:space="preserve">Since the completion of the </w:t>
      </w:r>
      <w:r w:rsidR="00B125B3" w:rsidRPr="00561201">
        <w:t>electric resistance heating</w:t>
      </w:r>
      <w:r w:rsidRPr="00561201">
        <w:t xml:space="preserve">, a groundwater </w:t>
      </w:r>
      <w:r w:rsidR="00336278">
        <w:t xml:space="preserve">bioremediation and </w:t>
      </w:r>
      <w:r w:rsidRPr="00561201">
        <w:t xml:space="preserve">recirculation system has been operating to address the remaining extent of the </w:t>
      </w:r>
      <w:r w:rsidR="009A346D">
        <w:t xml:space="preserve">CVOC </w:t>
      </w:r>
      <w:r w:rsidRPr="00561201">
        <w:t xml:space="preserve">plume. This system consists of 12 extraction wells and 12 injection wells at three different intervals of the saturated zone: shallow, intermediate, and deep. The groundwater recirculation system is an automated, programmable treatment process to extract contaminated groundwater, run the groundwater through activated carbon to remove </w:t>
      </w:r>
      <w:r w:rsidR="009B2881">
        <w:t>CVOCs</w:t>
      </w:r>
      <w:r w:rsidRPr="00561201">
        <w:t xml:space="preserve">, add an organic carbon remedial substrate, and reinject the groundwater/substrate mixture back into the aquifer. This recirculation provides a continuous supply of remedial substrate to be utilized by the established microbial community responsible for the enhanced reductive dechlorination process. The recirculation loop is also intended to provide a degree of hydraulic control to mitigate downgradient migration of the contaminated groundwater plume. </w:t>
      </w:r>
    </w:p>
    <w:p w14:paraId="48D66810" w14:textId="7409A8BF" w:rsidR="00AB326C" w:rsidRPr="00AB326C" w:rsidRDefault="00AB326C" w:rsidP="00AB326C">
      <w:r w:rsidRPr="00561201">
        <w:lastRenderedPageBreak/>
        <w:t xml:space="preserve">Initially after startup, a reduction in PCE concentrations in groundwater was observed, with some of the most highly contaminated portions of the plume experiencing a significant decrease in PCE. However, monitoring event results </w:t>
      </w:r>
      <w:r w:rsidR="009B1330">
        <w:t xml:space="preserve">after 2021 </w:t>
      </w:r>
      <w:r w:rsidRPr="00561201">
        <w:t xml:space="preserve">indicate </w:t>
      </w:r>
      <w:r w:rsidR="00BC36F9">
        <w:t xml:space="preserve">a slight </w:t>
      </w:r>
      <w:r w:rsidRPr="00561201">
        <w:t>rebound near the northwest quadrant of the property</w:t>
      </w:r>
      <w:r w:rsidR="00CE6D2D">
        <w:t>,</w:t>
      </w:r>
      <w:r w:rsidRPr="00561201">
        <w:t xml:space="preserve"> which is attributed to sorbed PCE in saturated soil diffusing back to groundwater more quickly than it is degraded by </w:t>
      </w:r>
      <w:r w:rsidR="00436CEA" w:rsidRPr="00561201">
        <w:t>enhanced reductive dechlorination</w:t>
      </w:r>
      <w:r w:rsidRPr="00561201">
        <w:t>.</w:t>
      </w:r>
    </w:p>
    <w:p w14:paraId="292FCB8B" w14:textId="26A0998A" w:rsidR="00EC6CE1" w:rsidRDefault="00E005B0" w:rsidP="00BE4A37">
      <w:pPr>
        <w:pStyle w:val="Heading4"/>
      </w:pPr>
      <w:r>
        <w:t xml:space="preserve">New Alexan Multi-Use </w:t>
      </w:r>
      <w:r w:rsidR="00EC6CE1">
        <w:t>Building Construction and Vapor Barrier</w:t>
      </w:r>
    </w:p>
    <w:p w14:paraId="4E212C84" w14:textId="2F24AB1C" w:rsidR="00A73941" w:rsidRPr="004244FA" w:rsidRDefault="00DF0580" w:rsidP="00317D19">
      <w:pPr>
        <w:rPr>
          <w:spacing w:val="-2"/>
        </w:rPr>
      </w:pPr>
      <w:r w:rsidRPr="004244FA">
        <w:rPr>
          <w:spacing w:val="-2"/>
        </w:rPr>
        <w:t xml:space="preserve">The development of the Site into the Alexan </w:t>
      </w:r>
      <w:r w:rsidR="00AE14C1" w:rsidRPr="004244FA">
        <w:rPr>
          <w:spacing w:val="-2"/>
        </w:rPr>
        <w:t xml:space="preserve">Main Street </w:t>
      </w:r>
      <w:r w:rsidRPr="004244FA">
        <w:rPr>
          <w:spacing w:val="-2"/>
        </w:rPr>
        <w:t>Apartments</w:t>
      </w:r>
      <w:r w:rsidR="00970EB9" w:rsidRPr="004244FA">
        <w:rPr>
          <w:spacing w:val="-2"/>
        </w:rPr>
        <w:t xml:space="preserve"> (Alexan Multi-Use)</w:t>
      </w:r>
      <w:r w:rsidRPr="004244FA">
        <w:rPr>
          <w:spacing w:val="-2"/>
        </w:rPr>
        <w:t xml:space="preserve"> </w:t>
      </w:r>
      <w:r w:rsidR="005E26F8" w:rsidRPr="004244FA">
        <w:rPr>
          <w:spacing w:val="-2"/>
        </w:rPr>
        <w:t>began in 2022</w:t>
      </w:r>
      <w:r w:rsidR="002F6083" w:rsidRPr="004244FA">
        <w:rPr>
          <w:spacing w:val="-2"/>
        </w:rPr>
        <w:t xml:space="preserve"> and was substantially completed in 2024. </w:t>
      </w:r>
      <w:r w:rsidR="00B24BBA" w:rsidRPr="004244FA">
        <w:rPr>
          <w:spacing w:val="-2"/>
        </w:rPr>
        <w:t>Alexan</w:t>
      </w:r>
      <w:r w:rsidR="00970EB9" w:rsidRPr="004244FA">
        <w:rPr>
          <w:spacing w:val="-2"/>
        </w:rPr>
        <w:t xml:space="preserve"> Multi-Use </w:t>
      </w:r>
      <w:r w:rsidR="00681CCE" w:rsidRPr="004244FA">
        <w:rPr>
          <w:spacing w:val="-2"/>
        </w:rPr>
        <w:t xml:space="preserve">is a </w:t>
      </w:r>
      <w:r w:rsidR="003F6150" w:rsidRPr="004244FA">
        <w:rPr>
          <w:spacing w:val="-2"/>
        </w:rPr>
        <w:t>six-story</w:t>
      </w:r>
      <w:r w:rsidR="00681CCE" w:rsidRPr="004244FA">
        <w:rPr>
          <w:spacing w:val="-2"/>
        </w:rPr>
        <w:t xml:space="preserve"> apartment building with residential and commercial spaces</w:t>
      </w:r>
      <w:r w:rsidR="002E78C1" w:rsidRPr="004244FA">
        <w:rPr>
          <w:spacing w:val="-2"/>
        </w:rPr>
        <w:t xml:space="preserve">. </w:t>
      </w:r>
      <w:r w:rsidR="00446A00" w:rsidRPr="004244FA">
        <w:rPr>
          <w:spacing w:val="-2"/>
        </w:rPr>
        <w:t>The first level of the build</w:t>
      </w:r>
      <w:r w:rsidR="007C1455" w:rsidRPr="004244FA">
        <w:rPr>
          <w:spacing w:val="-2"/>
        </w:rPr>
        <w:t xml:space="preserve">ing consists of a parking garage on the interior, residential </w:t>
      </w:r>
      <w:r w:rsidR="00AE02AD" w:rsidRPr="004244FA">
        <w:rPr>
          <w:spacing w:val="-2"/>
        </w:rPr>
        <w:t>apartments along 98</w:t>
      </w:r>
      <w:r w:rsidR="00AE02AD" w:rsidRPr="004244FA">
        <w:rPr>
          <w:spacing w:val="-2"/>
          <w:vertAlign w:val="superscript"/>
        </w:rPr>
        <w:t>th</w:t>
      </w:r>
      <w:r w:rsidR="00AE02AD" w:rsidRPr="004244FA">
        <w:rPr>
          <w:spacing w:val="-2"/>
        </w:rPr>
        <w:t xml:space="preserve"> Avenue and Main Street</w:t>
      </w:r>
      <w:r w:rsidR="008E2DD1" w:rsidRPr="004244FA">
        <w:rPr>
          <w:spacing w:val="-2"/>
        </w:rPr>
        <w:t>, and commercial space along Bothell Way NE</w:t>
      </w:r>
      <w:r w:rsidR="00C3641A" w:rsidRPr="004244FA">
        <w:rPr>
          <w:spacing w:val="-2"/>
        </w:rPr>
        <w:t>.</w:t>
      </w:r>
      <w:r w:rsidR="002F6083" w:rsidRPr="004244FA">
        <w:rPr>
          <w:spacing w:val="-2"/>
        </w:rPr>
        <w:t xml:space="preserve"> During the construction of the foundation and vapor barrier</w:t>
      </w:r>
      <w:r w:rsidR="006A44E2" w:rsidRPr="004244FA">
        <w:rPr>
          <w:spacing w:val="-2"/>
        </w:rPr>
        <w:t xml:space="preserve"> of the building,</w:t>
      </w:r>
      <w:r w:rsidR="00D6687D" w:rsidRPr="004244FA">
        <w:rPr>
          <w:spacing w:val="-2"/>
        </w:rPr>
        <w:t xml:space="preserve"> groundwater </w:t>
      </w:r>
      <w:r w:rsidR="001B1E2E" w:rsidRPr="004244FA">
        <w:rPr>
          <w:spacing w:val="-2"/>
        </w:rPr>
        <w:t xml:space="preserve">bioremediation </w:t>
      </w:r>
      <w:r w:rsidR="006A44E2" w:rsidRPr="004244FA">
        <w:rPr>
          <w:spacing w:val="-2"/>
        </w:rPr>
        <w:t xml:space="preserve">treatment system operation was paused to </w:t>
      </w:r>
      <w:r w:rsidR="00F61AF0" w:rsidRPr="004244FA">
        <w:rPr>
          <w:spacing w:val="-2"/>
        </w:rPr>
        <w:t xml:space="preserve">bury all treatment system </w:t>
      </w:r>
      <w:r w:rsidR="00D01127" w:rsidRPr="004244FA">
        <w:rPr>
          <w:spacing w:val="-2"/>
        </w:rPr>
        <w:t>piping between the injection and extraction wells and the treatment system</w:t>
      </w:r>
      <w:r w:rsidR="0063222A" w:rsidRPr="004244FA">
        <w:rPr>
          <w:spacing w:val="-2"/>
        </w:rPr>
        <w:t>.</w:t>
      </w:r>
      <w:r w:rsidR="00C3641A" w:rsidRPr="004244FA">
        <w:rPr>
          <w:spacing w:val="-2"/>
        </w:rPr>
        <w:t xml:space="preserve"> The bioremediation treatment system </w:t>
      </w:r>
      <w:r w:rsidR="00B37194" w:rsidRPr="004244FA">
        <w:rPr>
          <w:spacing w:val="-2"/>
        </w:rPr>
        <w:t>shed is</w:t>
      </w:r>
      <w:r w:rsidR="0063222A" w:rsidRPr="004244FA">
        <w:rPr>
          <w:spacing w:val="-2"/>
        </w:rPr>
        <w:t xml:space="preserve"> now</w:t>
      </w:r>
      <w:r w:rsidR="00B37194" w:rsidRPr="004244FA">
        <w:rPr>
          <w:spacing w:val="-2"/>
        </w:rPr>
        <w:t xml:space="preserve"> located in the northwest corner of the </w:t>
      </w:r>
      <w:r w:rsidR="00AD44C1" w:rsidRPr="004244FA">
        <w:rPr>
          <w:spacing w:val="-2"/>
        </w:rPr>
        <w:t xml:space="preserve">garage level </w:t>
      </w:r>
      <w:r w:rsidR="0063222A" w:rsidRPr="004244FA">
        <w:rPr>
          <w:spacing w:val="-2"/>
        </w:rPr>
        <w:t xml:space="preserve">contained </w:t>
      </w:r>
      <w:r w:rsidR="00CD631E" w:rsidRPr="004244FA">
        <w:rPr>
          <w:spacing w:val="-2"/>
        </w:rPr>
        <w:t>with</w:t>
      </w:r>
      <w:r w:rsidR="0063222A" w:rsidRPr="004244FA">
        <w:rPr>
          <w:spacing w:val="-2"/>
        </w:rPr>
        <w:t>in</w:t>
      </w:r>
      <w:r w:rsidR="00CD631E" w:rsidRPr="004244FA">
        <w:rPr>
          <w:spacing w:val="-2"/>
        </w:rPr>
        <w:t xml:space="preserve"> a fenced</w:t>
      </w:r>
      <w:r w:rsidR="00CE6D2D" w:rsidRPr="004244FA">
        <w:rPr>
          <w:spacing w:val="-2"/>
        </w:rPr>
        <w:t>-</w:t>
      </w:r>
      <w:r w:rsidR="00CD631E" w:rsidRPr="004244FA">
        <w:rPr>
          <w:spacing w:val="-2"/>
        </w:rPr>
        <w:t>off area con</w:t>
      </w:r>
      <w:r w:rsidR="00632A5B" w:rsidRPr="004244FA">
        <w:rPr>
          <w:spacing w:val="-2"/>
        </w:rPr>
        <w:t>sisting of</w:t>
      </w:r>
      <w:r w:rsidR="00CD631E" w:rsidRPr="004244FA">
        <w:rPr>
          <w:spacing w:val="-2"/>
        </w:rPr>
        <w:t xml:space="preserve"> three parking spaces</w:t>
      </w:r>
      <w:r w:rsidR="00632A5B" w:rsidRPr="004244FA">
        <w:rPr>
          <w:spacing w:val="-2"/>
        </w:rPr>
        <w:t xml:space="preserve">. </w:t>
      </w:r>
      <w:r w:rsidR="00F4082E" w:rsidRPr="004244FA">
        <w:rPr>
          <w:spacing w:val="-2"/>
        </w:rPr>
        <w:t xml:space="preserve">Figure 2 is a Site </w:t>
      </w:r>
      <w:r w:rsidR="001C5DEE" w:rsidRPr="004244FA">
        <w:rPr>
          <w:spacing w:val="-2"/>
        </w:rPr>
        <w:t>m</w:t>
      </w:r>
      <w:r w:rsidR="004A5A77" w:rsidRPr="004244FA">
        <w:rPr>
          <w:spacing w:val="-2"/>
        </w:rPr>
        <w:t xml:space="preserve">ap that shows the building footprint, layout, </w:t>
      </w:r>
      <w:r w:rsidR="00816E56" w:rsidRPr="004244FA">
        <w:rPr>
          <w:spacing w:val="-2"/>
        </w:rPr>
        <w:t>and the monitoring, injection, and extraction wells</w:t>
      </w:r>
      <w:r w:rsidR="006D31AA" w:rsidRPr="004244FA">
        <w:rPr>
          <w:spacing w:val="-2"/>
        </w:rPr>
        <w:t xml:space="preserve">. </w:t>
      </w:r>
    </w:p>
    <w:p w14:paraId="58FD8D93" w14:textId="567C0B18" w:rsidR="0057117A" w:rsidRDefault="00897C90" w:rsidP="00317D19">
      <w:r>
        <w:t xml:space="preserve">In accordance with the restrictions and requirements outlined in the environmental </w:t>
      </w:r>
      <w:r w:rsidR="008D573F">
        <w:t>covenant</w:t>
      </w:r>
      <w:r>
        <w:t xml:space="preserve"> </w:t>
      </w:r>
      <w:r w:rsidR="003A47A9">
        <w:t xml:space="preserve">implemented for the property, and as part of the redevelopment of the Site, Terracon oversaw the installation of a Vapor Intrusion Mitigation System that consists of </w:t>
      </w:r>
      <w:r w:rsidR="00DA7AE1">
        <w:t xml:space="preserve">subgrade vent piping and </w:t>
      </w:r>
      <w:r w:rsidR="00AD27D2">
        <w:t>two</w:t>
      </w:r>
      <w:r w:rsidR="00DA7AE1">
        <w:t xml:space="preserve"> vapor membrane</w:t>
      </w:r>
      <w:r w:rsidR="00AD27D2">
        <w:t>s</w:t>
      </w:r>
      <w:r w:rsidR="00DA7AE1">
        <w:t xml:space="preserve"> rated to </w:t>
      </w:r>
      <w:r w:rsidR="0083121F">
        <w:t xml:space="preserve">mitigate </w:t>
      </w:r>
      <w:r w:rsidR="005B556F">
        <w:t>vapor intrusion</w:t>
      </w:r>
      <w:r w:rsidR="0083121F">
        <w:t xml:space="preserve"> of </w:t>
      </w:r>
      <w:r w:rsidR="004447B9">
        <w:t>C</w:t>
      </w:r>
      <w:r w:rsidR="00DA7AE1">
        <w:t>VOCs.</w:t>
      </w:r>
    </w:p>
    <w:p w14:paraId="1E892C29" w14:textId="2C3B22D6" w:rsidR="008D573F" w:rsidRDefault="008D573F" w:rsidP="00317D19">
      <w:r>
        <w:t xml:space="preserve">At the request of </w:t>
      </w:r>
      <w:r w:rsidR="001C5DEE">
        <w:t>the Washington State Department of Ecology (</w:t>
      </w:r>
      <w:r w:rsidR="00D55D42">
        <w:t>Ecology</w:t>
      </w:r>
      <w:r w:rsidR="001C5DEE">
        <w:t>)</w:t>
      </w:r>
      <w:r w:rsidR="00D55D42">
        <w:t xml:space="preserve"> that was conveyed through </w:t>
      </w:r>
      <w:r>
        <w:t xml:space="preserve">the City, Terracon prepared </w:t>
      </w:r>
      <w:r w:rsidR="00E4701E">
        <w:t>the sampling w</w:t>
      </w:r>
      <w:r>
        <w:t xml:space="preserve">ork </w:t>
      </w:r>
      <w:r w:rsidR="00E4701E">
        <w:t>p</w:t>
      </w:r>
      <w:r>
        <w:t>lan to perform indoor air and subslab soil gas sampling via existing sampling ports prior to occupancy of the Site building in general accordance with the CD.</w:t>
      </w:r>
    </w:p>
    <w:p w14:paraId="2C921ABD" w14:textId="2029624B" w:rsidR="00317D19" w:rsidRPr="00317D19" w:rsidRDefault="00FD5CC4" w:rsidP="00317D19">
      <w:r>
        <w:t xml:space="preserve">Once redevelopment activities were completed </w:t>
      </w:r>
      <w:r w:rsidR="00317D19">
        <w:t>inside and outside the building</w:t>
      </w:r>
      <w:r>
        <w:t xml:space="preserve">, the </w:t>
      </w:r>
      <w:r w:rsidR="0033325C">
        <w:t xml:space="preserve">groundwater monitoring and injection/extraction </w:t>
      </w:r>
      <w:r w:rsidR="00942A6E">
        <w:t>well</w:t>
      </w:r>
      <w:r w:rsidR="00E02EF0">
        <w:t xml:space="preserve"> casings and well boxes</w:t>
      </w:r>
      <w:r w:rsidR="00317D19">
        <w:t xml:space="preserve"> were brought to grade at the garage level through the foundation, </w:t>
      </w:r>
      <w:r w:rsidR="00213AEF">
        <w:t xml:space="preserve">through </w:t>
      </w:r>
      <w:r w:rsidR="00317D19">
        <w:t xml:space="preserve">surrounding sidewalks, </w:t>
      </w:r>
      <w:r w:rsidR="00163292">
        <w:t xml:space="preserve">and within </w:t>
      </w:r>
      <w:r w:rsidR="002048CA">
        <w:t xml:space="preserve">roadways </w:t>
      </w:r>
      <w:r w:rsidR="00791245">
        <w:t xml:space="preserve">along </w:t>
      </w:r>
      <w:r w:rsidR="00317D19">
        <w:t>98</w:t>
      </w:r>
      <w:r w:rsidR="00317D19" w:rsidRPr="001A10F6">
        <w:rPr>
          <w:vertAlign w:val="superscript"/>
        </w:rPr>
        <w:t>th</w:t>
      </w:r>
      <w:r w:rsidR="00317D19">
        <w:t xml:space="preserve"> Ave</w:t>
      </w:r>
      <w:r w:rsidR="00557E1F">
        <w:t>nue</w:t>
      </w:r>
      <w:r w:rsidR="00317D19">
        <w:t xml:space="preserve"> and Main St</w:t>
      </w:r>
      <w:r w:rsidR="00791245">
        <w:t>reet.</w:t>
      </w:r>
    </w:p>
    <w:p w14:paraId="37F74C9C" w14:textId="7493475E" w:rsidR="0021004D" w:rsidRDefault="0021004D" w:rsidP="0036042F">
      <w:pPr>
        <w:pStyle w:val="Heading2"/>
      </w:pPr>
      <w:r>
        <w:t>Summary of Optimization</w:t>
      </w:r>
    </w:p>
    <w:p w14:paraId="2CD18236" w14:textId="4ADB44D9" w:rsidR="00B81D0B" w:rsidRPr="00A84CEF" w:rsidRDefault="00B81D0B" w:rsidP="00B81D0B">
      <w:r>
        <w:t xml:space="preserve">Since the transfer of this project to Floyd|Snider at the beginning of March 2024, steps have been taken to </w:t>
      </w:r>
      <w:r w:rsidR="002F61E0">
        <w:t>understand and optimize the treatment system</w:t>
      </w:r>
      <w:r w:rsidR="00933A99">
        <w:t xml:space="preserve"> by reviewing the </w:t>
      </w:r>
      <w:r w:rsidR="00850760">
        <w:t>analytical</w:t>
      </w:r>
      <w:r w:rsidR="00933A99">
        <w:t xml:space="preserve"> data and understanding the system operation</w:t>
      </w:r>
      <w:r w:rsidR="002F61E0">
        <w:t xml:space="preserve">. </w:t>
      </w:r>
      <w:r w:rsidR="00E47FBE">
        <w:t xml:space="preserve">The </w:t>
      </w:r>
      <w:r w:rsidR="00557E1F">
        <w:t>s</w:t>
      </w:r>
      <w:r w:rsidR="00E47FBE">
        <w:t xml:space="preserve">pring </w:t>
      </w:r>
      <w:r w:rsidR="00C56138">
        <w:t xml:space="preserve">sampling event, </w:t>
      </w:r>
      <w:r w:rsidR="00F62703">
        <w:t xml:space="preserve">the </w:t>
      </w:r>
      <w:r w:rsidR="00C56138">
        <w:t>first semiannual event of the year, was conducted in April</w:t>
      </w:r>
      <w:r w:rsidR="008A32FA">
        <w:t>,</w:t>
      </w:r>
      <w:r w:rsidR="00C56138">
        <w:t xml:space="preserve"> and all s</w:t>
      </w:r>
      <w:r w:rsidR="00814B36">
        <w:t xml:space="preserve">ignificant operational changes </w:t>
      </w:r>
      <w:r w:rsidR="00E762AF">
        <w:t xml:space="preserve">to help optimize the system </w:t>
      </w:r>
      <w:r w:rsidR="00814B36">
        <w:t>occurred after th</w:t>
      </w:r>
      <w:r w:rsidR="00E762AF">
        <w:t>e April 2024 sampling</w:t>
      </w:r>
      <w:r w:rsidR="00814B36">
        <w:t xml:space="preserve"> event. </w:t>
      </w:r>
    </w:p>
    <w:p w14:paraId="46E4A0C0" w14:textId="5C3443E1" w:rsidR="00890F24" w:rsidRDefault="004D19A7" w:rsidP="004244FA">
      <w:pPr>
        <w:pStyle w:val="Heading3"/>
        <w:spacing w:after="200"/>
      </w:pPr>
      <w:r>
        <w:lastRenderedPageBreak/>
        <w:t xml:space="preserve">Data </w:t>
      </w:r>
      <w:r w:rsidR="00890F24">
        <w:t xml:space="preserve">Review </w:t>
      </w:r>
      <w:r>
        <w:t xml:space="preserve">and </w:t>
      </w:r>
      <w:r w:rsidR="006C2ACC">
        <w:t>Assessment</w:t>
      </w:r>
      <w:r>
        <w:t xml:space="preserve"> </w:t>
      </w:r>
    </w:p>
    <w:p w14:paraId="29DEABD0" w14:textId="5D189B76" w:rsidR="00E46E8B" w:rsidRDefault="003B40B6" w:rsidP="004244FA">
      <w:pPr>
        <w:spacing w:after="200"/>
      </w:pPr>
      <w:r>
        <w:t>A review of the existing groundwater sampling data</w:t>
      </w:r>
      <w:r w:rsidR="00531AF8">
        <w:t xml:space="preserve"> (Tables 1 through </w:t>
      </w:r>
      <w:r w:rsidR="004E4817">
        <w:t>4</w:t>
      </w:r>
      <w:r w:rsidR="00531AF8">
        <w:t>)</w:t>
      </w:r>
      <w:r w:rsidR="001A1087">
        <w:t xml:space="preserve"> </w:t>
      </w:r>
      <w:r w:rsidR="00431383">
        <w:t>between the startup of</w:t>
      </w:r>
      <w:r w:rsidR="005367D9">
        <w:t xml:space="preserve"> the </w:t>
      </w:r>
      <w:r w:rsidR="00431383">
        <w:t xml:space="preserve">bioremediation </w:t>
      </w:r>
      <w:r w:rsidR="005367D9">
        <w:t xml:space="preserve">system </w:t>
      </w:r>
      <w:r w:rsidR="00431383">
        <w:t xml:space="preserve">and </w:t>
      </w:r>
      <w:r w:rsidR="001A1087">
        <w:t>prior to 2024</w:t>
      </w:r>
      <w:r w:rsidR="00132147">
        <w:t xml:space="preserve"> (Attachment 4)</w:t>
      </w:r>
      <w:r w:rsidR="00254C3C">
        <w:t xml:space="preserve"> indicate</w:t>
      </w:r>
      <w:r>
        <w:t xml:space="preserve"> that </w:t>
      </w:r>
      <w:r w:rsidR="00B57940">
        <w:t xml:space="preserve">CVOC concentrations were not declining as quickly </w:t>
      </w:r>
      <w:r w:rsidR="00480F54">
        <w:t>as projected</w:t>
      </w:r>
      <w:r w:rsidR="00846E2D">
        <w:t xml:space="preserve">. </w:t>
      </w:r>
      <w:r w:rsidR="0068501E">
        <w:t>Oxidation</w:t>
      </w:r>
      <w:r w:rsidR="002014E7">
        <w:t>–</w:t>
      </w:r>
      <w:r w:rsidR="0068501E">
        <w:t>reduction potential (</w:t>
      </w:r>
      <w:r w:rsidR="00774973" w:rsidRPr="00774973">
        <w:t>ORP</w:t>
      </w:r>
      <w:r w:rsidR="0068501E">
        <w:t>)</w:t>
      </w:r>
      <w:r w:rsidR="00774973" w:rsidRPr="00774973">
        <w:t xml:space="preserve"> </w:t>
      </w:r>
      <w:r w:rsidR="00E46E8B">
        <w:t xml:space="preserve">and </w:t>
      </w:r>
      <w:r w:rsidR="0068501E">
        <w:t>dissolved oxygen (</w:t>
      </w:r>
      <w:r w:rsidR="00E46E8B">
        <w:t>DO</w:t>
      </w:r>
      <w:r w:rsidR="0068501E">
        <w:t>)</w:t>
      </w:r>
      <w:r w:rsidR="00E46E8B">
        <w:t xml:space="preserve"> </w:t>
      </w:r>
      <w:r w:rsidR="000638F0">
        <w:t xml:space="preserve">readings </w:t>
      </w:r>
      <w:r w:rsidR="00774973" w:rsidRPr="00774973">
        <w:t xml:space="preserve">provide </w:t>
      </w:r>
      <w:r w:rsidR="000638F0">
        <w:t>insight</w:t>
      </w:r>
      <w:r w:rsidR="00774973" w:rsidRPr="00774973">
        <w:t xml:space="preserve"> on </w:t>
      </w:r>
      <w:r w:rsidR="009350E1" w:rsidRPr="00774973">
        <w:t>whether</w:t>
      </w:r>
      <w:r w:rsidR="00774973" w:rsidRPr="00774973">
        <w:t xml:space="preserve"> anaerobic</w:t>
      </w:r>
      <w:r w:rsidR="00774973">
        <w:t xml:space="preserve"> </w:t>
      </w:r>
      <w:r w:rsidR="00774973" w:rsidRPr="00774973">
        <w:t>conditions are present</w:t>
      </w:r>
      <w:r w:rsidR="00E46E8B">
        <w:t xml:space="preserve">. </w:t>
      </w:r>
      <w:r w:rsidR="009350E1">
        <w:t>ORP readings should</w:t>
      </w:r>
      <w:r w:rsidR="00BD49A5">
        <w:t xml:space="preserve"> be negative</w:t>
      </w:r>
      <w:r w:rsidR="0089502D">
        <w:t>,</w:t>
      </w:r>
      <w:r w:rsidR="00BD49A5">
        <w:t xml:space="preserve"> and </w:t>
      </w:r>
      <w:r w:rsidR="00E46E8B">
        <w:t xml:space="preserve">DO </w:t>
      </w:r>
      <w:r w:rsidR="0089502D">
        <w:t>must</w:t>
      </w:r>
      <w:r w:rsidR="00BD49A5">
        <w:t xml:space="preserve"> </w:t>
      </w:r>
      <w:r w:rsidR="00E46E8B">
        <w:t xml:space="preserve">be depleted </w:t>
      </w:r>
      <w:r w:rsidR="00E46E8B" w:rsidRPr="00E46E8B">
        <w:t>in</w:t>
      </w:r>
      <w:r w:rsidR="00E46E8B">
        <w:t xml:space="preserve"> </w:t>
      </w:r>
      <w:r w:rsidR="00E46E8B" w:rsidRPr="00E46E8B">
        <w:t>an anaerobic</w:t>
      </w:r>
      <w:r w:rsidR="00E46E8B">
        <w:t xml:space="preserve"> </w:t>
      </w:r>
      <w:r w:rsidR="00E46E8B" w:rsidRPr="00E46E8B">
        <w:t>bioremediation system</w:t>
      </w:r>
      <w:r w:rsidR="00BD49A5">
        <w:t xml:space="preserve">. </w:t>
      </w:r>
      <w:r w:rsidR="00E46E8B">
        <w:t xml:space="preserve">DO readings of </w:t>
      </w:r>
      <w:r w:rsidR="00E46E8B" w:rsidRPr="00E46E8B">
        <w:t xml:space="preserve">&lt;0.5 </w:t>
      </w:r>
      <w:r w:rsidR="00F84499">
        <w:t>milligrams per liter (</w:t>
      </w:r>
      <w:r w:rsidR="00E46E8B" w:rsidRPr="00E46E8B">
        <w:t>mg/L</w:t>
      </w:r>
      <w:r w:rsidR="00F84499">
        <w:t>)</w:t>
      </w:r>
      <w:r w:rsidR="00E46E8B" w:rsidRPr="00E46E8B">
        <w:t xml:space="preserve"> generally</w:t>
      </w:r>
      <w:r w:rsidR="00E46E8B">
        <w:t xml:space="preserve"> </w:t>
      </w:r>
      <w:r w:rsidR="00655299" w:rsidRPr="00E46E8B">
        <w:t>indicate</w:t>
      </w:r>
      <w:r w:rsidR="00E46E8B" w:rsidRPr="00E46E8B">
        <w:t xml:space="preserve"> an anaerobic</w:t>
      </w:r>
      <w:r w:rsidR="00E46E8B">
        <w:t xml:space="preserve"> </w:t>
      </w:r>
      <w:r w:rsidR="00E46E8B" w:rsidRPr="00E46E8B">
        <w:t>pathway suitable for</w:t>
      </w:r>
      <w:r w:rsidR="00E46E8B">
        <w:t xml:space="preserve"> </w:t>
      </w:r>
      <w:r w:rsidR="00E46E8B" w:rsidRPr="00E46E8B">
        <w:t>anaerobic dechlorination</w:t>
      </w:r>
      <w:r w:rsidR="00E46E8B">
        <w:t xml:space="preserve"> </w:t>
      </w:r>
      <w:r w:rsidR="00E46E8B" w:rsidRPr="00E46E8B">
        <w:t>to occur</w:t>
      </w:r>
      <w:r w:rsidR="00BE5F69">
        <w:t>.</w:t>
      </w:r>
      <w:r w:rsidR="00E46E8B">
        <w:t xml:space="preserve"> </w:t>
      </w:r>
      <w:r w:rsidR="00BE5F69">
        <w:t xml:space="preserve">Data show that ORP and DO readings are within ideal ranges across the Site for anaerobic biodegradation but could be lower in some areas of the </w:t>
      </w:r>
      <w:r w:rsidR="00BE5F69" w:rsidRPr="00267637">
        <w:t>Site.</w:t>
      </w:r>
    </w:p>
    <w:p w14:paraId="385E2CAC" w14:textId="4E7CC14B" w:rsidR="0071638D" w:rsidRPr="004A6FEF" w:rsidRDefault="00056ABA" w:rsidP="004244FA">
      <w:pPr>
        <w:spacing w:after="200"/>
      </w:pPr>
      <w:r w:rsidRPr="00F75FA2">
        <w:t xml:space="preserve">In addition </w:t>
      </w:r>
      <w:r w:rsidR="00876FAA" w:rsidRPr="00F75FA2">
        <w:t xml:space="preserve">to ORP and DO </w:t>
      </w:r>
      <w:r w:rsidR="00775AA2" w:rsidRPr="00F75FA2">
        <w:t xml:space="preserve">total organic </w:t>
      </w:r>
      <w:r w:rsidR="00267637" w:rsidRPr="00F75FA2">
        <w:t>carbon</w:t>
      </w:r>
      <w:r w:rsidR="00775AA2" w:rsidRPr="00F75FA2">
        <w:t xml:space="preserve"> </w:t>
      </w:r>
      <w:r w:rsidR="009C4BA4" w:rsidRPr="00F75FA2">
        <w:t xml:space="preserve">(TOC) </w:t>
      </w:r>
      <w:r w:rsidR="00267637" w:rsidRPr="00F75FA2">
        <w:t xml:space="preserve">concentrations </w:t>
      </w:r>
      <w:r w:rsidR="00516DFF" w:rsidRPr="00F75FA2">
        <w:t xml:space="preserve">are an indicator of substrate distribution </w:t>
      </w:r>
      <w:r w:rsidR="00156583" w:rsidRPr="00F75FA2">
        <w:t xml:space="preserve">during performance monitoring. The TOC data indicated that TOC concentrations </w:t>
      </w:r>
      <w:r w:rsidR="00AF6F90" w:rsidRPr="00F75FA2">
        <w:t xml:space="preserve">are </w:t>
      </w:r>
      <w:r w:rsidR="00A324BE" w:rsidRPr="00F75FA2">
        <w:t xml:space="preserve">generally </w:t>
      </w:r>
      <w:r w:rsidR="00AF6F90" w:rsidRPr="00F75FA2">
        <w:t xml:space="preserve">not </w:t>
      </w:r>
      <w:r w:rsidR="009C4BA4" w:rsidRPr="00F75FA2">
        <w:t xml:space="preserve">within </w:t>
      </w:r>
      <w:r w:rsidR="0080507E" w:rsidRPr="00F75FA2">
        <w:t xml:space="preserve">the desired </w:t>
      </w:r>
      <w:r w:rsidR="009C4BA4" w:rsidRPr="00F75FA2">
        <w:t xml:space="preserve">range </w:t>
      </w:r>
      <w:r w:rsidR="0080507E" w:rsidRPr="00F75FA2">
        <w:t>for anaerobic biodegradation</w:t>
      </w:r>
      <w:r w:rsidR="00863381" w:rsidRPr="00F75FA2">
        <w:t xml:space="preserve"> across most of the Site. </w:t>
      </w:r>
      <w:r w:rsidR="002B1619" w:rsidRPr="00F75FA2">
        <w:t xml:space="preserve">TOC concentrations between 20 and 50 mg/L are the ideal range </w:t>
      </w:r>
      <w:r w:rsidR="00E272B5" w:rsidRPr="00F75FA2">
        <w:t>for anaerobic biodegradation</w:t>
      </w:r>
      <w:r w:rsidR="00317051">
        <w:t xml:space="preserve"> </w:t>
      </w:r>
      <w:r w:rsidR="00730625">
        <w:t>(</w:t>
      </w:r>
      <w:r w:rsidR="00646FB2">
        <w:t>USEPA</w:t>
      </w:r>
      <w:r w:rsidR="0068685F">
        <w:t> </w:t>
      </w:r>
      <w:r w:rsidR="00932994">
        <w:t>202</w:t>
      </w:r>
      <w:r w:rsidR="008D52BE">
        <w:t>3</w:t>
      </w:r>
      <w:r w:rsidR="00932994">
        <w:t>)</w:t>
      </w:r>
      <w:r w:rsidR="00E272B5" w:rsidRPr="00F75FA2">
        <w:t xml:space="preserve">. Data prior to 2024 indicate that </w:t>
      </w:r>
      <w:r w:rsidR="001633A5" w:rsidRPr="00F75FA2">
        <w:t>one well</w:t>
      </w:r>
      <w:r w:rsidR="00E272B5" w:rsidRPr="00F75FA2">
        <w:t xml:space="preserve">, MW-6, recorded TOC concentrations between </w:t>
      </w:r>
      <w:r w:rsidR="008D5DCF" w:rsidRPr="00F75FA2">
        <w:t>49 a</w:t>
      </w:r>
      <w:r w:rsidR="00F2110A" w:rsidRPr="00F75FA2">
        <w:t>nd</w:t>
      </w:r>
      <w:r w:rsidR="008D5DCF" w:rsidRPr="00F75FA2">
        <w:t xml:space="preserve"> 60 </w:t>
      </w:r>
      <w:r w:rsidR="00F2110A" w:rsidRPr="00F75FA2">
        <w:t>mg/L</w:t>
      </w:r>
      <w:r w:rsidR="004F1EBD" w:rsidRPr="00F75FA2">
        <w:t>, DO concentrations</w:t>
      </w:r>
      <w:r w:rsidR="003C1921" w:rsidRPr="00F75FA2">
        <w:t xml:space="preserve"> </w:t>
      </w:r>
      <w:r w:rsidR="001C31BD">
        <w:t xml:space="preserve">of </w:t>
      </w:r>
      <w:r w:rsidR="003C1921" w:rsidRPr="00F75FA2">
        <w:t>&lt;0.5 mg/L, and negative ORP</w:t>
      </w:r>
      <w:r w:rsidR="0047550A" w:rsidRPr="00F75FA2">
        <w:t xml:space="preserve">, which coincided with a decline in PCE concentrations from 3,800 </w:t>
      </w:r>
      <w:r w:rsidR="001574CA">
        <w:t>micrograms per liter (</w:t>
      </w:r>
      <w:r w:rsidR="0047550A" w:rsidRPr="00F75FA2">
        <w:t>µg/L</w:t>
      </w:r>
      <w:r w:rsidR="001574CA">
        <w:t>)</w:t>
      </w:r>
      <w:r w:rsidR="0047550A" w:rsidRPr="00F75FA2">
        <w:t xml:space="preserve"> to </w:t>
      </w:r>
      <w:r w:rsidR="00930CC9" w:rsidRPr="00F75FA2">
        <w:t>0.91 µg/L</w:t>
      </w:r>
      <w:r w:rsidR="003C1921" w:rsidRPr="00F75FA2">
        <w:t>.</w:t>
      </w:r>
      <w:r w:rsidR="00FB01AE" w:rsidRPr="00F75FA2">
        <w:t xml:space="preserve"> </w:t>
      </w:r>
      <w:r w:rsidR="00863381" w:rsidRPr="00F75FA2">
        <w:t xml:space="preserve">Therefore, </w:t>
      </w:r>
      <w:r w:rsidR="008159D4" w:rsidRPr="00F75FA2">
        <w:t xml:space="preserve">it is likely that </w:t>
      </w:r>
      <w:r w:rsidR="00DC22EB" w:rsidRPr="00F75FA2">
        <w:t xml:space="preserve">additional </w:t>
      </w:r>
      <w:r w:rsidR="00466C84" w:rsidRPr="00F75FA2">
        <w:t>Car</w:t>
      </w:r>
      <w:r w:rsidR="0060182A">
        <w:t>B</w:t>
      </w:r>
      <w:r w:rsidR="00466C84" w:rsidRPr="00F75FA2">
        <w:t>strate</w:t>
      </w:r>
      <w:r w:rsidR="00FC5FF8" w:rsidRPr="00F75FA2">
        <w:t>™</w:t>
      </w:r>
      <w:r w:rsidR="000540B2" w:rsidRPr="00F75FA2">
        <w:t xml:space="preserve">, which provides TOC, </w:t>
      </w:r>
      <w:r w:rsidR="0041787E" w:rsidRPr="00F75FA2">
        <w:t xml:space="preserve">is required </w:t>
      </w:r>
      <w:r w:rsidR="00634D0C" w:rsidRPr="00F75FA2">
        <w:t>to assist with anaerobic biodegradation</w:t>
      </w:r>
      <w:r w:rsidR="008159D4" w:rsidRPr="00F75FA2">
        <w:t xml:space="preserve"> across the Site</w:t>
      </w:r>
      <w:r w:rsidR="001633A5" w:rsidRPr="00F75FA2">
        <w:t>.</w:t>
      </w:r>
      <w:r w:rsidR="001633A5" w:rsidRPr="00E46B22">
        <w:rPr>
          <w:b/>
        </w:rPr>
        <w:t xml:space="preserve"> </w:t>
      </w:r>
      <w:r w:rsidR="00BB472F" w:rsidRPr="007C42AE">
        <w:rPr>
          <w:bCs/>
        </w:rPr>
        <w:t>The method used to</w:t>
      </w:r>
      <w:r w:rsidR="005A041F">
        <w:rPr>
          <w:bCs/>
        </w:rPr>
        <w:t xml:space="preserve"> implement this was to limit the </w:t>
      </w:r>
      <w:r w:rsidR="005A041F" w:rsidRPr="00F75FA2">
        <w:t>Car</w:t>
      </w:r>
      <w:r w:rsidR="00A858EE">
        <w:t>B</w:t>
      </w:r>
      <w:r w:rsidR="005A041F" w:rsidRPr="00F75FA2">
        <w:t>strate</w:t>
      </w:r>
      <w:r w:rsidR="005A041F">
        <w:t xml:space="preserve"> injections to the </w:t>
      </w:r>
      <w:r w:rsidR="00757B77">
        <w:t>area</w:t>
      </w:r>
      <w:r w:rsidR="00F9778C">
        <w:t xml:space="preserve">s of the PCE </w:t>
      </w:r>
      <w:r w:rsidR="001C3950">
        <w:t xml:space="preserve">plume </w:t>
      </w:r>
      <w:r w:rsidR="00F9778C">
        <w:t xml:space="preserve">with the greatest PCE concentrations </w:t>
      </w:r>
      <w:r w:rsidR="001C3950">
        <w:t xml:space="preserve">located underneath the building. This method </w:t>
      </w:r>
      <w:r w:rsidR="00A34B72">
        <w:t xml:space="preserve">involved </w:t>
      </w:r>
      <w:r w:rsidR="008F7F29">
        <w:t>consider</w:t>
      </w:r>
      <w:r w:rsidR="00A34B72">
        <w:t>ing</w:t>
      </w:r>
      <w:r w:rsidR="005810FF">
        <w:t xml:space="preserve"> the geometry of the injection and extraction well configuration when deciding which wells to leave on and which ones to shut off to </w:t>
      </w:r>
      <w:r w:rsidR="000B1B06">
        <w:t xml:space="preserve">create the largest flux of </w:t>
      </w:r>
      <w:r w:rsidR="000B1B06" w:rsidRPr="00F75FA2">
        <w:t>Car</w:t>
      </w:r>
      <w:r w:rsidR="00A858EE">
        <w:t>B</w:t>
      </w:r>
      <w:r w:rsidR="000B1B06" w:rsidRPr="00F75FA2">
        <w:t>strate</w:t>
      </w:r>
      <w:r w:rsidR="000B1B06">
        <w:t xml:space="preserve"> mixture </w:t>
      </w:r>
      <w:r w:rsidR="008F7F29">
        <w:t>to</w:t>
      </w:r>
      <w:r w:rsidR="00A9219C">
        <w:t xml:space="preserve"> areas of </w:t>
      </w:r>
      <w:r w:rsidR="000B1B06">
        <w:t>the plume</w:t>
      </w:r>
      <w:r w:rsidR="00A9219C">
        <w:t xml:space="preserve"> with the greatest PCE concentrat</w:t>
      </w:r>
      <w:r w:rsidR="00B54CED">
        <w:t>i</w:t>
      </w:r>
      <w:r w:rsidR="00A9219C">
        <w:t>ons</w:t>
      </w:r>
      <w:r w:rsidR="000B1B06">
        <w:t>.</w:t>
      </w:r>
      <w:r w:rsidR="008F7F29">
        <w:t xml:space="preserve"> Th</w:t>
      </w:r>
      <w:r w:rsidR="003712AF">
        <w:t xml:space="preserve">is would help to increase TOC concentrations </w:t>
      </w:r>
      <w:r w:rsidR="00472D58">
        <w:t xml:space="preserve">to be within the ideal range </w:t>
      </w:r>
      <w:r w:rsidR="00AD2DF1">
        <w:t>and promote biodegradation</w:t>
      </w:r>
      <w:r w:rsidR="000B1B06">
        <w:t>.</w:t>
      </w:r>
    </w:p>
    <w:p w14:paraId="65356FA1" w14:textId="149B7530" w:rsidR="0021004D" w:rsidRPr="00F75FA2" w:rsidRDefault="0021004D" w:rsidP="004244FA">
      <w:pPr>
        <w:pStyle w:val="Heading3"/>
        <w:spacing w:after="200"/>
      </w:pPr>
      <w:r w:rsidRPr="00F75FA2">
        <w:t>System Upgrades</w:t>
      </w:r>
      <w:r w:rsidR="00E005B0" w:rsidRPr="00F75FA2">
        <w:t xml:space="preserve"> </w:t>
      </w:r>
      <w:r w:rsidR="00A2109E" w:rsidRPr="00F75FA2">
        <w:t>and Optimization</w:t>
      </w:r>
      <w:r w:rsidR="00E005B0" w:rsidRPr="00F75FA2">
        <w:t xml:space="preserve"> </w:t>
      </w:r>
    </w:p>
    <w:p w14:paraId="0B04415F" w14:textId="48D2A0B3" w:rsidR="00770A1E" w:rsidRPr="00770A1E" w:rsidRDefault="00A2109E" w:rsidP="004244FA">
      <w:pPr>
        <w:spacing w:after="200"/>
      </w:pPr>
      <w:r>
        <w:t xml:space="preserve">The system optimization goal is to obtain negative </w:t>
      </w:r>
      <w:r w:rsidRPr="009350E1">
        <w:t>ORP values</w:t>
      </w:r>
      <w:r>
        <w:t xml:space="preserve"> </w:t>
      </w:r>
      <w:r w:rsidRPr="009350E1">
        <w:t>in conjunction</w:t>
      </w:r>
      <w:r>
        <w:t xml:space="preserve"> </w:t>
      </w:r>
      <w:r w:rsidRPr="009350E1">
        <w:t xml:space="preserve">with </w:t>
      </w:r>
      <w:r>
        <w:t>low</w:t>
      </w:r>
      <w:r w:rsidRPr="009350E1">
        <w:t xml:space="preserve"> levels of</w:t>
      </w:r>
      <w:r>
        <w:t xml:space="preserve"> </w:t>
      </w:r>
      <w:r w:rsidRPr="009350E1">
        <w:t xml:space="preserve">DO and </w:t>
      </w:r>
      <w:r>
        <w:t xml:space="preserve">provide </w:t>
      </w:r>
      <w:r w:rsidR="00533C90">
        <w:t>a</w:t>
      </w:r>
      <w:r w:rsidRPr="009350E1">
        <w:t xml:space="preserve"> </w:t>
      </w:r>
      <w:r>
        <w:t>sufficient amount</w:t>
      </w:r>
      <w:r w:rsidRPr="009350E1">
        <w:t xml:space="preserve"> of</w:t>
      </w:r>
      <w:r>
        <w:t xml:space="preserve"> </w:t>
      </w:r>
      <w:r w:rsidRPr="009350E1">
        <w:t>TOC to promote</w:t>
      </w:r>
      <w:r>
        <w:t xml:space="preserve"> </w:t>
      </w:r>
      <w:r w:rsidRPr="009350E1">
        <w:t>anaerobic</w:t>
      </w:r>
      <w:r>
        <w:t xml:space="preserve"> </w:t>
      </w:r>
      <w:r w:rsidRPr="009350E1">
        <w:t>biodegradation</w:t>
      </w:r>
      <w:r>
        <w:t>.</w:t>
      </w:r>
      <w:r w:rsidR="00AE371D">
        <w:t xml:space="preserve"> Therefore, a</w:t>
      </w:r>
      <w:r w:rsidR="00FD0DC0">
        <w:t xml:space="preserve"> variety of system upgrades, including system modifications and operational changes, have been implemented in </w:t>
      </w:r>
      <w:r w:rsidR="00700963">
        <w:t>2024</w:t>
      </w:r>
      <w:r w:rsidR="000C60B5">
        <w:t xml:space="preserve">. System modifications are components that were added </w:t>
      </w:r>
      <w:r w:rsidR="00910EA9">
        <w:t xml:space="preserve">to the treatment system to improve </w:t>
      </w:r>
      <w:r w:rsidR="00E92A4F">
        <w:t xml:space="preserve">and monitor performance. </w:t>
      </w:r>
      <w:r w:rsidR="00AA0059">
        <w:t xml:space="preserve">Operational changes are additional actions </w:t>
      </w:r>
      <w:r w:rsidR="00E750C4">
        <w:t xml:space="preserve">or adjustments to the treatment system </w:t>
      </w:r>
      <w:r w:rsidR="00AA0059">
        <w:t>or</w:t>
      </w:r>
      <w:r w:rsidR="009107D6">
        <w:t xml:space="preserve"> supplemental monitoring </w:t>
      </w:r>
      <w:r w:rsidR="007D5AB3">
        <w:t xml:space="preserve">at </w:t>
      </w:r>
      <w:r w:rsidR="00D54BEB">
        <w:t>S</w:t>
      </w:r>
      <w:r w:rsidR="007D5AB3">
        <w:t>ite wells.</w:t>
      </w:r>
      <w:r w:rsidR="00AA0059">
        <w:t xml:space="preserve"> </w:t>
      </w:r>
      <w:r w:rsidR="00E92A4F">
        <w:t xml:space="preserve"> </w:t>
      </w:r>
    </w:p>
    <w:p w14:paraId="6C2C022E" w14:textId="50781DAC" w:rsidR="00770A1E" w:rsidRDefault="00770A1E" w:rsidP="001656D5">
      <w:pPr>
        <w:pStyle w:val="NormalSix"/>
        <w:spacing w:after="100"/>
      </w:pPr>
      <w:r>
        <w:t xml:space="preserve">System </w:t>
      </w:r>
      <w:r w:rsidR="00D950CA">
        <w:t>m</w:t>
      </w:r>
      <w:r>
        <w:t>odifications</w:t>
      </w:r>
      <w:r w:rsidR="00875C5F">
        <w:t xml:space="preserve"> included</w:t>
      </w:r>
      <w:r w:rsidR="008D52BE">
        <w:t xml:space="preserve"> the following</w:t>
      </w:r>
      <w:r>
        <w:t>:</w:t>
      </w:r>
    </w:p>
    <w:p w14:paraId="2B063409" w14:textId="77777777" w:rsidR="00170EB8" w:rsidRDefault="007F18E0" w:rsidP="001656D5">
      <w:pPr>
        <w:pStyle w:val="Bullet1"/>
        <w:spacing w:after="100"/>
      </w:pPr>
      <w:r>
        <w:t xml:space="preserve">In </w:t>
      </w:r>
      <w:r w:rsidR="00170EB8">
        <w:t>April 2024:</w:t>
      </w:r>
    </w:p>
    <w:p w14:paraId="2D043469" w14:textId="1A0464A6" w:rsidR="00170EB8" w:rsidRDefault="00770A1E" w:rsidP="004244FA">
      <w:pPr>
        <w:pStyle w:val="Bullet2"/>
      </w:pPr>
      <w:r>
        <w:t>Pressure gauges added to</w:t>
      </w:r>
      <w:r w:rsidR="007D5AB3">
        <w:t xml:space="preserve"> each</w:t>
      </w:r>
      <w:r>
        <w:t xml:space="preserve"> carbon vessel</w:t>
      </w:r>
      <w:r w:rsidR="00024762">
        <w:t xml:space="preserve"> to monitor transfer pump operation and </w:t>
      </w:r>
      <w:r w:rsidR="00313185">
        <w:t>back pressure</w:t>
      </w:r>
      <w:r w:rsidR="00170EB8" w:rsidRPr="00170EB8">
        <w:t xml:space="preserve"> </w:t>
      </w:r>
    </w:p>
    <w:p w14:paraId="639BFF05" w14:textId="4889AD41" w:rsidR="00170EB8" w:rsidRDefault="00170EB8" w:rsidP="004244FA">
      <w:pPr>
        <w:pStyle w:val="Bullet2"/>
      </w:pPr>
      <w:r>
        <w:t>Sample port added after injection pump to monitor water quality parameters of the injected water, as a combined flow of granular activated carbon (GAC)</w:t>
      </w:r>
      <w:r w:rsidR="00875C5F">
        <w:t>-</w:t>
      </w:r>
      <w:r>
        <w:t xml:space="preserve"> treated water and CarBstrate mixture</w:t>
      </w:r>
    </w:p>
    <w:p w14:paraId="6F5C9911" w14:textId="2B4ACCEA" w:rsidR="00770A1E" w:rsidRDefault="00170EB8" w:rsidP="004244FA">
      <w:pPr>
        <w:pStyle w:val="Bullet2Last"/>
      </w:pPr>
      <w:r>
        <w:lastRenderedPageBreak/>
        <w:t xml:space="preserve">New, larger y-strainers </w:t>
      </w:r>
      <w:r w:rsidR="00C01A25">
        <w:t xml:space="preserve">added </w:t>
      </w:r>
      <w:r>
        <w:t>to more efficiently remove larger particulates from extracted water flow</w:t>
      </w:r>
    </w:p>
    <w:p w14:paraId="1533147F" w14:textId="77777777" w:rsidR="00DD265B" w:rsidRDefault="00DD265B" w:rsidP="001656D5">
      <w:pPr>
        <w:pStyle w:val="Bullet1"/>
        <w:spacing w:after="100"/>
      </w:pPr>
      <w:r>
        <w:t>In September 2024:</w:t>
      </w:r>
    </w:p>
    <w:p w14:paraId="4E6912D7" w14:textId="6994AE14" w:rsidR="00770A1E" w:rsidRDefault="00770A1E" w:rsidP="004244FA">
      <w:pPr>
        <w:pStyle w:val="Bullet2"/>
      </w:pPr>
      <w:r>
        <w:t xml:space="preserve">Drop hoses added to </w:t>
      </w:r>
      <w:r w:rsidR="00774123">
        <w:t>H</w:t>
      </w:r>
      <w:r>
        <w:t xml:space="preserve">olding </w:t>
      </w:r>
      <w:r w:rsidR="00774123">
        <w:t>T</w:t>
      </w:r>
      <w:r>
        <w:t>ank 2</w:t>
      </w:r>
      <w:r w:rsidR="00313185">
        <w:t xml:space="preserve"> to limit the addition of DO </w:t>
      </w:r>
      <w:r w:rsidR="00E00D27">
        <w:t>to the injected water supply</w:t>
      </w:r>
    </w:p>
    <w:p w14:paraId="7DB34D0C" w14:textId="3726872D" w:rsidR="00770A1E" w:rsidRDefault="00770A1E" w:rsidP="004244FA">
      <w:pPr>
        <w:pStyle w:val="Bullet2Last"/>
      </w:pPr>
      <w:r>
        <w:t>New transfer pump</w:t>
      </w:r>
      <w:r w:rsidR="00AB2740">
        <w:t xml:space="preserve"> installed to improve the efficiency of the carbon vessels and achiev</w:t>
      </w:r>
      <w:r w:rsidR="00875C5F">
        <w:t>e</w:t>
      </w:r>
      <w:r w:rsidR="00AB2740">
        <w:t xml:space="preserve"> desired flow rates</w:t>
      </w:r>
    </w:p>
    <w:p w14:paraId="626116CA" w14:textId="44CF7820" w:rsidR="004366BB" w:rsidRDefault="004366BB" w:rsidP="001656D5">
      <w:pPr>
        <w:pStyle w:val="NormalSix"/>
        <w:spacing w:after="100"/>
      </w:pPr>
      <w:r>
        <w:t xml:space="preserve">Routine </w:t>
      </w:r>
      <w:r w:rsidR="00533337">
        <w:t>Operation and Maintenance (</w:t>
      </w:r>
      <w:r>
        <w:t>O&amp;M</w:t>
      </w:r>
      <w:r w:rsidR="00F35C30">
        <w:t>)</w:t>
      </w:r>
      <w:r>
        <w:t xml:space="preserve"> </w:t>
      </w:r>
      <w:r w:rsidR="00430E6C">
        <w:t>A</w:t>
      </w:r>
      <w:r>
        <w:t>djustments:</w:t>
      </w:r>
    </w:p>
    <w:p w14:paraId="629FB081" w14:textId="31648D82" w:rsidR="00770A1E" w:rsidRDefault="00770A1E" w:rsidP="001656D5">
      <w:pPr>
        <w:pStyle w:val="Bullet1"/>
        <w:spacing w:after="100"/>
      </w:pPr>
      <w:r>
        <w:t>Regular backflushing</w:t>
      </w:r>
      <w:r w:rsidR="00AB2740">
        <w:t xml:space="preserve"> </w:t>
      </w:r>
      <w:r w:rsidR="001C634B">
        <w:t>will</w:t>
      </w:r>
      <w:r w:rsidR="00AB2740">
        <w:t xml:space="preserve"> prevent buildup </w:t>
      </w:r>
      <w:r w:rsidR="00B80EF8">
        <w:t>and clogging of the carbon vessels and extend the life of the GAC</w:t>
      </w:r>
      <w:r w:rsidR="001C634B">
        <w:t>.</w:t>
      </w:r>
    </w:p>
    <w:p w14:paraId="6AEADBF2" w14:textId="18AB0D50" w:rsidR="00430E6C" w:rsidRPr="004244FA" w:rsidRDefault="00770A1E" w:rsidP="001656D5">
      <w:pPr>
        <w:pStyle w:val="Bullet1"/>
        <w:spacing w:after="100"/>
        <w:rPr>
          <w:spacing w:val="-2"/>
        </w:rPr>
      </w:pPr>
      <w:r w:rsidRPr="004244FA">
        <w:rPr>
          <w:spacing w:val="-2"/>
        </w:rPr>
        <w:t>Carbon changeout</w:t>
      </w:r>
      <w:r w:rsidR="00C25308" w:rsidRPr="004244FA">
        <w:rPr>
          <w:spacing w:val="-2"/>
        </w:rPr>
        <w:t xml:space="preserve">, triggered by </w:t>
      </w:r>
      <w:r w:rsidR="000D3347" w:rsidRPr="004244FA">
        <w:rPr>
          <w:spacing w:val="-2"/>
        </w:rPr>
        <w:t>volatile organic compound (</w:t>
      </w:r>
      <w:r w:rsidR="00C25308" w:rsidRPr="004244FA">
        <w:rPr>
          <w:spacing w:val="-2"/>
        </w:rPr>
        <w:t>VOC</w:t>
      </w:r>
      <w:r w:rsidR="000D3347" w:rsidRPr="004244FA">
        <w:rPr>
          <w:spacing w:val="-2"/>
        </w:rPr>
        <w:t>)</w:t>
      </w:r>
      <w:r w:rsidR="00C25308" w:rsidRPr="004244FA">
        <w:rPr>
          <w:spacing w:val="-2"/>
        </w:rPr>
        <w:t xml:space="preserve"> detections in the effluent sample, occurred in October </w:t>
      </w:r>
      <w:r w:rsidR="00DC3440" w:rsidRPr="004244FA">
        <w:rPr>
          <w:spacing w:val="-2"/>
        </w:rPr>
        <w:t>2024</w:t>
      </w:r>
      <w:r w:rsidR="002B69D6" w:rsidRPr="004244FA">
        <w:rPr>
          <w:spacing w:val="-2"/>
        </w:rPr>
        <w:t xml:space="preserve"> after lab results were obtained earlier that month</w:t>
      </w:r>
      <w:r w:rsidR="002C1310" w:rsidRPr="004244FA">
        <w:rPr>
          <w:spacing w:val="-2"/>
        </w:rPr>
        <w:t xml:space="preserve">. Conducting </w:t>
      </w:r>
      <w:r w:rsidR="00296BF7" w:rsidRPr="004244FA">
        <w:rPr>
          <w:spacing w:val="-2"/>
        </w:rPr>
        <w:t>carbon changeouts as necessary improved effectiveness of the GAC</w:t>
      </w:r>
      <w:r w:rsidR="00171A05" w:rsidRPr="004244FA">
        <w:rPr>
          <w:spacing w:val="-2"/>
        </w:rPr>
        <w:t>.</w:t>
      </w:r>
      <w:r w:rsidR="00C25308" w:rsidRPr="004244FA">
        <w:rPr>
          <w:spacing w:val="-2"/>
        </w:rPr>
        <w:t xml:space="preserve"> </w:t>
      </w:r>
    </w:p>
    <w:p w14:paraId="6B0E5094" w14:textId="674CCB4D" w:rsidR="009D47D6" w:rsidRPr="004244FA" w:rsidRDefault="009D47D6" w:rsidP="001656D5">
      <w:pPr>
        <w:pStyle w:val="Bullet1"/>
        <w:spacing w:after="100"/>
        <w:rPr>
          <w:spacing w:val="-2"/>
        </w:rPr>
      </w:pPr>
      <w:r w:rsidRPr="004244FA">
        <w:rPr>
          <w:spacing w:val="-2"/>
        </w:rPr>
        <w:t>O&amp;M tracking forms</w:t>
      </w:r>
      <w:r w:rsidR="001C634B" w:rsidRPr="004244FA">
        <w:rPr>
          <w:spacing w:val="-2"/>
        </w:rPr>
        <w:t xml:space="preserve"> include</w:t>
      </w:r>
      <w:r w:rsidR="009F4D6B" w:rsidRPr="004244FA">
        <w:rPr>
          <w:spacing w:val="-2"/>
        </w:rPr>
        <w:t xml:space="preserve"> regular documentation of the following operational items:</w:t>
      </w:r>
    </w:p>
    <w:p w14:paraId="1F361B21" w14:textId="04CDB17D" w:rsidR="009D47D6" w:rsidRDefault="009D47D6" w:rsidP="000A54A7">
      <w:pPr>
        <w:pStyle w:val="Bullet2"/>
      </w:pPr>
      <w:r>
        <w:t>Y-</w:t>
      </w:r>
      <w:r w:rsidR="00E111A2">
        <w:t>s</w:t>
      </w:r>
      <w:r>
        <w:t>trainer maintenance, cleaning</w:t>
      </w:r>
      <w:r w:rsidR="00CC4CDF">
        <w:t>,</w:t>
      </w:r>
      <w:r>
        <w:t xml:space="preserve"> and condition</w:t>
      </w:r>
    </w:p>
    <w:p w14:paraId="79BB810C" w14:textId="459EF95F" w:rsidR="009D47D6" w:rsidRDefault="009D47D6" w:rsidP="000A54A7">
      <w:pPr>
        <w:pStyle w:val="Bullet2"/>
      </w:pPr>
      <w:r>
        <w:t>CarBstrate</w:t>
      </w:r>
      <w:r w:rsidR="0057396A">
        <w:t xml:space="preserve"> </w:t>
      </w:r>
      <w:r>
        <w:t>mixing tank maintenance and monitoring</w:t>
      </w:r>
    </w:p>
    <w:p w14:paraId="2952B52D" w14:textId="59144991" w:rsidR="009D47D6" w:rsidRDefault="00C76169" w:rsidP="000A54A7">
      <w:pPr>
        <w:pStyle w:val="Bullet2"/>
      </w:pPr>
      <w:r w:rsidRPr="00C76169">
        <w:t>Investigation-derived waste</w:t>
      </w:r>
      <w:r w:rsidRPr="00C76169" w:rsidDel="00C76169">
        <w:t xml:space="preserve"> </w:t>
      </w:r>
      <w:r w:rsidR="009D47D6">
        <w:t>management</w:t>
      </w:r>
    </w:p>
    <w:p w14:paraId="64FD5716" w14:textId="77777777" w:rsidR="009D47D6" w:rsidRDefault="009D47D6" w:rsidP="000A54A7">
      <w:pPr>
        <w:pStyle w:val="Bullet2"/>
      </w:pPr>
      <w:r>
        <w:t>Carbon vessel pressure monitoring</w:t>
      </w:r>
    </w:p>
    <w:p w14:paraId="6602DBBA" w14:textId="77777777" w:rsidR="009D47D6" w:rsidRDefault="009D47D6" w:rsidP="000A54A7">
      <w:pPr>
        <w:pStyle w:val="Bullet2"/>
      </w:pPr>
      <w:r>
        <w:t>Injection and extraction well totalizer logs</w:t>
      </w:r>
    </w:p>
    <w:p w14:paraId="16B46EA0" w14:textId="77777777" w:rsidR="009D47D6" w:rsidRPr="00086DC3" w:rsidRDefault="009D47D6" w:rsidP="000A54A7">
      <w:pPr>
        <w:pStyle w:val="Bullet3Last"/>
      </w:pPr>
      <w:r>
        <w:t xml:space="preserve">Completed O&amp;M tracking forms are included in </w:t>
      </w:r>
      <w:r w:rsidRPr="00C448B1">
        <w:t>Attachment 1</w:t>
      </w:r>
      <w:r w:rsidRPr="008447D6">
        <w:t>.</w:t>
      </w:r>
      <w:r>
        <w:t xml:space="preserve"> </w:t>
      </w:r>
    </w:p>
    <w:p w14:paraId="3EDB83D0" w14:textId="7C01C168" w:rsidR="00E005B0" w:rsidRDefault="00E005B0" w:rsidP="001656D5">
      <w:pPr>
        <w:pStyle w:val="NormalSix"/>
        <w:spacing w:after="100"/>
      </w:pPr>
      <w:r>
        <w:t>Operational Changes:</w:t>
      </w:r>
    </w:p>
    <w:p w14:paraId="09CB27EE" w14:textId="3CE1E4BF" w:rsidR="00F0294F" w:rsidRPr="004A2757" w:rsidRDefault="00F0748B" w:rsidP="001656D5">
      <w:pPr>
        <w:pStyle w:val="Bullet1"/>
        <w:spacing w:after="100"/>
      </w:pPr>
      <w:r w:rsidRPr="004A2757">
        <w:t>Focused Injections</w:t>
      </w:r>
    </w:p>
    <w:p w14:paraId="757F8CFF" w14:textId="2CB89B13" w:rsidR="00F0294F" w:rsidRDefault="00760C74" w:rsidP="00760C74">
      <w:pPr>
        <w:pStyle w:val="Bullet2"/>
      </w:pPr>
      <w:r>
        <w:t>T</w:t>
      </w:r>
      <w:r w:rsidR="009F19CB">
        <w:t xml:space="preserve">he number of </w:t>
      </w:r>
      <w:r w:rsidR="002973C9">
        <w:t xml:space="preserve">active </w:t>
      </w:r>
      <w:r w:rsidR="009F19CB">
        <w:t>injection wel</w:t>
      </w:r>
      <w:r w:rsidR="002973C9">
        <w:t xml:space="preserve">ls </w:t>
      </w:r>
      <w:r>
        <w:t xml:space="preserve">was reduced </w:t>
      </w:r>
      <w:r w:rsidR="004C54F2">
        <w:t xml:space="preserve">from </w:t>
      </w:r>
      <w:r w:rsidR="005B1E9F">
        <w:t>13</w:t>
      </w:r>
      <w:r w:rsidR="004C54F2">
        <w:t xml:space="preserve"> to </w:t>
      </w:r>
      <w:r w:rsidR="005B1E9F">
        <w:t>6</w:t>
      </w:r>
      <w:r w:rsidR="00875C5F">
        <w:t xml:space="preserve"> to target wells with higher CVOC concentrations</w:t>
      </w:r>
      <w:r w:rsidR="00216301">
        <w:t xml:space="preserve">, as described </w:t>
      </w:r>
      <w:r>
        <w:t>previously.</w:t>
      </w:r>
    </w:p>
    <w:p w14:paraId="0A597FAD" w14:textId="011A2BE5" w:rsidR="004C54F2" w:rsidRDefault="004C54F2" w:rsidP="00760C74">
      <w:pPr>
        <w:pStyle w:val="Bullet2"/>
      </w:pPr>
      <w:r>
        <w:t>CarBstrate</w:t>
      </w:r>
      <w:r w:rsidR="00AE371D">
        <w:rPr>
          <w:rFonts w:cs="Calibri"/>
        </w:rPr>
        <w:t>™</w:t>
      </w:r>
      <w:r>
        <w:t xml:space="preserve"> is appl</w:t>
      </w:r>
      <w:r w:rsidR="005F5174">
        <w:t xml:space="preserve">ied in a more concentrated areas instead of being diluted across the whole </w:t>
      </w:r>
      <w:r w:rsidR="00760C74">
        <w:t>S</w:t>
      </w:r>
      <w:r w:rsidR="005F5174">
        <w:t>ite</w:t>
      </w:r>
      <w:r w:rsidR="00760C74">
        <w:t>.</w:t>
      </w:r>
    </w:p>
    <w:p w14:paraId="177F6E54" w14:textId="722DDB27" w:rsidR="005F5174" w:rsidRPr="00F0294F" w:rsidRDefault="00ED2839" w:rsidP="004244FA">
      <w:pPr>
        <w:pStyle w:val="Bullet2Last"/>
      </w:pPr>
      <w:r>
        <w:t>With more CarBstrate injected into key locations</w:t>
      </w:r>
      <w:r w:rsidR="001133B8">
        <w:t xml:space="preserve">, more electron donors are present to facilitate the breakdown of </w:t>
      </w:r>
      <w:r w:rsidR="001732C3">
        <w:t>the chlorinated solvents</w:t>
      </w:r>
      <w:r w:rsidR="00760C74">
        <w:t>.</w:t>
      </w:r>
    </w:p>
    <w:p w14:paraId="484ACBC1" w14:textId="1E1E4C3A" w:rsidR="00086DC3" w:rsidRPr="004A2757" w:rsidRDefault="00086DC3" w:rsidP="001656D5">
      <w:pPr>
        <w:pStyle w:val="Bullet1"/>
        <w:spacing w:after="100"/>
      </w:pPr>
      <w:r w:rsidRPr="004A2757">
        <w:t xml:space="preserve">TOC </w:t>
      </w:r>
      <w:r w:rsidR="00F0748B" w:rsidRPr="004A2757">
        <w:t>Monitoring</w:t>
      </w:r>
    </w:p>
    <w:p w14:paraId="092B7BCD" w14:textId="16AE04CA" w:rsidR="001732C3" w:rsidRDefault="00816FCB" w:rsidP="00816FCB">
      <w:pPr>
        <w:pStyle w:val="Bullet2"/>
      </w:pPr>
      <w:r>
        <w:t>Monitoring was c</w:t>
      </w:r>
      <w:r w:rsidR="00B76DCD">
        <w:t>onducted t</w:t>
      </w:r>
      <w:r w:rsidR="009157C5">
        <w:t>o ensure that the focused injections were effective in increasing TOC concentrations</w:t>
      </w:r>
      <w:r w:rsidR="00875C5F">
        <w:t xml:space="preserve"> to target levels</w:t>
      </w:r>
    </w:p>
    <w:p w14:paraId="5C305319" w14:textId="1B73CBD6" w:rsidR="00282946" w:rsidRPr="001732C3" w:rsidRDefault="00282946" w:rsidP="00816FCB">
      <w:pPr>
        <w:pStyle w:val="Bullet2Last"/>
      </w:pPr>
      <w:r>
        <w:t>MW-4R, MW-7</w:t>
      </w:r>
      <w:r w:rsidR="00FE5BD2">
        <w:t>,</w:t>
      </w:r>
      <w:r>
        <w:t xml:space="preserve"> and MW-12 were sampled on a bimonthly basis in between </w:t>
      </w:r>
      <w:r w:rsidR="000F10ED">
        <w:t>semiannual monitoring events for TOC</w:t>
      </w:r>
      <w:r w:rsidR="000D6ABE">
        <w:t xml:space="preserve"> (Figure 2)</w:t>
      </w:r>
      <w:r w:rsidR="00816FCB">
        <w:t>.</w:t>
      </w:r>
    </w:p>
    <w:p w14:paraId="26161D01" w14:textId="7897712F" w:rsidR="0036042F" w:rsidRDefault="0036042F" w:rsidP="0036042F">
      <w:pPr>
        <w:pStyle w:val="Heading2"/>
      </w:pPr>
      <w:r>
        <w:lastRenderedPageBreak/>
        <w:t>Groundwater Monitoring</w:t>
      </w:r>
      <w:r w:rsidR="0022756A">
        <w:t xml:space="preserve"> events</w:t>
      </w:r>
    </w:p>
    <w:p w14:paraId="68F3B8B5" w14:textId="5260C51C" w:rsidR="00DF55EE" w:rsidRDefault="0036042F" w:rsidP="0036042F">
      <w:pPr>
        <w:pStyle w:val="Heading3"/>
      </w:pPr>
      <w:r>
        <w:t xml:space="preserve">April 2024 Groundwater Monitoring </w:t>
      </w:r>
      <w:r w:rsidR="00DF50F6">
        <w:t>Activities</w:t>
      </w:r>
    </w:p>
    <w:p w14:paraId="481E21C7" w14:textId="49353140" w:rsidR="00827C3B" w:rsidRDefault="000F522E" w:rsidP="00623E67">
      <w:r>
        <w:t xml:space="preserve">Semiannual groundwater monitoring was completed at the Site </w:t>
      </w:r>
      <w:r w:rsidR="00EA0D16">
        <w:t>during</w:t>
      </w:r>
      <w:r w:rsidR="0063310A">
        <w:t xml:space="preserve"> April 2024</w:t>
      </w:r>
      <w:r w:rsidR="00EA0D16">
        <w:t xml:space="preserve">. Prior to collecting groundwater samples, synoptic depth-to-water (DTW) measurements were collected from a total of </w:t>
      </w:r>
      <w:r w:rsidR="00E42316">
        <w:t xml:space="preserve">27 </w:t>
      </w:r>
      <w:r w:rsidR="00877EB6">
        <w:t>site monitoring wells</w:t>
      </w:r>
      <w:r w:rsidR="008C61E8">
        <w:t xml:space="preserve"> in April</w:t>
      </w:r>
      <w:r w:rsidR="00EA4A48">
        <w:t xml:space="preserve"> 2024 </w:t>
      </w:r>
      <w:r w:rsidR="00C51C31">
        <w:t>(</w:t>
      </w:r>
      <w:r w:rsidR="00FA6C32">
        <w:t xml:space="preserve">all collected within an hour) </w:t>
      </w:r>
      <w:r w:rsidR="00EA4A48">
        <w:t>while the bio-reme</w:t>
      </w:r>
      <w:r w:rsidR="00C92F46">
        <w:t>diation</w:t>
      </w:r>
      <w:r w:rsidR="006A01DE">
        <w:t xml:space="preserve"> and recirculation system </w:t>
      </w:r>
      <w:r w:rsidR="000E6500">
        <w:t xml:space="preserve">(treatment system) </w:t>
      </w:r>
      <w:r w:rsidR="006A01DE">
        <w:t xml:space="preserve">was operating </w:t>
      </w:r>
      <w:r w:rsidR="00AE2953">
        <w:t xml:space="preserve">(September 8, 2024) </w:t>
      </w:r>
      <w:r w:rsidR="006A01DE">
        <w:t xml:space="preserve">and while it </w:t>
      </w:r>
      <w:r w:rsidR="00FA6C32">
        <w:t xml:space="preserve">had been </w:t>
      </w:r>
      <w:r w:rsidR="006A01DE">
        <w:t>off</w:t>
      </w:r>
      <w:r w:rsidR="00AE2953">
        <w:t xml:space="preserve"> </w:t>
      </w:r>
      <w:r w:rsidR="00FA6C32">
        <w:t xml:space="preserve">for </w:t>
      </w:r>
      <w:r w:rsidR="00135145" w:rsidRPr="00135145">
        <w:t>3</w:t>
      </w:r>
      <w:r w:rsidR="00FA6C32">
        <w:t xml:space="preserve"> days </w:t>
      </w:r>
      <w:r w:rsidR="00AE2953">
        <w:t>(September 11, 2024)</w:t>
      </w:r>
      <w:r w:rsidR="00F071F8">
        <w:t xml:space="preserve">. </w:t>
      </w:r>
      <w:r w:rsidR="002D54E6">
        <w:t xml:space="preserve">There are a total of 33 site monitoring wells </w:t>
      </w:r>
      <w:r w:rsidR="00576F49">
        <w:t>that are specified in the CD/CAP and are</w:t>
      </w:r>
      <w:r w:rsidR="002D54E6">
        <w:t xml:space="preserve"> sampled</w:t>
      </w:r>
      <w:r w:rsidR="004851FA">
        <w:t xml:space="preserve"> for analytes specified in the CD/CAP</w:t>
      </w:r>
      <w:r w:rsidR="002D54E6">
        <w:t xml:space="preserve"> semiannually, but two of these wells </w:t>
      </w:r>
      <w:r w:rsidR="00A54B32">
        <w:t xml:space="preserve">(MW-6 and HZ-MW-33R) </w:t>
      </w:r>
      <w:r w:rsidR="002D54E6">
        <w:t xml:space="preserve">have angled </w:t>
      </w:r>
      <w:r w:rsidR="009847CE">
        <w:t>elbow</w:t>
      </w:r>
      <w:r w:rsidR="00790B31">
        <w:t xml:space="preserve"> </w:t>
      </w:r>
      <w:r w:rsidR="00622372">
        <w:t>couplings</w:t>
      </w:r>
      <w:r w:rsidR="002D54E6">
        <w:t xml:space="preserve"> that </w:t>
      </w:r>
      <w:r w:rsidR="00A67D9B">
        <w:t>do</w:t>
      </w:r>
      <w:r w:rsidR="002D54E6">
        <w:t xml:space="preserve"> not allow for the DTW meter</w:t>
      </w:r>
      <w:r w:rsidR="000B6CD8">
        <w:t xml:space="preserve"> to pass through</w:t>
      </w:r>
      <w:r w:rsidR="00A748D3">
        <w:t>.</w:t>
      </w:r>
      <w:r w:rsidR="000B6CD8">
        <w:t xml:space="preserve"> </w:t>
      </w:r>
      <w:r w:rsidR="00A748D3">
        <w:t>T</w:t>
      </w:r>
      <w:r w:rsidR="000B6CD8">
        <w:t>herefore</w:t>
      </w:r>
      <w:r w:rsidR="00705867">
        <w:t>, they could not</w:t>
      </w:r>
      <w:r w:rsidR="000B6CD8">
        <w:t xml:space="preserve"> be measured. </w:t>
      </w:r>
      <w:r w:rsidR="002F2B81">
        <w:t xml:space="preserve">All wells, including injection and extraction wells that are not sampled are shown in Figure </w:t>
      </w:r>
      <w:r w:rsidR="004B77E3">
        <w:t>2</w:t>
      </w:r>
      <w:r w:rsidR="00E81F1D">
        <w:t>, and Figures</w:t>
      </w:r>
      <w:r w:rsidR="00C909AB">
        <w:t xml:space="preserve"> 3 </w:t>
      </w:r>
      <w:r w:rsidR="00E81F1D">
        <w:t xml:space="preserve">through 5 show </w:t>
      </w:r>
      <w:r w:rsidR="00C909AB">
        <w:t>the</w:t>
      </w:r>
      <w:r w:rsidR="00E81F1D">
        <w:t xml:space="preserve"> monitoring, injection, and extraction well</w:t>
      </w:r>
      <w:r w:rsidR="00C909AB">
        <w:t>s</w:t>
      </w:r>
      <w:r w:rsidR="00E81F1D">
        <w:t xml:space="preserve"> for each </w:t>
      </w:r>
      <w:r w:rsidR="0054127C">
        <w:t>aquifer zone</w:t>
      </w:r>
      <w:r w:rsidR="000E72A3">
        <w:t>: shallow, intermediate, and deep, respec</w:t>
      </w:r>
      <w:r w:rsidR="00CD3DC5">
        <w:t>tively</w:t>
      </w:r>
      <w:r w:rsidR="002F2B81">
        <w:t>. Groundwater elevations</w:t>
      </w:r>
      <w:r w:rsidR="00A4514A">
        <w:t xml:space="preserve"> and field parameters</w:t>
      </w:r>
      <w:r w:rsidR="002F2B81">
        <w:t xml:space="preserve"> for all events are presented in </w:t>
      </w:r>
      <w:r w:rsidR="002F2B81" w:rsidRPr="00C448B1">
        <w:t xml:space="preserve">Table </w:t>
      </w:r>
      <w:r w:rsidR="001F6D7F" w:rsidRPr="00C448B1">
        <w:t>4</w:t>
      </w:r>
      <w:r w:rsidR="00F07201" w:rsidRPr="00C448B1">
        <w:t xml:space="preserve">. </w:t>
      </w:r>
      <w:r w:rsidR="000D6485">
        <w:t xml:space="preserve">All laboratory </w:t>
      </w:r>
      <w:r w:rsidR="008712DE">
        <w:t>analytical reports for this groundwater monitoring even</w:t>
      </w:r>
      <w:r w:rsidR="002A00A9">
        <w:t>t</w:t>
      </w:r>
      <w:r w:rsidR="008712DE">
        <w:t xml:space="preserve"> are provided in Attachment 2. </w:t>
      </w:r>
      <w:r w:rsidR="00F07201">
        <w:t xml:space="preserve">April 2024 groundwater elevations with the system on and off are </w:t>
      </w:r>
      <w:r w:rsidR="00F07201" w:rsidRPr="00DD7303">
        <w:t xml:space="preserve">presented by water-bearing zone in Figures </w:t>
      </w:r>
      <w:r w:rsidR="0048403F">
        <w:t>6</w:t>
      </w:r>
      <w:r w:rsidR="00F07201" w:rsidRPr="00DD7303">
        <w:t xml:space="preserve">a through </w:t>
      </w:r>
      <w:r w:rsidR="0048403F">
        <w:t>6</w:t>
      </w:r>
      <w:r w:rsidR="00F07201">
        <w:t>d</w:t>
      </w:r>
      <w:r w:rsidR="00F07201" w:rsidRPr="00DD7303">
        <w:t>, which also show potentiometric groundwater contours and groundwater flow directions</w:t>
      </w:r>
      <w:r w:rsidR="005030A1">
        <w:t>.</w:t>
      </w:r>
      <w:r w:rsidR="00EC25CC">
        <w:t xml:space="preserve"> The well HZ-MW-19R is located within the Site area</w:t>
      </w:r>
      <w:r w:rsidR="00B259BA">
        <w:t xml:space="preserve"> but is not </w:t>
      </w:r>
      <w:r w:rsidR="00C77278">
        <w:t>part</w:t>
      </w:r>
      <w:r w:rsidR="00B259BA">
        <w:t xml:space="preserve"> of the sampling requirements; therefore, its location is included in the site maps, but has no data associated with it for the purposes of this report.</w:t>
      </w:r>
      <w:r w:rsidR="00C722B0">
        <w:t xml:space="preserve"> </w:t>
      </w:r>
      <w:r w:rsidR="00827C3B" w:rsidRPr="00C722B0">
        <w:t xml:space="preserve">Groundwater samples were collected using low-flow sampling techniques in accordance with Floyd|Snider standard guidelines </w:t>
      </w:r>
      <w:r w:rsidR="00827C3B" w:rsidRPr="00C77278">
        <w:t xml:space="preserve">(Attachment </w:t>
      </w:r>
      <w:r w:rsidR="008447D6" w:rsidRPr="00C77278">
        <w:t>3</w:t>
      </w:r>
      <w:r w:rsidR="00827C3B" w:rsidRPr="00C77278">
        <w:t>)</w:t>
      </w:r>
      <w:r w:rsidR="00827C3B" w:rsidRPr="008447D6">
        <w:t>.</w:t>
      </w:r>
      <w:r w:rsidR="00827C3B">
        <w:t xml:space="preserve"> </w:t>
      </w:r>
      <w:r w:rsidR="007C1AAB">
        <w:t xml:space="preserve">A data validation </w:t>
      </w:r>
      <w:r w:rsidR="006671F3">
        <w:t>summary</w:t>
      </w:r>
      <w:r w:rsidR="007C1AAB">
        <w:t xml:space="preserve"> was prepared for this event and can be found in Attachment 6</w:t>
      </w:r>
      <w:r w:rsidR="00A94D60">
        <w:t xml:space="preserve">, and the </w:t>
      </w:r>
      <w:r w:rsidR="00A94D60" w:rsidRPr="00A94D60">
        <w:t>Quality Assurance Project Plan (QAPP)</w:t>
      </w:r>
      <w:r w:rsidR="00A94D60">
        <w:t xml:space="preserve"> is included as Attachment 7</w:t>
      </w:r>
      <w:r w:rsidR="007C1AAB">
        <w:t>.</w:t>
      </w:r>
    </w:p>
    <w:p w14:paraId="75C5049F" w14:textId="41F375D4" w:rsidR="004D4846" w:rsidRDefault="00FB4D83" w:rsidP="00FB4D83">
      <w:r>
        <w:t xml:space="preserve">Groundwater contours were developed </w:t>
      </w:r>
      <w:r w:rsidR="0070300F">
        <w:t xml:space="preserve">for the shallow and intermediate </w:t>
      </w:r>
      <w:r w:rsidR="00900C99">
        <w:t xml:space="preserve">zones. Groundwater contours could not be </w:t>
      </w:r>
      <w:r w:rsidR="008E1488">
        <w:t xml:space="preserve">prepared </w:t>
      </w:r>
      <w:r w:rsidR="002716B7">
        <w:t xml:space="preserve">for the deep zone </w:t>
      </w:r>
      <w:r w:rsidR="00B35BC5">
        <w:t>because</w:t>
      </w:r>
      <w:r w:rsidR="002716B7">
        <w:t xml:space="preserve"> </w:t>
      </w:r>
      <w:r w:rsidR="0058767A">
        <w:t xml:space="preserve">there </w:t>
      </w:r>
      <w:r w:rsidR="00E26C05">
        <w:t xml:space="preserve">were </w:t>
      </w:r>
      <w:r w:rsidR="0058767A">
        <w:t>only measurements for two wells</w:t>
      </w:r>
      <w:r w:rsidR="00B35BC5">
        <w:t>;</w:t>
      </w:r>
      <w:r w:rsidR="0058767A">
        <w:t xml:space="preserve"> the third well</w:t>
      </w:r>
      <w:r w:rsidR="00F5730F">
        <w:t>, MW-29, was inaccessible during</w:t>
      </w:r>
      <w:r w:rsidR="0058767A">
        <w:t xml:space="preserve"> the </w:t>
      </w:r>
      <w:r w:rsidR="00F5730F">
        <w:t xml:space="preserve">April 2024 </w:t>
      </w:r>
      <w:r w:rsidR="0058767A">
        <w:t xml:space="preserve">sampling event. </w:t>
      </w:r>
    </w:p>
    <w:p w14:paraId="37139345" w14:textId="40E0C3E1" w:rsidR="004D4846" w:rsidRDefault="004D4846" w:rsidP="00FB4D83">
      <w:r w:rsidRPr="00A87700">
        <w:rPr>
          <w:b/>
          <w:bCs/>
        </w:rPr>
        <w:t>Shallow Zone (System On):</w:t>
      </w:r>
      <w:r>
        <w:t xml:space="preserve"> </w:t>
      </w:r>
      <w:r w:rsidR="00F5730F">
        <w:t xml:space="preserve">Groundwater elevations collected </w:t>
      </w:r>
      <w:r w:rsidR="000C5B0F">
        <w:t xml:space="preserve">on April 8, 2024, </w:t>
      </w:r>
      <w:r w:rsidR="00F5730F">
        <w:t xml:space="preserve">while the system was </w:t>
      </w:r>
      <w:r w:rsidR="000C5B0F">
        <w:t xml:space="preserve">operating, show </w:t>
      </w:r>
      <w:r w:rsidR="006B3523">
        <w:t>that the shallow zone wells</w:t>
      </w:r>
      <w:r w:rsidR="00617967">
        <w:t xml:space="preserve"> ranged from </w:t>
      </w:r>
      <w:r w:rsidR="008051D1">
        <w:t xml:space="preserve">39.34 to </w:t>
      </w:r>
      <w:r w:rsidR="000B02A7">
        <w:t>34.98</w:t>
      </w:r>
      <w:r w:rsidR="005A2ECD" w:rsidRPr="005A2ECD">
        <w:t xml:space="preserve"> </w:t>
      </w:r>
      <w:r w:rsidR="005A2ECD">
        <w:t xml:space="preserve">feet North American Vertical Datum of 1988 </w:t>
      </w:r>
      <w:r w:rsidR="0018674A">
        <w:t>([</w:t>
      </w:r>
      <w:r w:rsidR="005A2ECD">
        <w:t>NAVD 88</w:t>
      </w:r>
      <w:r w:rsidR="0018674A">
        <w:t>]</w:t>
      </w:r>
      <w:r w:rsidR="00603EA7">
        <w:t xml:space="preserve"> Figure </w:t>
      </w:r>
      <w:r w:rsidR="006F1D22">
        <w:t>6a</w:t>
      </w:r>
      <w:r w:rsidR="0018674A">
        <w:t>)</w:t>
      </w:r>
      <w:r w:rsidR="005A2ECD">
        <w:t xml:space="preserve">. </w:t>
      </w:r>
      <w:r w:rsidR="00FB57AA">
        <w:t xml:space="preserve">Groundwater </w:t>
      </w:r>
      <w:r w:rsidR="00B01EF7">
        <w:t xml:space="preserve">in the shallow zone </w:t>
      </w:r>
      <w:r w:rsidR="00495F5B">
        <w:t xml:space="preserve">appears to be mounded </w:t>
      </w:r>
      <w:r w:rsidR="00DD61AE">
        <w:t xml:space="preserve">around </w:t>
      </w:r>
      <w:r w:rsidR="005D15E5">
        <w:t xml:space="preserve">monitoring and </w:t>
      </w:r>
      <w:r w:rsidR="00DD61AE">
        <w:t xml:space="preserve">injection wells </w:t>
      </w:r>
      <w:r w:rsidR="00F2645D">
        <w:t>MW-</w:t>
      </w:r>
      <w:r w:rsidR="00D439E9">
        <w:t xml:space="preserve">45R, </w:t>
      </w:r>
      <w:r w:rsidR="00DD61AE">
        <w:t>2i</w:t>
      </w:r>
      <w:r w:rsidR="00D439E9">
        <w:t>,</w:t>
      </w:r>
      <w:r w:rsidR="00DD61AE">
        <w:t xml:space="preserve"> </w:t>
      </w:r>
      <w:r w:rsidR="00D439E9">
        <w:t>MW-27</w:t>
      </w:r>
      <w:r w:rsidR="00A1549F">
        <w:t xml:space="preserve">, </w:t>
      </w:r>
      <w:r w:rsidR="00DD61AE">
        <w:t>and 18iR</w:t>
      </w:r>
      <w:r w:rsidR="00B01EF7">
        <w:t xml:space="preserve">, and </w:t>
      </w:r>
      <w:r w:rsidR="00A05546">
        <w:t xml:space="preserve">groundwater generally </w:t>
      </w:r>
      <w:r w:rsidR="00B01EF7">
        <w:t>flow</w:t>
      </w:r>
      <w:r w:rsidR="00A05546">
        <w:t>s</w:t>
      </w:r>
      <w:r w:rsidR="00B01EF7">
        <w:t xml:space="preserve"> </w:t>
      </w:r>
      <w:r w:rsidR="00FA12EE">
        <w:t>to the southeast</w:t>
      </w:r>
      <w:r w:rsidR="00E319F3">
        <w:t xml:space="preserve"> and to the south</w:t>
      </w:r>
      <w:r w:rsidR="00645317">
        <w:t>,</w:t>
      </w:r>
      <w:r w:rsidR="00CC2909">
        <w:t xml:space="preserve"> with gradients ranging between 0.02 and 0.0</w:t>
      </w:r>
      <w:r w:rsidR="00021FB3">
        <w:t>4</w:t>
      </w:r>
      <w:r w:rsidR="00CC2909">
        <w:t xml:space="preserve"> feet per foot</w:t>
      </w:r>
      <w:r w:rsidR="00F411D3">
        <w:t>.</w:t>
      </w:r>
    </w:p>
    <w:p w14:paraId="7E111C18" w14:textId="1FFE817F" w:rsidR="00FB57AA" w:rsidRDefault="004D4846" w:rsidP="00FB4D83">
      <w:r w:rsidRPr="00DD7303">
        <w:rPr>
          <w:b/>
          <w:bCs/>
        </w:rPr>
        <w:t>Shallow Zone (System O</w:t>
      </w:r>
      <w:r>
        <w:rPr>
          <w:b/>
          <w:bCs/>
        </w:rPr>
        <w:t>ff)</w:t>
      </w:r>
      <w:r w:rsidRPr="00DD7303">
        <w:rPr>
          <w:b/>
          <w:bCs/>
        </w:rPr>
        <w:t>:</w:t>
      </w:r>
      <w:r>
        <w:t xml:space="preserve"> </w:t>
      </w:r>
      <w:r w:rsidR="00C76F9B">
        <w:t xml:space="preserve">Groundwater elevations </w:t>
      </w:r>
      <w:r>
        <w:t xml:space="preserve">were also </w:t>
      </w:r>
      <w:r w:rsidR="00C76F9B">
        <w:t xml:space="preserve">collected on April </w:t>
      </w:r>
      <w:r w:rsidR="00345BC3">
        <w:t>11</w:t>
      </w:r>
      <w:r w:rsidR="00C76F9B">
        <w:t xml:space="preserve">, 2024, while the system </w:t>
      </w:r>
      <w:r w:rsidR="00345BC3">
        <w:t xml:space="preserve">had been off for at least </w:t>
      </w:r>
      <w:r w:rsidR="00616778" w:rsidRPr="00616778">
        <w:t>3</w:t>
      </w:r>
      <w:r w:rsidR="00345BC3">
        <w:t xml:space="preserve"> days. Groundwater elevations</w:t>
      </w:r>
      <w:r w:rsidR="00C76F9B">
        <w:t xml:space="preserve"> show that the shallow zone wells ranged from 39.4</w:t>
      </w:r>
      <w:r w:rsidR="00EB7F85">
        <w:t>5</w:t>
      </w:r>
      <w:r w:rsidR="00C76F9B">
        <w:t xml:space="preserve"> to 3</w:t>
      </w:r>
      <w:r w:rsidR="00495D33">
        <w:t>5</w:t>
      </w:r>
      <w:r w:rsidR="00C76F9B">
        <w:t>.</w:t>
      </w:r>
      <w:r w:rsidR="00495D33">
        <w:t>01</w:t>
      </w:r>
      <w:r w:rsidR="00C76F9B" w:rsidRPr="005A2ECD">
        <w:t xml:space="preserve"> </w:t>
      </w:r>
      <w:r w:rsidR="00C76F9B">
        <w:t xml:space="preserve">feet NAVD 88 </w:t>
      </w:r>
      <w:r w:rsidR="00495D33">
        <w:t>(</w:t>
      </w:r>
      <w:r w:rsidR="00C76F9B">
        <w:t xml:space="preserve">Figure </w:t>
      </w:r>
      <w:r w:rsidR="006F1D22">
        <w:t>6</w:t>
      </w:r>
      <w:r w:rsidR="00570AC8">
        <w:t>c</w:t>
      </w:r>
      <w:r w:rsidR="00495D33">
        <w:t>)</w:t>
      </w:r>
      <w:r w:rsidR="00C76F9B">
        <w:t>.</w:t>
      </w:r>
      <w:r w:rsidR="00495D33">
        <w:t xml:space="preserve"> </w:t>
      </w:r>
      <w:r w:rsidR="00823162">
        <w:t>However, e</w:t>
      </w:r>
      <w:r w:rsidR="00495D33">
        <w:t xml:space="preserve">ven after </w:t>
      </w:r>
      <w:r w:rsidR="0021122B">
        <w:t>3</w:t>
      </w:r>
      <w:r w:rsidR="00495D33">
        <w:t xml:space="preserve"> days </w:t>
      </w:r>
      <w:r w:rsidR="005E3BD6">
        <w:t>of shutting off the system, g</w:t>
      </w:r>
      <w:r w:rsidR="00495D33">
        <w:t xml:space="preserve">roundwater in the shallow zone </w:t>
      </w:r>
      <w:r w:rsidR="005E3BD6">
        <w:t xml:space="preserve">was still </w:t>
      </w:r>
      <w:r w:rsidR="00495D33">
        <w:t>mounded around monitoring and injection wells MW-45R, 2i, MW-27, and 18iR</w:t>
      </w:r>
      <w:r w:rsidR="005E3BD6">
        <w:t xml:space="preserve">. Groundwater </w:t>
      </w:r>
      <w:r w:rsidR="00495D33">
        <w:t>flow</w:t>
      </w:r>
      <w:r w:rsidR="005E3BD6">
        <w:t xml:space="preserve"> was </w:t>
      </w:r>
      <w:r w:rsidR="00495D33">
        <w:t>to the southeast and to the south</w:t>
      </w:r>
      <w:r w:rsidR="00645317">
        <w:t>,</w:t>
      </w:r>
      <w:r w:rsidR="00870C61">
        <w:t xml:space="preserve"> with gradients </w:t>
      </w:r>
      <w:r w:rsidR="00366264">
        <w:t xml:space="preserve">ranging between </w:t>
      </w:r>
      <w:r w:rsidR="007179F1">
        <w:t>0.</w:t>
      </w:r>
      <w:r w:rsidR="00445D9D">
        <w:t>02</w:t>
      </w:r>
      <w:r w:rsidR="00366264">
        <w:t xml:space="preserve"> and 0.05 feet </w:t>
      </w:r>
      <w:r w:rsidR="00445D9D">
        <w:t>per foot</w:t>
      </w:r>
      <w:r w:rsidR="007C533D">
        <w:t xml:space="preserve">. </w:t>
      </w:r>
    </w:p>
    <w:p w14:paraId="23BEA7A9" w14:textId="22E1E451" w:rsidR="00FB4D83" w:rsidRDefault="001F2E2D" w:rsidP="00FB4D83">
      <w:r>
        <w:rPr>
          <w:b/>
          <w:bCs/>
        </w:rPr>
        <w:lastRenderedPageBreak/>
        <w:t>Intermediate</w:t>
      </w:r>
      <w:r w:rsidRPr="00DD7303">
        <w:rPr>
          <w:b/>
          <w:bCs/>
        </w:rPr>
        <w:t xml:space="preserve"> Zone (System On</w:t>
      </w:r>
      <w:r>
        <w:rPr>
          <w:b/>
          <w:bCs/>
        </w:rPr>
        <w:t>):</w:t>
      </w:r>
      <w:r>
        <w:t xml:space="preserve"> </w:t>
      </w:r>
      <w:r w:rsidR="005A2ECD">
        <w:t>The inter</w:t>
      </w:r>
      <w:r w:rsidR="00C3247A">
        <w:t xml:space="preserve">mediate zone groundwater </w:t>
      </w:r>
      <w:r w:rsidR="00ED2B4F">
        <w:t>elevation</w:t>
      </w:r>
      <w:r w:rsidR="00E106B3">
        <w:t xml:space="preserve">s ranged from </w:t>
      </w:r>
      <w:r w:rsidR="00E20C53">
        <w:t>38.28 to 34.12 feet NAVD 88</w:t>
      </w:r>
      <w:r w:rsidR="00BD732D">
        <w:t xml:space="preserve"> (Figure </w:t>
      </w:r>
      <w:r w:rsidR="006F1D22">
        <w:t>6</w:t>
      </w:r>
      <w:r w:rsidR="00570AC8">
        <w:t>b</w:t>
      </w:r>
      <w:r w:rsidR="00BD732D">
        <w:t>)</w:t>
      </w:r>
      <w:r w:rsidR="00E20C53">
        <w:t>.</w:t>
      </w:r>
      <w:r w:rsidR="00421C3E">
        <w:t xml:space="preserve"> </w:t>
      </w:r>
      <w:r w:rsidR="00BD732D">
        <w:t xml:space="preserve">Groundwater in the intermediate zone </w:t>
      </w:r>
      <w:r w:rsidR="008959D9">
        <w:t xml:space="preserve">generally flows to the southeast </w:t>
      </w:r>
      <w:r w:rsidR="008B2CB1">
        <w:t xml:space="preserve">with a gradient ranging between </w:t>
      </w:r>
      <w:r w:rsidR="00DF613D">
        <w:t xml:space="preserve">approximately </w:t>
      </w:r>
      <w:r w:rsidR="008874CA">
        <w:t>0.01</w:t>
      </w:r>
      <w:r w:rsidR="007C3FEB">
        <w:t xml:space="preserve"> and </w:t>
      </w:r>
      <w:r w:rsidR="008B2CB1">
        <w:t>0.06 feet per foot</w:t>
      </w:r>
      <w:r w:rsidR="00875F7C">
        <w:t xml:space="preserve">, </w:t>
      </w:r>
      <w:r w:rsidR="008959D9">
        <w:t xml:space="preserve">and there appears to be some influence </w:t>
      </w:r>
      <w:r w:rsidR="00A92EA4">
        <w:t xml:space="preserve">from the system around MW-12. </w:t>
      </w:r>
    </w:p>
    <w:p w14:paraId="6883E057" w14:textId="609D6994" w:rsidR="001F2E2D" w:rsidRDefault="001F2E2D" w:rsidP="00FB4D83">
      <w:r>
        <w:rPr>
          <w:b/>
          <w:bCs/>
        </w:rPr>
        <w:t>Intermediate</w:t>
      </w:r>
      <w:r w:rsidRPr="00DD7303">
        <w:rPr>
          <w:b/>
          <w:bCs/>
        </w:rPr>
        <w:t xml:space="preserve"> Zone (System O</w:t>
      </w:r>
      <w:r>
        <w:rPr>
          <w:b/>
          <w:bCs/>
        </w:rPr>
        <w:t>ff):</w:t>
      </w:r>
      <w:r>
        <w:t xml:space="preserve"> The intermediate zone groundwater elevations ranged from 38.29 to 34.1</w:t>
      </w:r>
      <w:r w:rsidR="00A73A23">
        <w:t>9</w:t>
      </w:r>
      <w:r>
        <w:t xml:space="preserve"> feet NAVD 88 (Figure </w:t>
      </w:r>
      <w:r w:rsidR="006F1D22">
        <w:t>6d</w:t>
      </w:r>
      <w:r w:rsidR="00A73A23">
        <w:t>)</w:t>
      </w:r>
      <w:r>
        <w:t>. Groundwater in the intermediate zone generally flows to the southeast</w:t>
      </w:r>
      <w:r w:rsidR="004E58CD">
        <w:t xml:space="preserve"> with a gradient of approximately </w:t>
      </w:r>
      <w:r w:rsidR="00377309">
        <w:t>0.</w:t>
      </w:r>
      <w:r w:rsidR="00A05A88">
        <w:t>025</w:t>
      </w:r>
      <w:r w:rsidR="00B974CB">
        <w:t xml:space="preserve"> feet per foot</w:t>
      </w:r>
      <w:r w:rsidR="00A73A23">
        <w:t xml:space="preserve">; however, the </w:t>
      </w:r>
      <w:r w:rsidR="00334348">
        <w:t xml:space="preserve">system’s influence </w:t>
      </w:r>
      <w:r w:rsidR="005947AE">
        <w:t>o</w:t>
      </w:r>
      <w:r w:rsidR="00334348">
        <w:t>n the groundwater contours</w:t>
      </w:r>
      <w:r w:rsidR="003D3622">
        <w:t xml:space="preserve"> around MW-12</w:t>
      </w:r>
      <w:r w:rsidR="00334348">
        <w:t xml:space="preserve"> is absent </w:t>
      </w:r>
      <w:r w:rsidR="003D3622">
        <w:t xml:space="preserve">after </w:t>
      </w:r>
      <w:r w:rsidR="00F730C1" w:rsidRPr="00F730C1">
        <w:t>3</w:t>
      </w:r>
      <w:r w:rsidR="003D3622">
        <w:t xml:space="preserve"> days of not running </w:t>
      </w:r>
      <w:r w:rsidR="00334348">
        <w:t>the system</w:t>
      </w:r>
      <w:r w:rsidR="003D3622">
        <w:t xml:space="preserve">. </w:t>
      </w:r>
    </w:p>
    <w:p w14:paraId="5F133C2D" w14:textId="6426E81D" w:rsidR="003A7994" w:rsidRDefault="00667483" w:rsidP="00FB4D83">
      <w:r>
        <w:t xml:space="preserve">There are no </w:t>
      </w:r>
      <w:r w:rsidR="00430B4E">
        <w:t>extraction or injection wells in the deep aquifer</w:t>
      </w:r>
      <w:r w:rsidR="00B974CB">
        <w:t>;</w:t>
      </w:r>
      <w:r w:rsidR="00430B4E">
        <w:t xml:space="preserve"> therefore</w:t>
      </w:r>
      <w:r w:rsidR="00B974CB">
        <w:t>,</w:t>
      </w:r>
      <w:r w:rsidR="00430B4E">
        <w:t xml:space="preserve"> no impact is expected between </w:t>
      </w:r>
      <w:r w:rsidR="008912C7">
        <w:t>system operation or nonoperation.</w:t>
      </w:r>
    </w:p>
    <w:p w14:paraId="3963889B" w14:textId="53455301" w:rsidR="0036042F" w:rsidRDefault="00D33861" w:rsidP="0036042F">
      <w:pPr>
        <w:pStyle w:val="Heading3"/>
      </w:pPr>
      <w:r>
        <w:t xml:space="preserve">April 2024 Groundwater </w:t>
      </w:r>
      <w:r w:rsidR="00E06AC9">
        <w:t>Sampling</w:t>
      </w:r>
      <w:r>
        <w:t xml:space="preserve"> </w:t>
      </w:r>
      <w:r w:rsidR="0036042F">
        <w:t>Results</w:t>
      </w:r>
    </w:p>
    <w:p w14:paraId="5D728EB5" w14:textId="627528E1" w:rsidR="00754AF3" w:rsidRPr="007154D8" w:rsidRDefault="00754AF3" w:rsidP="005544E7">
      <w:r w:rsidRPr="00D871C9">
        <w:t>Table</w:t>
      </w:r>
      <w:r>
        <w:t>s</w:t>
      </w:r>
      <w:r w:rsidRPr="00D871C9">
        <w:t xml:space="preserve"> </w:t>
      </w:r>
      <w:r>
        <w:t xml:space="preserve">1 through </w:t>
      </w:r>
      <w:r w:rsidR="009B422F">
        <w:t>4</w:t>
      </w:r>
      <w:r w:rsidRPr="00D871C9">
        <w:t xml:space="preserve"> provide </w:t>
      </w:r>
      <w:r>
        <w:t>semiannual</w:t>
      </w:r>
      <w:r w:rsidRPr="00D871C9">
        <w:t xml:space="preserve"> groundwater analytical results for CVOCs compared </w:t>
      </w:r>
      <w:r w:rsidR="00253F27">
        <w:t>with</w:t>
      </w:r>
      <w:r w:rsidRPr="00D871C9">
        <w:t xml:space="preserve"> </w:t>
      </w:r>
      <w:r w:rsidR="005B755A">
        <w:t xml:space="preserve">their </w:t>
      </w:r>
      <w:r w:rsidR="005B755A" w:rsidRPr="007154D8">
        <w:t xml:space="preserve">respective </w:t>
      </w:r>
      <w:r w:rsidRPr="007154D8">
        <w:t xml:space="preserve">MTCA Method A CULs. Figures </w:t>
      </w:r>
      <w:r w:rsidR="003B5B00" w:rsidRPr="007154D8">
        <w:t>7</w:t>
      </w:r>
      <w:r w:rsidR="00E651A4" w:rsidRPr="007154D8">
        <w:t>a</w:t>
      </w:r>
      <w:r w:rsidR="00FA0CD4" w:rsidRPr="007154D8">
        <w:t xml:space="preserve"> through </w:t>
      </w:r>
      <w:r w:rsidR="000E5A43" w:rsidRPr="007154D8">
        <w:t>10</w:t>
      </w:r>
      <w:r w:rsidR="00124999" w:rsidRPr="007154D8">
        <w:t>c</w:t>
      </w:r>
      <w:r w:rsidR="00307645" w:rsidRPr="007154D8">
        <w:t xml:space="preserve"> </w:t>
      </w:r>
      <w:r w:rsidRPr="007154D8">
        <w:t xml:space="preserve">show </w:t>
      </w:r>
      <w:r w:rsidR="005A7B40" w:rsidRPr="007154D8">
        <w:t>CVOC</w:t>
      </w:r>
      <w:r w:rsidRPr="007154D8">
        <w:t xml:space="preserve"> groundwater concentration</w:t>
      </w:r>
      <w:r w:rsidR="005A7B40" w:rsidRPr="007154D8">
        <w:t>s</w:t>
      </w:r>
      <w:r w:rsidRPr="007154D8">
        <w:t xml:space="preserve"> at each monitoring well location</w:t>
      </w:r>
      <w:r w:rsidR="00FC5F64" w:rsidRPr="007154D8">
        <w:t xml:space="preserve"> </w:t>
      </w:r>
      <w:r w:rsidRPr="007154D8">
        <w:t xml:space="preserve">by </w:t>
      </w:r>
      <w:r w:rsidR="00167A5F" w:rsidRPr="007154D8">
        <w:t xml:space="preserve">each </w:t>
      </w:r>
      <w:r w:rsidRPr="007154D8">
        <w:t>aquifer zone.</w:t>
      </w:r>
      <w:r w:rsidR="00167A5F" w:rsidRPr="007154D8">
        <w:t xml:space="preserve"> </w:t>
      </w:r>
    </w:p>
    <w:p w14:paraId="2743A8F9" w14:textId="77777777" w:rsidR="001656D5" w:rsidRDefault="0036042F" w:rsidP="001656D5">
      <w:pPr>
        <w:pStyle w:val="Heading4"/>
      </w:pPr>
      <w:r w:rsidRPr="007154D8">
        <w:t>Shallow Aquifer</w:t>
      </w:r>
      <w:r w:rsidR="004A1778" w:rsidRPr="007154D8">
        <w:t xml:space="preserve"> </w:t>
      </w:r>
    </w:p>
    <w:p w14:paraId="52FDFB45" w14:textId="5A91D275" w:rsidR="00045C61" w:rsidRPr="001656D5" w:rsidRDefault="00045C61" w:rsidP="001656D5">
      <w:pPr>
        <w:rPr>
          <w:spacing w:val="-2"/>
        </w:rPr>
      </w:pPr>
      <w:r w:rsidRPr="001656D5">
        <w:rPr>
          <w:spacing w:val="-2"/>
        </w:rPr>
        <w:t xml:space="preserve">PCE was detected in </w:t>
      </w:r>
      <w:r w:rsidR="00743A25" w:rsidRPr="001656D5">
        <w:rPr>
          <w:spacing w:val="-2"/>
        </w:rPr>
        <w:t>14</w:t>
      </w:r>
      <w:r w:rsidRPr="001656D5">
        <w:rPr>
          <w:spacing w:val="-2"/>
        </w:rPr>
        <w:t xml:space="preserve"> out of the</w:t>
      </w:r>
      <w:r w:rsidR="0077660D" w:rsidRPr="001656D5">
        <w:rPr>
          <w:spacing w:val="-2"/>
        </w:rPr>
        <w:t xml:space="preserve"> </w:t>
      </w:r>
      <w:r w:rsidR="00743A25" w:rsidRPr="001656D5">
        <w:rPr>
          <w:spacing w:val="-2"/>
        </w:rPr>
        <w:t>16</w:t>
      </w:r>
      <w:r w:rsidR="0065532B" w:rsidRPr="001656D5">
        <w:rPr>
          <w:spacing w:val="-2"/>
        </w:rPr>
        <w:t xml:space="preserve"> </w:t>
      </w:r>
      <w:r w:rsidR="000301E8" w:rsidRPr="001656D5">
        <w:rPr>
          <w:spacing w:val="-2"/>
        </w:rPr>
        <w:t>shallow</w:t>
      </w:r>
      <w:r w:rsidRPr="001656D5">
        <w:rPr>
          <w:spacing w:val="-2"/>
        </w:rPr>
        <w:t xml:space="preserve"> aquifer wells</w:t>
      </w:r>
      <w:r w:rsidR="009C0C71" w:rsidRPr="001656D5">
        <w:rPr>
          <w:spacing w:val="-2"/>
        </w:rPr>
        <w:t xml:space="preserve"> sampled</w:t>
      </w:r>
      <w:r w:rsidRPr="001656D5">
        <w:rPr>
          <w:spacing w:val="-2"/>
        </w:rPr>
        <w:t xml:space="preserve">, with </w:t>
      </w:r>
      <w:r w:rsidR="002E5376" w:rsidRPr="001656D5">
        <w:rPr>
          <w:spacing w:val="-2"/>
        </w:rPr>
        <w:t>9</w:t>
      </w:r>
      <w:r w:rsidR="00F82C27" w:rsidRPr="001656D5">
        <w:rPr>
          <w:spacing w:val="-2"/>
        </w:rPr>
        <w:t xml:space="preserve"> </w:t>
      </w:r>
      <w:r w:rsidRPr="001656D5">
        <w:rPr>
          <w:spacing w:val="-2"/>
        </w:rPr>
        <w:t xml:space="preserve">wells containing concentrations greater than the MTCA Method A CUL of </w:t>
      </w:r>
      <w:r w:rsidR="000F7A2E" w:rsidRPr="001656D5">
        <w:rPr>
          <w:spacing w:val="-2"/>
        </w:rPr>
        <w:t xml:space="preserve">5 µg/L </w:t>
      </w:r>
      <w:r w:rsidRPr="001656D5">
        <w:rPr>
          <w:spacing w:val="-2"/>
        </w:rPr>
        <w:t xml:space="preserve">during the </w:t>
      </w:r>
      <w:r w:rsidR="00743A25" w:rsidRPr="001656D5">
        <w:rPr>
          <w:spacing w:val="-2"/>
        </w:rPr>
        <w:t>s</w:t>
      </w:r>
      <w:r w:rsidRPr="001656D5">
        <w:rPr>
          <w:spacing w:val="-2"/>
        </w:rPr>
        <w:t xml:space="preserve">pring sampling event. </w:t>
      </w:r>
      <w:r w:rsidR="00E832D0" w:rsidRPr="001656D5">
        <w:rPr>
          <w:spacing w:val="-2"/>
        </w:rPr>
        <w:t xml:space="preserve">Shallow wells HZ-MW-31 and S-MW-1 were not located </w:t>
      </w:r>
      <w:r w:rsidR="006937C8" w:rsidRPr="001656D5">
        <w:rPr>
          <w:spacing w:val="-2"/>
        </w:rPr>
        <w:t xml:space="preserve">or accessible </w:t>
      </w:r>
      <w:r w:rsidR="00E832D0" w:rsidRPr="001656D5">
        <w:rPr>
          <w:spacing w:val="-2"/>
        </w:rPr>
        <w:t xml:space="preserve">during the sampling event due to construction activities; therefore, these wells were not sampled during the April 2024 monitoring event. </w:t>
      </w:r>
      <w:r w:rsidRPr="001656D5">
        <w:rPr>
          <w:spacing w:val="-2"/>
        </w:rPr>
        <w:t xml:space="preserve">PCE concentrations ranged from less than the </w:t>
      </w:r>
      <w:r w:rsidR="00E46D8A" w:rsidRPr="001656D5">
        <w:rPr>
          <w:spacing w:val="-2"/>
        </w:rPr>
        <w:t xml:space="preserve">practical quantitation limit (PQL) </w:t>
      </w:r>
      <w:r w:rsidRPr="001656D5">
        <w:rPr>
          <w:spacing w:val="-2"/>
        </w:rPr>
        <w:t>to 1,</w:t>
      </w:r>
      <w:r w:rsidR="009231D3" w:rsidRPr="001656D5">
        <w:rPr>
          <w:spacing w:val="-2"/>
        </w:rPr>
        <w:t>9</w:t>
      </w:r>
      <w:r w:rsidRPr="001656D5">
        <w:rPr>
          <w:spacing w:val="-2"/>
        </w:rPr>
        <w:t>00 µg/L at MW-</w:t>
      </w:r>
      <w:r w:rsidR="009231D3" w:rsidRPr="001656D5">
        <w:rPr>
          <w:spacing w:val="-2"/>
        </w:rPr>
        <w:t>40</w:t>
      </w:r>
      <w:r w:rsidRPr="001656D5">
        <w:rPr>
          <w:spacing w:val="-2"/>
        </w:rPr>
        <w:t xml:space="preserve">. </w:t>
      </w:r>
      <w:r w:rsidR="0050707C" w:rsidRPr="001656D5">
        <w:rPr>
          <w:spacing w:val="-2"/>
        </w:rPr>
        <w:t xml:space="preserve">Figure </w:t>
      </w:r>
      <w:r w:rsidR="0023571D" w:rsidRPr="001656D5">
        <w:rPr>
          <w:spacing w:val="-2"/>
        </w:rPr>
        <w:t>7</w:t>
      </w:r>
      <w:r w:rsidR="002E7A4A" w:rsidRPr="001656D5">
        <w:rPr>
          <w:spacing w:val="-2"/>
        </w:rPr>
        <w:t>a</w:t>
      </w:r>
      <w:r w:rsidR="00384709" w:rsidRPr="001656D5">
        <w:rPr>
          <w:spacing w:val="-2"/>
        </w:rPr>
        <w:t xml:space="preserve"> shows </w:t>
      </w:r>
      <w:r w:rsidR="00C34B75" w:rsidRPr="001656D5">
        <w:rPr>
          <w:spacing w:val="-2"/>
        </w:rPr>
        <w:t xml:space="preserve">the April </w:t>
      </w:r>
      <w:r w:rsidR="00B30CAD" w:rsidRPr="001656D5">
        <w:rPr>
          <w:spacing w:val="-2"/>
        </w:rPr>
        <w:t xml:space="preserve">2024 </w:t>
      </w:r>
      <w:r w:rsidR="00AB1173" w:rsidRPr="001656D5">
        <w:rPr>
          <w:spacing w:val="-2"/>
        </w:rPr>
        <w:t>PCE isoc</w:t>
      </w:r>
      <w:r w:rsidR="00163C16" w:rsidRPr="001656D5">
        <w:rPr>
          <w:spacing w:val="-2"/>
        </w:rPr>
        <w:t>ontour</w:t>
      </w:r>
      <w:r w:rsidR="000B4A2E" w:rsidRPr="001656D5">
        <w:rPr>
          <w:spacing w:val="-2"/>
        </w:rPr>
        <w:t>s</w:t>
      </w:r>
      <w:r w:rsidR="00163C16" w:rsidRPr="001656D5">
        <w:rPr>
          <w:spacing w:val="-2"/>
        </w:rPr>
        <w:t xml:space="preserve"> </w:t>
      </w:r>
      <w:r w:rsidR="00E53664" w:rsidRPr="001656D5">
        <w:rPr>
          <w:spacing w:val="-2"/>
        </w:rPr>
        <w:t xml:space="preserve">and concentrations </w:t>
      </w:r>
      <w:r w:rsidR="002D3E48" w:rsidRPr="001656D5">
        <w:rPr>
          <w:spacing w:val="-2"/>
        </w:rPr>
        <w:t xml:space="preserve">within the shallow aquifer. </w:t>
      </w:r>
      <w:r w:rsidR="00917FC4" w:rsidRPr="001656D5">
        <w:rPr>
          <w:spacing w:val="-2"/>
        </w:rPr>
        <w:t xml:space="preserve">The </w:t>
      </w:r>
      <w:r w:rsidR="00774094" w:rsidRPr="001656D5">
        <w:rPr>
          <w:spacing w:val="-2"/>
        </w:rPr>
        <w:t xml:space="preserve">area </w:t>
      </w:r>
      <w:r w:rsidR="00521529" w:rsidRPr="001656D5">
        <w:rPr>
          <w:spacing w:val="-2"/>
        </w:rPr>
        <w:t>of</w:t>
      </w:r>
      <w:r w:rsidR="00774094" w:rsidRPr="001656D5">
        <w:rPr>
          <w:spacing w:val="-2"/>
        </w:rPr>
        <w:t xml:space="preserve"> the greatest concentration</w:t>
      </w:r>
      <w:r w:rsidR="00E863B4" w:rsidRPr="001656D5">
        <w:rPr>
          <w:spacing w:val="-2"/>
        </w:rPr>
        <w:t xml:space="preserve"> </w:t>
      </w:r>
      <w:r w:rsidR="00D5116E" w:rsidRPr="001656D5">
        <w:rPr>
          <w:spacing w:val="-2"/>
        </w:rPr>
        <w:t xml:space="preserve">beneath the building </w:t>
      </w:r>
      <w:r w:rsidR="00774094" w:rsidRPr="001656D5">
        <w:rPr>
          <w:spacing w:val="-2"/>
        </w:rPr>
        <w:t xml:space="preserve">is </w:t>
      </w:r>
      <w:r w:rsidR="00D5116E" w:rsidRPr="001656D5">
        <w:rPr>
          <w:spacing w:val="-2"/>
        </w:rPr>
        <w:t xml:space="preserve">centered around </w:t>
      </w:r>
      <w:r w:rsidR="00774094" w:rsidRPr="001656D5">
        <w:rPr>
          <w:spacing w:val="-2"/>
        </w:rPr>
        <w:t>MW-</w:t>
      </w:r>
      <w:r w:rsidR="00E863B4" w:rsidRPr="001656D5">
        <w:rPr>
          <w:spacing w:val="-2"/>
        </w:rPr>
        <w:t>7</w:t>
      </w:r>
      <w:r w:rsidR="002C3009" w:rsidRPr="001656D5">
        <w:rPr>
          <w:spacing w:val="-2"/>
        </w:rPr>
        <w:t xml:space="preserve"> </w:t>
      </w:r>
      <w:r w:rsidR="0088090B" w:rsidRPr="001656D5">
        <w:rPr>
          <w:spacing w:val="-2"/>
        </w:rPr>
        <w:t>(having</w:t>
      </w:r>
      <w:r w:rsidR="002C3009" w:rsidRPr="001656D5">
        <w:rPr>
          <w:spacing w:val="-2"/>
        </w:rPr>
        <w:t xml:space="preserve"> a concentration of 1,600 µg/L</w:t>
      </w:r>
      <w:r w:rsidR="0088090B" w:rsidRPr="001656D5">
        <w:rPr>
          <w:spacing w:val="-2"/>
        </w:rPr>
        <w:t>)</w:t>
      </w:r>
      <w:r w:rsidR="00035F02" w:rsidRPr="001656D5">
        <w:rPr>
          <w:spacing w:val="-2"/>
        </w:rPr>
        <w:t xml:space="preserve">.There are </w:t>
      </w:r>
      <w:r w:rsidR="002269E2" w:rsidRPr="001656D5">
        <w:rPr>
          <w:spacing w:val="-2"/>
        </w:rPr>
        <w:t xml:space="preserve">separate </w:t>
      </w:r>
      <w:r w:rsidR="00B7158C" w:rsidRPr="001656D5">
        <w:rPr>
          <w:spacing w:val="-2"/>
        </w:rPr>
        <w:t>areas of exceedances around MW-43R and MW-40 on the west side of the Site</w:t>
      </w:r>
      <w:r w:rsidR="004731B6" w:rsidRPr="001656D5">
        <w:rPr>
          <w:spacing w:val="-2"/>
        </w:rPr>
        <w:t>,</w:t>
      </w:r>
      <w:r w:rsidR="00B7158C" w:rsidRPr="001656D5">
        <w:rPr>
          <w:spacing w:val="-2"/>
        </w:rPr>
        <w:t xml:space="preserve"> outside the building along 98</w:t>
      </w:r>
      <w:r w:rsidR="00B7158C" w:rsidRPr="001656D5">
        <w:rPr>
          <w:spacing w:val="-2"/>
          <w:vertAlign w:val="superscript"/>
        </w:rPr>
        <w:t>th</w:t>
      </w:r>
      <w:r w:rsidR="00B7158C" w:rsidRPr="001656D5">
        <w:rPr>
          <w:spacing w:val="-2"/>
        </w:rPr>
        <w:t xml:space="preserve"> Ave</w:t>
      </w:r>
      <w:r w:rsidR="00F730C1" w:rsidRPr="001656D5">
        <w:rPr>
          <w:spacing w:val="-2"/>
        </w:rPr>
        <w:t>nue</w:t>
      </w:r>
      <w:r w:rsidR="00B7158C" w:rsidRPr="001656D5">
        <w:rPr>
          <w:spacing w:val="-2"/>
        </w:rPr>
        <w:t xml:space="preserve"> NE</w:t>
      </w:r>
      <w:r w:rsidR="002C3009" w:rsidRPr="001656D5">
        <w:rPr>
          <w:spacing w:val="-2"/>
        </w:rPr>
        <w:t xml:space="preserve">. </w:t>
      </w:r>
    </w:p>
    <w:p w14:paraId="749D5E8E" w14:textId="14D778E7" w:rsidR="00045C61" w:rsidRDefault="00045C61" w:rsidP="00045C61">
      <w:r>
        <w:t xml:space="preserve">TCE was detected in </w:t>
      </w:r>
      <w:r w:rsidR="00484DCE">
        <w:t>13</w:t>
      </w:r>
      <w:r w:rsidR="00641593">
        <w:t xml:space="preserve"> </w:t>
      </w:r>
      <w:r>
        <w:t xml:space="preserve">out of the </w:t>
      </w:r>
      <w:r w:rsidR="00484DCE">
        <w:t>16</w:t>
      </w:r>
      <w:r w:rsidR="009D4355">
        <w:t xml:space="preserve"> </w:t>
      </w:r>
      <w:r w:rsidR="000301E8">
        <w:t>shallow</w:t>
      </w:r>
      <w:r>
        <w:t xml:space="preserve"> aquifer wells</w:t>
      </w:r>
      <w:r w:rsidR="009C0C71">
        <w:t xml:space="preserve"> sampled</w:t>
      </w:r>
      <w:r>
        <w:t xml:space="preserve">, with </w:t>
      </w:r>
      <w:r w:rsidR="00484DCE">
        <w:t>7</w:t>
      </w:r>
      <w:r>
        <w:t xml:space="preserve"> wells containing concentrations greater than the MTCA Method A CUL of </w:t>
      </w:r>
      <w:r w:rsidR="000F7A2E" w:rsidRPr="000F7A2E">
        <w:t>5</w:t>
      </w:r>
      <w:r w:rsidR="000F7A2E">
        <w:t xml:space="preserve"> </w:t>
      </w:r>
      <w:r w:rsidR="000F7A2E" w:rsidRPr="00FE39CA">
        <w:t>µg/L</w:t>
      </w:r>
      <w:r w:rsidR="000F7A2E">
        <w:t xml:space="preserve"> d</w:t>
      </w:r>
      <w:r w:rsidRPr="000F7A2E">
        <w:t>uring</w:t>
      </w:r>
      <w:r>
        <w:t xml:space="preserve"> the </w:t>
      </w:r>
      <w:r w:rsidR="00484DCE">
        <w:t>s</w:t>
      </w:r>
      <w:r>
        <w:t xml:space="preserve">pring sampling event. TCE concentrations ranged from less than the </w:t>
      </w:r>
      <w:r w:rsidR="00124999">
        <w:t xml:space="preserve">PQL </w:t>
      </w:r>
      <w:r>
        <w:t xml:space="preserve">to </w:t>
      </w:r>
      <w:r w:rsidR="00723CE3">
        <w:t>3,700</w:t>
      </w:r>
      <w:r>
        <w:t xml:space="preserve"> </w:t>
      </w:r>
      <w:r w:rsidRPr="00FE39CA">
        <w:t>µg/L</w:t>
      </w:r>
      <w:r>
        <w:t xml:space="preserve"> at MW-</w:t>
      </w:r>
      <w:r w:rsidR="00EF0643">
        <w:t>40</w:t>
      </w:r>
      <w:r>
        <w:t>.</w:t>
      </w:r>
      <w:r w:rsidR="00494602">
        <w:t xml:space="preserve"> </w:t>
      </w:r>
      <w:r w:rsidR="00124999">
        <w:t xml:space="preserve">Figure </w:t>
      </w:r>
      <w:r w:rsidR="00AB3979">
        <w:t>8</w:t>
      </w:r>
      <w:r w:rsidR="00AD5B20">
        <w:t xml:space="preserve">a shows </w:t>
      </w:r>
      <w:r w:rsidR="00E15DA2">
        <w:t>TCE isocontour</w:t>
      </w:r>
      <w:r w:rsidR="008F284C">
        <w:t>s and</w:t>
      </w:r>
      <w:r w:rsidR="00D4642F">
        <w:t xml:space="preserve"> concentration</w:t>
      </w:r>
      <w:r w:rsidR="00E15DA2">
        <w:t>s within the shallow zone</w:t>
      </w:r>
      <w:r w:rsidR="00C023DE">
        <w:t>:</w:t>
      </w:r>
      <w:r w:rsidR="00D4642F">
        <w:t xml:space="preserve"> two separate areas of exceedance beneath the building</w:t>
      </w:r>
      <w:r w:rsidR="00645D67">
        <w:t xml:space="preserve"> center</w:t>
      </w:r>
      <w:r w:rsidR="007A6FB8">
        <w:t>ed around MW-7</w:t>
      </w:r>
      <w:r w:rsidR="00D4642F">
        <w:t xml:space="preserve"> and one </w:t>
      </w:r>
      <w:r w:rsidR="008175C5">
        <w:t xml:space="preserve">in the western portion of the property </w:t>
      </w:r>
      <w:r w:rsidR="00D4642F">
        <w:t>outside the building</w:t>
      </w:r>
      <w:r w:rsidR="008175C5">
        <w:t xml:space="preserve">. </w:t>
      </w:r>
    </w:p>
    <w:p w14:paraId="54415B48" w14:textId="143E440B" w:rsidR="00045C61" w:rsidRPr="001656D5" w:rsidRDefault="00045C61" w:rsidP="00045C61">
      <w:pPr>
        <w:rPr>
          <w:spacing w:val="-2"/>
        </w:rPr>
      </w:pPr>
      <w:r w:rsidRPr="001656D5">
        <w:rPr>
          <w:spacing w:val="-2"/>
        </w:rPr>
        <w:t xml:space="preserve">DCE was detected in </w:t>
      </w:r>
      <w:r w:rsidR="00F730C1" w:rsidRPr="001656D5">
        <w:rPr>
          <w:spacing w:val="-2"/>
        </w:rPr>
        <w:t>14</w:t>
      </w:r>
      <w:r w:rsidRPr="001656D5">
        <w:rPr>
          <w:spacing w:val="-2"/>
        </w:rPr>
        <w:t xml:space="preserve"> out of the </w:t>
      </w:r>
      <w:r w:rsidR="00F730C1" w:rsidRPr="001656D5">
        <w:rPr>
          <w:spacing w:val="-2"/>
        </w:rPr>
        <w:t>16</w:t>
      </w:r>
      <w:r w:rsidR="00EA6CD2" w:rsidRPr="001656D5">
        <w:rPr>
          <w:spacing w:val="-2"/>
        </w:rPr>
        <w:t xml:space="preserve"> </w:t>
      </w:r>
      <w:r w:rsidR="000301E8" w:rsidRPr="001656D5">
        <w:rPr>
          <w:spacing w:val="-2"/>
        </w:rPr>
        <w:t>shallow</w:t>
      </w:r>
      <w:r w:rsidRPr="001656D5">
        <w:rPr>
          <w:spacing w:val="-2"/>
        </w:rPr>
        <w:t xml:space="preserve"> aquifer wells</w:t>
      </w:r>
      <w:r w:rsidR="009C0C71" w:rsidRPr="001656D5">
        <w:rPr>
          <w:spacing w:val="-2"/>
        </w:rPr>
        <w:t xml:space="preserve"> sampled</w:t>
      </w:r>
      <w:r w:rsidRPr="001656D5">
        <w:rPr>
          <w:spacing w:val="-2"/>
        </w:rPr>
        <w:t xml:space="preserve">, with </w:t>
      </w:r>
      <w:r w:rsidR="00555769" w:rsidRPr="001656D5">
        <w:rPr>
          <w:spacing w:val="-2"/>
        </w:rPr>
        <w:t>seven</w:t>
      </w:r>
      <w:r w:rsidRPr="001656D5">
        <w:rPr>
          <w:spacing w:val="-2"/>
        </w:rPr>
        <w:t xml:space="preserve"> wells containing concentrations greater than the MTCA CUL of </w:t>
      </w:r>
      <w:r w:rsidR="000F7A2E" w:rsidRPr="001656D5">
        <w:rPr>
          <w:spacing w:val="-2"/>
        </w:rPr>
        <w:t>16 µg/L</w:t>
      </w:r>
      <w:r w:rsidRPr="001656D5">
        <w:rPr>
          <w:spacing w:val="-2"/>
        </w:rPr>
        <w:t xml:space="preserve"> during the </w:t>
      </w:r>
      <w:r w:rsidR="003E2D03" w:rsidRPr="001656D5">
        <w:rPr>
          <w:spacing w:val="-2"/>
        </w:rPr>
        <w:t>s</w:t>
      </w:r>
      <w:r w:rsidRPr="001656D5">
        <w:rPr>
          <w:spacing w:val="-2"/>
        </w:rPr>
        <w:t xml:space="preserve">pring sampling event. DCE concentrations ranged from less than the </w:t>
      </w:r>
      <w:r w:rsidR="00E53664" w:rsidRPr="001656D5">
        <w:rPr>
          <w:spacing w:val="-2"/>
        </w:rPr>
        <w:t>PQL</w:t>
      </w:r>
      <w:r w:rsidRPr="001656D5">
        <w:rPr>
          <w:spacing w:val="-2"/>
        </w:rPr>
        <w:t xml:space="preserve"> to </w:t>
      </w:r>
      <w:r w:rsidR="006742A9" w:rsidRPr="001656D5">
        <w:rPr>
          <w:spacing w:val="-2"/>
        </w:rPr>
        <w:t>590</w:t>
      </w:r>
      <w:r w:rsidRPr="001656D5">
        <w:rPr>
          <w:spacing w:val="-2"/>
        </w:rPr>
        <w:t xml:space="preserve"> µg/L at MW-</w:t>
      </w:r>
      <w:r w:rsidR="006742A9" w:rsidRPr="001656D5">
        <w:rPr>
          <w:spacing w:val="-2"/>
        </w:rPr>
        <w:t>4R</w:t>
      </w:r>
      <w:r w:rsidRPr="001656D5">
        <w:rPr>
          <w:spacing w:val="-2"/>
        </w:rPr>
        <w:t>.</w:t>
      </w:r>
      <w:r w:rsidR="00494602" w:rsidRPr="001656D5">
        <w:rPr>
          <w:spacing w:val="-2"/>
        </w:rPr>
        <w:t xml:space="preserve"> Figure </w:t>
      </w:r>
      <w:r w:rsidR="0023571D" w:rsidRPr="001656D5">
        <w:rPr>
          <w:spacing w:val="-2"/>
        </w:rPr>
        <w:t>9</w:t>
      </w:r>
      <w:r w:rsidR="00494602" w:rsidRPr="001656D5">
        <w:rPr>
          <w:spacing w:val="-2"/>
        </w:rPr>
        <w:t>a shows DCE isocontour</w:t>
      </w:r>
      <w:r w:rsidR="008F284C" w:rsidRPr="001656D5">
        <w:rPr>
          <w:spacing w:val="-2"/>
        </w:rPr>
        <w:t>s and</w:t>
      </w:r>
      <w:r w:rsidR="00494602" w:rsidRPr="001656D5">
        <w:rPr>
          <w:spacing w:val="-2"/>
        </w:rPr>
        <w:t xml:space="preserve"> concentrations within the shallow zone</w:t>
      </w:r>
      <w:r w:rsidR="00E53664" w:rsidRPr="001656D5">
        <w:rPr>
          <w:spacing w:val="-2"/>
        </w:rPr>
        <w:t xml:space="preserve">. The area with the greatest concentration </w:t>
      </w:r>
      <w:r w:rsidR="00E53664" w:rsidRPr="001656D5">
        <w:rPr>
          <w:spacing w:val="-2"/>
        </w:rPr>
        <w:lastRenderedPageBreak/>
        <w:t>beneath the building is centered around MW-4R</w:t>
      </w:r>
      <w:r w:rsidR="003E2D03" w:rsidRPr="001656D5">
        <w:rPr>
          <w:spacing w:val="-2"/>
        </w:rPr>
        <w:t>,</w:t>
      </w:r>
      <w:r w:rsidR="00E53664" w:rsidRPr="001656D5">
        <w:rPr>
          <w:spacing w:val="-2"/>
        </w:rPr>
        <w:t xml:space="preserve"> with </w:t>
      </w:r>
      <w:r w:rsidR="00536E0C" w:rsidRPr="001656D5">
        <w:rPr>
          <w:spacing w:val="-2"/>
        </w:rPr>
        <w:t xml:space="preserve">a </w:t>
      </w:r>
      <w:r w:rsidR="00E53664" w:rsidRPr="001656D5">
        <w:rPr>
          <w:spacing w:val="-2"/>
        </w:rPr>
        <w:t xml:space="preserve">separate </w:t>
      </w:r>
      <w:r w:rsidR="00536E0C" w:rsidRPr="001656D5">
        <w:rPr>
          <w:spacing w:val="-2"/>
        </w:rPr>
        <w:t xml:space="preserve">plume centered </w:t>
      </w:r>
      <w:r w:rsidR="00E53664" w:rsidRPr="001656D5">
        <w:rPr>
          <w:spacing w:val="-2"/>
        </w:rPr>
        <w:t>around MW-40 on the west side of the Site outside the building</w:t>
      </w:r>
      <w:r w:rsidR="003E2D03" w:rsidRPr="001656D5">
        <w:rPr>
          <w:spacing w:val="-2"/>
        </w:rPr>
        <w:t xml:space="preserve"> and</w:t>
      </w:r>
      <w:r w:rsidR="00E53664" w:rsidRPr="001656D5">
        <w:rPr>
          <w:spacing w:val="-2"/>
        </w:rPr>
        <w:t xml:space="preserve"> along 98</w:t>
      </w:r>
      <w:r w:rsidR="00E53664" w:rsidRPr="001656D5">
        <w:rPr>
          <w:spacing w:val="-2"/>
          <w:vertAlign w:val="superscript"/>
        </w:rPr>
        <w:t>th</w:t>
      </w:r>
      <w:r w:rsidR="00E53664" w:rsidRPr="001656D5">
        <w:rPr>
          <w:spacing w:val="-2"/>
        </w:rPr>
        <w:t xml:space="preserve"> Ave</w:t>
      </w:r>
      <w:r w:rsidR="006E6D4C" w:rsidRPr="001656D5">
        <w:rPr>
          <w:spacing w:val="-2"/>
        </w:rPr>
        <w:t>nue</w:t>
      </w:r>
      <w:r w:rsidR="00E53664" w:rsidRPr="001656D5">
        <w:rPr>
          <w:spacing w:val="-2"/>
        </w:rPr>
        <w:t xml:space="preserve"> NE</w:t>
      </w:r>
      <w:r w:rsidR="00536E0C" w:rsidRPr="001656D5">
        <w:rPr>
          <w:spacing w:val="-2"/>
        </w:rPr>
        <w:t>.</w:t>
      </w:r>
    </w:p>
    <w:p w14:paraId="6A57AFFF" w14:textId="73BBB7F3" w:rsidR="00045C61" w:rsidRDefault="00B56A6D" w:rsidP="00045C61">
      <w:r>
        <w:t>VC</w:t>
      </w:r>
      <w:r w:rsidR="00045C61">
        <w:t xml:space="preserve"> was detected in </w:t>
      </w:r>
      <w:r w:rsidR="00F730C1">
        <w:t>11</w:t>
      </w:r>
      <w:r w:rsidR="00045C61">
        <w:t xml:space="preserve"> out of the </w:t>
      </w:r>
      <w:r w:rsidR="00F730C1">
        <w:t>16</w:t>
      </w:r>
      <w:r w:rsidR="00BB5C58">
        <w:t xml:space="preserve"> </w:t>
      </w:r>
      <w:r w:rsidR="000301E8">
        <w:t>shallow</w:t>
      </w:r>
      <w:r w:rsidR="00045C61">
        <w:t xml:space="preserve"> aquifer wells</w:t>
      </w:r>
      <w:r w:rsidR="009C0C71">
        <w:t xml:space="preserve"> sampled</w:t>
      </w:r>
      <w:r w:rsidR="00045C61">
        <w:t xml:space="preserve">, and all detections contained concentrations greater than the MTCA Method A CUL of </w:t>
      </w:r>
      <w:r w:rsidR="000F7A2E">
        <w:t xml:space="preserve">0.2 </w:t>
      </w:r>
      <w:r w:rsidR="000F7A2E" w:rsidRPr="00FE39CA">
        <w:t>µg/L</w:t>
      </w:r>
      <w:r w:rsidR="00045C61">
        <w:t xml:space="preserve"> during the </w:t>
      </w:r>
      <w:r w:rsidR="00781094">
        <w:t>s</w:t>
      </w:r>
      <w:r w:rsidR="00045C61">
        <w:t xml:space="preserve">pring sampling event. </w:t>
      </w:r>
      <w:r>
        <w:t>VC</w:t>
      </w:r>
      <w:r w:rsidR="00045C61">
        <w:t xml:space="preserve"> concentrations ranged from less than the </w:t>
      </w:r>
      <w:r w:rsidR="00E53664">
        <w:t>PQL</w:t>
      </w:r>
      <w:r w:rsidR="00045C61">
        <w:t xml:space="preserve"> to </w:t>
      </w:r>
      <w:r w:rsidR="00DD527F">
        <w:t>130</w:t>
      </w:r>
      <w:r w:rsidR="00045C61">
        <w:t xml:space="preserve"> </w:t>
      </w:r>
      <w:r w:rsidR="00045C61" w:rsidRPr="00FE39CA">
        <w:t>µg/L</w:t>
      </w:r>
      <w:r w:rsidR="00045C61">
        <w:t xml:space="preserve"> at MW-</w:t>
      </w:r>
      <w:r w:rsidR="00DD527F">
        <w:t>4</w:t>
      </w:r>
      <w:r w:rsidR="00045C61">
        <w:t>0.</w:t>
      </w:r>
      <w:r w:rsidR="003B5A94" w:rsidRPr="003B5A94">
        <w:t xml:space="preserve"> </w:t>
      </w:r>
      <w:r w:rsidR="003B5A94">
        <w:t xml:space="preserve">Figure </w:t>
      </w:r>
      <w:r w:rsidR="00A770C9">
        <w:t>10</w:t>
      </w:r>
      <w:r w:rsidR="003B5A94">
        <w:t xml:space="preserve">a shows </w:t>
      </w:r>
      <w:r>
        <w:t>VC</w:t>
      </w:r>
      <w:r w:rsidR="003B5A94">
        <w:t xml:space="preserve"> isocontours and concentrations within the shallow zone. The area with the greatest concentration beneath the building is centered around MW-4R</w:t>
      </w:r>
      <w:r w:rsidR="00781094">
        <w:t>,</w:t>
      </w:r>
      <w:r w:rsidR="003B5A94">
        <w:t xml:space="preserve"> </w:t>
      </w:r>
      <w:r w:rsidR="00A56FDD">
        <w:t>with a concentration of 13</w:t>
      </w:r>
      <w:r w:rsidR="00A56FDD" w:rsidRPr="00A56FDD">
        <w:t xml:space="preserve"> </w:t>
      </w:r>
      <w:r w:rsidR="00A56FDD" w:rsidRPr="00FE39CA">
        <w:t>µg/L</w:t>
      </w:r>
      <w:r w:rsidR="00466E0C">
        <w:t>.</w:t>
      </w:r>
      <w:r w:rsidR="00803760">
        <w:t xml:space="preserve"> </w:t>
      </w:r>
      <w:r w:rsidR="00466E0C">
        <w:t>T</w:t>
      </w:r>
      <w:r w:rsidR="00B840B5">
        <w:t xml:space="preserve">here </w:t>
      </w:r>
      <w:r w:rsidR="00C90446">
        <w:t xml:space="preserve">are two other </w:t>
      </w:r>
      <w:r w:rsidR="003B5A94">
        <w:t>separate plume</w:t>
      </w:r>
      <w:r w:rsidR="00C90446">
        <w:t xml:space="preserve">s with exceedances </w:t>
      </w:r>
      <w:r w:rsidR="003B5A94">
        <w:t xml:space="preserve">centered around </w:t>
      </w:r>
      <w:r w:rsidR="00516090">
        <w:t>HZ-</w:t>
      </w:r>
      <w:r w:rsidR="003B5A94">
        <w:t>MW-</w:t>
      </w:r>
      <w:r w:rsidR="00516090">
        <w:t>34</w:t>
      </w:r>
      <w:r w:rsidR="008F784C">
        <w:t xml:space="preserve"> beneath the northeastern portion of the Site and</w:t>
      </w:r>
      <w:r w:rsidR="003B5A94">
        <w:t xml:space="preserve"> </w:t>
      </w:r>
      <w:r w:rsidR="00721256">
        <w:t>centered around MW-40</w:t>
      </w:r>
      <w:r w:rsidR="0051034D">
        <w:t xml:space="preserve"> located</w:t>
      </w:r>
      <w:r w:rsidR="008F784C">
        <w:t xml:space="preserve"> the </w:t>
      </w:r>
      <w:r w:rsidR="003B5A94">
        <w:t xml:space="preserve">on the west side of the Site outside the building </w:t>
      </w:r>
      <w:r w:rsidR="00466E0C">
        <w:t xml:space="preserve">and </w:t>
      </w:r>
      <w:r w:rsidR="003B5A94">
        <w:t>along 98</w:t>
      </w:r>
      <w:r w:rsidR="003B5A94" w:rsidRPr="00DD7303">
        <w:rPr>
          <w:vertAlign w:val="superscript"/>
        </w:rPr>
        <w:t>th</w:t>
      </w:r>
      <w:r w:rsidR="003B5A94">
        <w:t xml:space="preserve"> Ave</w:t>
      </w:r>
      <w:r w:rsidR="006E6D4C">
        <w:t>nue</w:t>
      </w:r>
      <w:r w:rsidR="003B5A94">
        <w:t xml:space="preserve"> NE</w:t>
      </w:r>
      <w:r w:rsidR="0051034D">
        <w:t>.</w:t>
      </w:r>
    </w:p>
    <w:p w14:paraId="4107B77B" w14:textId="5AB2A8F7" w:rsidR="00045C61" w:rsidRPr="00B53216" w:rsidRDefault="00045C61" w:rsidP="00045C61">
      <w:r>
        <w:t xml:space="preserve">Generally, </w:t>
      </w:r>
      <w:r w:rsidR="00D65B59">
        <w:t xml:space="preserve">April 2024 </w:t>
      </w:r>
      <w:r w:rsidR="00834D4C">
        <w:t>C</w:t>
      </w:r>
      <w:r>
        <w:t xml:space="preserve">VOC concentrations </w:t>
      </w:r>
      <w:r w:rsidR="00916B37">
        <w:t xml:space="preserve">within the shallow zone have </w:t>
      </w:r>
      <w:r>
        <w:t>remained consistent with previous analytical results</w:t>
      </w:r>
      <w:r w:rsidR="0051034D">
        <w:t xml:space="preserve">; however, </w:t>
      </w:r>
      <w:r w:rsidR="005C158D">
        <w:t>PCE and TCE</w:t>
      </w:r>
      <w:r w:rsidR="00334844">
        <w:t xml:space="preserve"> concentrations at MW-40 have increased</w:t>
      </w:r>
      <w:r w:rsidR="005C158D">
        <w:t xml:space="preserve"> when compared </w:t>
      </w:r>
      <w:r w:rsidR="00466E0C">
        <w:t>with</w:t>
      </w:r>
      <w:r w:rsidR="005C158D">
        <w:t xml:space="preserve"> the </w:t>
      </w:r>
      <w:r w:rsidR="000F7370">
        <w:t>2023 sampling results.</w:t>
      </w:r>
      <w:r w:rsidR="00916B37">
        <w:t xml:space="preserve"> </w:t>
      </w:r>
    </w:p>
    <w:p w14:paraId="4CC112DE" w14:textId="457B043F" w:rsidR="0036042F" w:rsidRDefault="0036042F" w:rsidP="0036042F">
      <w:pPr>
        <w:pStyle w:val="Heading4"/>
      </w:pPr>
      <w:r>
        <w:t>Intermediate Aquifer</w:t>
      </w:r>
    </w:p>
    <w:p w14:paraId="7FE1C878" w14:textId="1FED3F84" w:rsidR="00B53216" w:rsidRDefault="00B53216" w:rsidP="00B53216">
      <w:r w:rsidRPr="004A6FEF">
        <w:t xml:space="preserve">PCE was detected in </w:t>
      </w:r>
      <w:r w:rsidR="0010361A">
        <w:t>7</w:t>
      </w:r>
      <w:r w:rsidRPr="004A6FEF">
        <w:t xml:space="preserve"> out of the </w:t>
      </w:r>
      <w:r w:rsidR="0010361A">
        <w:t>11</w:t>
      </w:r>
      <w:r w:rsidR="00AF0D5A" w:rsidRPr="004A6FEF">
        <w:t xml:space="preserve"> </w:t>
      </w:r>
      <w:r w:rsidR="007224FC" w:rsidRPr="004A6FEF">
        <w:t>intermediate</w:t>
      </w:r>
      <w:r w:rsidRPr="004A6FEF">
        <w:t xml:space="preserve"> aquifer wells</w:t>
      </w:r>
      <w:r w:rsidR="009C0C71" w:rsidRPr="004A6FEF">
        <w:t xml:space="preserve"> sampled</w:t>
      </w:r>
      <w:r w:rsidRPr="004A6FEF">
        <w:t xml:space="preserve">, with </w:t>
      </w:r>
      <w:r w:rsidR="00F67B12" w:rsidRPr="004A6FEF">
        <w:t>four</w:t>
      </w:r>
      <w:r w:rsidR="003C22FC" w:rsidRPr="004A6FEF">
        <w:t xml:space="preserve"> wells</w:t>
      </w:r>
      <w:r w:rsidRPr="004A6FEF">
        <w:t xml:space="preserve"> containing concentrations greater than the MTCA Method A CUL of </w:t>
      </w:r>
      <w:r w:rsidR="00CB1D88" w:rsidRPr="004A6FEF">
        <w:t xml:space="preserve">5 µg/L </w:t>
      </w:r>
      <w:r w:rsidRPr="004A6FEF">
        <w:t xml:space="preserve">during the </w:t>
      </w:r>
      <w:r w:rsidR="005844A0">
        <w:t>s</w:t>
      </w:r>
      <w:r w:rsidRPr="004A6FEF">
        <w:t>pring sampli</w:t>
      </w:r>
      <w:r w:rsidRPr="00A259D0">
        <w:t xml:space="preserve">ng event. PCE concentrations ranged from less than the </w:t>
      </w:r>
      <w:r w:rsidR="00C73D20" w:rsidRPr="00A259D0">
        <w:t xml:space="preserve">PQL </w:t>
      </w:r>
      <w:r w:rsidRPr="00A259D0">
        <w:t xml:space="preserve">to </w:t>
      </w:r>
      <w:r w:rsidR="002C5B73" w:rsidRPr="00A259D0">
        <w:t>1,500</w:t>
      </w:r>
      <w:r w:rsidRPr="00A259D0">
        <w:t xml:space="preserve"> µg/L at </w:t>
      </w:r>
      <w:r w:rsidR="002C5B73" w:rsidRPr="00A259D0">
        <w:t>HZ-</w:t>
      </w:r>
      <w:r w:rsidRPr="00A259D0">
        <w:t>MW-</w:t>
      </w:r>
      <w:r w:rsidR="002C5B73" w:rsidRPr="00A259D0">
        <w:t>15D</w:t>
      </w:r>
      <w:r w:rsidRPr="00A259D0">
        <w:t xml:space="preserve">. </w:t>
      </w:r>
      <w:r w:rsidR="00DF6F4C" w:rsidRPr="00A259D0">
        <w:t xml:space="preserve">Figure </w:t>
      </w:r>
      <w:r w:rsidR="0023252A" w:rsidRPr="00A259D0">
        <w:t>7</w:t>
      </w:r>
      <w:r w:rsidR="00DF6F4C" w:rsidRPr="00A259D0">
        <w:t xml:space="preserve">b shows the April 2024 PCE isocontours and concentrations within the </w:t>
      </w:r>
      <w:r w:rsidR="004F7E86" w:rsidRPr="00A259D0">
        <w:t>intermediate</w:t>
      </w:r>
      <w:r w:rsidR="00DF6F4C" w:rsidRPr="00A259D0">
        <w:t xml:space="preserve"> aquifer. The area</w:t>
      </w:r>
      <w:r w:rsidR="00DF6F4C">
        <w:t xml:space="preserve"> with the greatest concentration beneath the building is centered around </w:t>
      </w:r>
      <w:r w:rsidR="004A781F">
        <w:t>HZ</w:t>
      </w:r>
      <w:r w:rsidR="00FE25DA">
        <w:noBreakHyphen/>
      </w:r>
      <w:r w:rsidR="00DF6F4C">
        <w:t>MW-</w:t>
      </w:r>
      <w:r w:rsidR="004A781F">
        <w:t>15D</w:t>
      </w:r>
      <w:r w:rsidR="00DF6F4C">
        <w:t xml:space="preserve"> with a concentration of 1,</w:t>
      </w:r>
      <w:r w:rsidR="004A781F">
        <w:t>5</w:t>
      </w:r>
      <w:r w:rsidR="00DF6F4C">
        <w:t xml:space="preserve">00 </w:t>
      </w:r>
      <w:r w:rsidR="00DF6F4C" w:rsidRPr="00FE39CA">
        <w:t>µg/L</w:t>
      </w:r>
      <w:r w:rsidR="0017510C">
        <w:t>.</w:t>
      </w:r>
      <w:r w:rsidR="00DF6F4C">
        <w:t xml:space="preserve"> </w:t>
      </w:r>
      <w:r w:rsidR="0017510C">
        <w:t>A</w:t>
      </w:r>
      <w:r w:rsidR="00DF6F4C">
        <w:t xml:space="preserve"> separate area of exceedances </w:t>
      </w:r>
      <w:r w:rsidR="0017510C">
        <w:t xml:space="preserve">occurs </w:t>
      </w:r>
      <w:r w:rsidR="00DF6F4C">
        <w:t>around MW-</w:t>
      </w:r>
      <w:r w:rsidR="004A781F">
        <w:t>20</w:t>
      </w:r>
      <w:r w:rsidR="00DF6F4C">
        <w:t>R on the west side of the Site</w:t>
      </w:r>
      <w:r w:rsidR="00F12AD2">
        <w:t>,</w:t>
      </w:r>
      <w:r w:rsidR="00DF6F4C">
        <w:t xml:space="preserve"> </w:t>
      </w:r>
      <w:r w:rsidR="004E44E1">
        <w:t>ins</w:t>
      </w:r>
      <w:r w:rsidR="00DF6F4C">
        <w:t xml:space="preserve">ide the building </w:t>
      </w:r>
      <w:r w:rsidR="004E44E1">
        <w:t>near the location of the treatment shed</w:t>
      </w:r>
      <w:r w:rsidR="00DF6F4C">
        <w:t>.</w:t>
      </w:r>
    </w:p>
    <w:p w14:paraId="13D4B0FD" w14:textId="735C25B3" w:rsidR="00B53216" w:rsidRDefault="00B53216" w:rsidP="00B53216">
      <w:r>
        <w:t xml:space="preserve">TCE was detected in </w:t>
      </w:r>
      <w:r w:rsidR="0096108D">
        <w:t>8</w:t>
      </w:r>
      <w:r>
        <w:t xml:space="preserve"> out of the </w:t>
      </w:r>
      <w:r w:rsidR="0096108D">
        <w:t>11</w:t>
      </w:r>
      <w:r w:rsidR="00467FC4">
        <w:t xml:space="preserve"> </w:t>
      </w:r>
      <w:r w:rsidR="007224FC">
        <w:t>intermediate</w:t>
      </w:r>
      <w:r>
        <w:t xml:space="preserve"> aquifer wells</w:t>
      </w:r>
      <w:r w:rsidR="009C0C71">
        <w:t xml:space="preserve"> sampled</w:t>
      </w:r>
      <w:r>
        <w:t xml:space="preserve">, with </w:t>
      </w:r>
      <w:r w:rsidR="00F12AD2">
        <w:t>2</w:t>
      </w:r>
      <w:r w:rsidR="006B5C99">
        <w:t xml:space="preserve"> wells</w:t>
      </w:r>
      <w:r>
        <w:t xml:space="preserve"> containing concentrations greater than the MTCA Method A CUL of </w:t>
      </w:r>
      <w:r w:rsidR="00CB1D88">
        <w:t xml:space="preserve">5 </w:t>
      </w:r>
      <w:r w:rsidR="00CB1D88" w:rsidRPr="00FE39CA">
        <w:t>µg/L</w:t>
      </w:r>
      <w:r w:rsidR="00CB1D88">
        <w:t xml:space="preserve"> </w:t>
      </w:r>
      <w:r>
        <w:t xml:space="preserve">during the </w:t>
      </w:r>
      <w:r w:rsidR="0096108D">
        <w:t>s</w:t>
      </w:r>
      <w:r>
        <w:t xml:space="preserve">pring sampling event. </w:t>
      </w:r>
      <w:r w:rsidR="001045F1">
        <w:t>T</w:t>
      </w:r>
      <w:r>
        <w:t xml:space="preserve">CE concentrations ranged from less than the </w:t>
      </w:r>
      <w:r w:rsidR="00C73D20">
        <w:t xml:space="preserve">PQL </w:t>
      </w:r>
      <w:r>
        <w:t xml:space="preserve">to </w:t>
      </w:r>
      <w:r w:rsidR="001045F1">
        <w:t>220</w:t>
      </w:r>
      <w:r>
        <w:t xml:space="preserve"> </w:t>
      </w:r>
      <w:r w:rsidRPr="00FE39CA">
        <w:t>µg/L</w:t>
      </w:r>
      <w:r>
        <w:t xml:space="preserve"> at </w:t>
      </w:r>
      <w:r w:rsidR="001045F1">
        <w:t>HZ-</w:t>
      </w:r>
      <w:r>
        <w:t>MW-</w:t>
      </w:r>
      <w:r w:rsidR="001045F1">
        <w:t>15D</w:t>
      </w:r>
      <w:r>
        <w:t>.</w:t>
      </w:r>
      <w:r w:rsidR="004E44E1">
        <w:t xml:space="preserve"> Figure </w:t>
      </w:r>
      <w:r w:rsidR="00302324">
        <w:t>8</w:t>
      </w:r>
      <w:r w:rsidR="004E44E1">
        <w:t>b shows TCE isocontours and concentrations within the intermediate zone</w:t>
      </w:r>
      <w:r w:rsidR="00C64BA5">
        <w:t>,</w:t>
      </w:r>
      <w:r w:rsidR="004E44E1">
        <w:t xml:space="preserve"> with </w:t>
      </w:r>
      <w:r w:rsidR="00B729D2">
        <w:t>an</w:t>
      </w:r>
      <w:r w:rsidR="004E44E1">
        <w:t xml:space="preserve"> area of exceedance beneath the building </w:t>
      </w:r>
      <w:r w:rsidR="009D3D07">
        <w:t>between HZ-MW-15D and MW-20R</w:t>
      </w:r>
      <w:r w:rsidR="004E44E1">
        <w:t>.</w:t>
      </w:r>
    </w:p>
    <w:p w14:paraId="61968418" w14:textId="5F098048" w:rsidR="00B53216" w:rsidRPr="001656D5" w:rsidRDefault="00B53216" w:rsidP="00B53216">
      <w:pPr>
        <w:rPr>
          <w:spacing w:val="-2"/>
        </w:rPr>
      </w:pPr>
      <w:r w:rsidRPr="001656D5">
        <w:rPr>
          <w:spacing w:val="-2"/>
        </w:rPr>
        <w:t xml:space="preserve">DCE was detected in </w:t>
      </w:r>
      <w:r w:rsidR="0096108D" w:rsidRPr="001656D5">
        <w:rPr>
          <w:spacing w:val="-2"/>
        </w:rPr>
        <w:t>10</w:t>
      </w:r>
      <w:r w:rsidRPr="001656D5">
        <w:rPr>
          <w:spacing w:val="-2"/>
        </w:rPr>
        <w:t xml:space="preserve"> out of the </w:t>
      </w:r>
      <w:r w:rsidR="0096108D" w:rsidRPr="001656D5">
        <w:rPr>
          <w:spacing w:val="-2"/>
        </w:rPr>
        <w:t>11</w:t>
      </w:r>
      <w:r w:rsidR="00EA7FAA" w:rsidRPr="001656D5">
        <w:rPr>
          <w:spacing w:val="-2"/>
        </w:rPr>
        <w:t xml:space="preserve"> </w:t>
      </w:r>
      <w:r w:rsidR="007224FC" w:rsidRPr="001656D5">
        <w:rPr>
          <w:spacing w:val="-2"/>
        </w:rPr>
        <w:t>intermediate</w:t>
      </w:r>
      <w:r w:rsidRPr="001656D5">
        <w:rPr>
          <w:spacing w:val="-2"/>
        </w:rPr>
        <w:t xml:space="preserve"> aquifer wells</w:t>
      </w:r>
      <w:r w:rsidR="009C0C71" w:rsidRPr="001656D5">
        <w:rPr>
          <w:spacing w:val="-2"/>
        </w:rPr>
        <w:t xml:space="preserve"> sampled</w:t>
      </w:r>
      <w:r w:rsidRPr="001656D5">
        <w:rPr>
          <w:spacing w:val="-2"/>
        </w:rPr>
        <w:t xml:space="preserve">, </w:t>
      </w:r>
      <w:r w:rsidR="00BB43A1" w:rsidRPr="001656D5">
        <w:rPr>
          <w:spacing w:val="-2"/>
        </w:rPr>
        <w:t xml:space="preserve">with </w:t>
      </w:r>
      <w:r w:rsidR="00C64BA5" w:rsidRPr="001656D5">
        <w:rPr>
          <w:spacing w:val="-2"/>
        </w:rPr>
        <w:t>4</w:t>
      </w:r>
      <w:r w:rsidR="001B301A" w:rsidRPr="001656D5">
        <w:rPr>
          <w:spacing w:val="-2"/>
        </w:rPr>
        <w:t xml:space="preserve"> wells containing concentrations greater than the MTCA CUL of </w:t>
      </w:r>
      <w:r w:rsidR="00CB1D88" w:rsidRPr="001656D5">
        <w:rPr>
          <w:spacing w:val="-2"/>
        </w:rPr>
        <w:t>16 µg/L</w:t>
      </w:r>
      <w:r w:rsidR="001B301A" w:rsidRPr="001656D5">
        <w:rPr>
          <w:spacing w:val="-2"/>
        </w:rPr>
        <w:t xml:space="preserve"> during the </w:t>
      </w:r>
      <w:r w:rsidR="00C64BA5" w:rsidRPr="001656D5">
        <w:rPr>
          <w:spacing w:val="-2"/>
        </w:rPr>
        <w:t>s</w:t>
      </w:r>
      <w:r w:rsidR="001B301A" w:rsidRPr="001656D5">
        <w:rPr>
          <w:spacing w:val="-2"/>
        </w:rPr>
        <w:t>pring sampling event</w:t>
      </w:r>
      <w:r w:rsidR="001310E0" w:rsidRPr="001656D5">
        <w:rPr>
          <w:spacing w:val="-2"/>
        </w:rPr>
        <w:t xml:space="preserve">. DCE concentrations ranged from less than the </w:t>
      </w:r>
      <w:r w:rsidR="00C73D20" w:rsidRPr="001656D5">
        <w:rPr>
          <w:spacing w:val="-2"/>
        </w:rPr>
        <w:t>PQL</w:t>
      </w:r>
      <w:r w:rsidR="001310E0" w:rsidRPr="001656D5">
        <w:rPr>
          <w:spacing w:val="-2"/>
        </w:rPr>
        <w:t xml:space="preserve"> to </w:t>
      </w:r>
      <w:r w:rsidR="007958DF" w:rsidRPr="001656D5">
        <w:rPr>
          <w:spacing w:val="-2"/>
        </w:rPr>
        <w:t>260 µg/L at HZ-MW-15D</w:t>
      </w:r>
      <w:r w:rsidRPr="001656D5">
        <w:rPr>
          <w:spacing w:val="-2"/>
        </w:rPr>
        <w:t>.</w:t>
      </w:r>
      <w:r w:rsidR="00342FA4" w:rsidRPr="001656D5">
        <w:rPr>
          <w:spacing w:val="-2"/>
        </w:rPr>
        <w:t xml:space="preserve"> Figure </w:t>
      </w:r>
      <w:r w:rsidR="00302324" w:rsidRPr="001656D5">
        <w:rPr>
          <w:spacing w:val="-2"/>
        </w:rPr>
        <w:t>9</w:t>
      </w:r>
      <w:r w:rsidR="00342FA4" w:rsidRPr="001656D5">
        <w:rPr>
          <w:spacing w:val="-2"/>
        </w:rPr>
        <w:t xml:space="preserve">b shows DCE isocontours and concentrations within the intermediate zone. The area with the greatest concentration beneath the building is centered around </w:t>
      </w:r>
      <w:r w:rsidR="001602A3" w:rsidRPr="001656D5">
        <w:rPr>
          <w:spacing w:val="-2"/>
        </w:rPr>
        <w:t>HZ-</w:t>
      </w:r>
      <w:r w:rsidR="00342FA4" w:rsidRPr="001656D5">
        <w:rPr>
          <w:spacing w:val="-2"/>
        </w:rPr>
        <w:t>MW-</w:t>
      </w:r>
      <w:r w:rsidR="001602A3" w:rsidRPr="001656D5">
        <w:rPr>
          <w:spacing w:val="-2"/>
        </w:rPr>
        <w:t>15D</w:t>
      </w:r>
      <w:r w:rsidR="002F0D1E" w:rsidRPr="001656D5">
        <w:rPr>
          <w:spacing w:val="-2"/>
        </w:rPr>
        <w:t>,</w:t>
      </w:r>
      <w:r w:rsidR="00342FA4" w:rsidRPr="001656D5">
        <w:rPr>
          <w:spacing w:val="-2"/>
        </w:rPr>
        <w:t xml:space="preserve"> with a separate plume centered around </w:t>
      </w:r>
      <w:r w:rsidR="001602A3" w:rsidRPr="001656D5">
        <w:rPr>
          <w:spacing w:val="-2"/>
        </w:rPr>
        <w:t>HZ-</w:t>
      </w:r>
      <w:r w:rsidR="00342FA4" w:rsidRPr="001656D5">
        <w:rPr>
          <w:spacing w:val="-2"/>
        </w:rPr>
        <w:t>MW-</w:t>
      </w:r>
      <w:r w:rsidR="001602A3" w:rsidRPr="001656D5">
        <w:rPr>
          <w:spacing w:val="-2"/>
        </w:rPr>
        <w:t>29</w:t>
      </w:r>
      <w:r w:rsidR="00342FA4" w:rsidRPr="001656D5">
        <w:rPr>
          <w:spacing w:val="-2"/>
        </w:rPr>
        <w:t xml:space="preserve"> on the </w:t>
      </w:r>
      <w:r w:rsidR="00D508BB" w:rsidRPr="001656D5">
        <w:rPr>
          <w:spacing w:val="-2"/>
        </w:rPr>
        <w:t>north</w:t>
      </w:r>
      <w:r w:rsidR="001602A3" w:rsidRPr="001656D5">
        <w:rPr>
          <w:spacing w:val="-2"/>
        </w:rPr>
        <w:t>east</w:t>
      </w:r>
      <w:r w:rsidR="00D508BB" w:rsidRPr="001656D5">
        <w:rPr>
          <w:spacing w:val="-2"/>
        </w:rPr>
        <w:t>ern</w:t>
      </w:r>
      <w:r w:rsidR="00342FA4" w:rsidRPr="001656D5">
        <w:rPr>
          <w:spacing w:val="-2"/>
        </w:rPr>
        <w:t xml:space="preserve"> </w:t>
      </w:r>
      <w:r w:rsidR="00D508BB" w:rsidRPr="001656D5">
        <w:rPr>
          <w:spacing w:val="-2"/>
        </w:rPr>
        <w:t>portion</w:t>
      </w:r>
      <w:r w:rsidR="00342FA4" w:rsidRPr="001656D5">
        <w:rPr>
          <w:spacing w:val="-2"/>
        </w:rPr>
        <w:t xml:space="preserve"> of the Site </w:t>
      </w:r>
      <w:r w:rsidR="00043641" w:rsidRPr="001656D5">
        <w:rPr>
          <w:spacing w:val="-2"/>
        </w:rPr>
        <w:t>in</w:t>
      </w:r>
      <w:r w:rsidR="00342FA4" w:rsidRPr="001656D5">
        <w:rPr>
          <w:spacing w:val="-2"/>
        </w:rPr>
        <w:t>side the building.</w:t>
      </w:r>
    </w:p>
    <w:p w14:paraId="665670AC" w14:textId="7DC33829" w:rsidR="00B53216" w:rsidRDefault="00B56A6D" w:rsidP="00B53216">
      <w:r>
        <w:t>VC</w:t>
      </w:r>
      <w:r w:rsidR="00B53216">
        <w:t xml:space="preserve"> was detected in </w:t>
      </w:r>
      <w:r w:rsidR="0096108D">
        <w:t>9</w:t>
      </w:r>
      <w:r w:rsidR="00B53216">
        <w:t xml:space="preserve"> out of the </w:t>
      </w:r>
      <w:r w:rsidR="0096108D">
        <w:t>11</w:t>
      </w:r>
      <w:r w:rsidR="00EA7FAA">
        <w:t xml:space="preserve"> </w:t>
      </w:r>
      <w:r w:rsidR="007224FC">
        <w:t>intermediate</w:t>
      </w:r>
      <w:r w:rsidR="00B53216">
        <w:t xml:space="preserve"> aquifer wells</w:t>
      </w:r>
      <w:r w:rsidR="009C0C71">
        <w:t xml:space="preserve"> sampled</w:t>
      </w:r>
      <w:r w:rsidR="00B53216">
        <w:t xml:space="preserve">, and </w:t>
      </w:r>
      <w:r w:rsidR="0076494F">
        <w:t xml:space="preserve">all detections </w:t>
      </w:r>
      <w:r w:rsidR="00B53216">
        <w:t xml:space="preserve">contained concentrations greater than the MTCA Method A CUL of </w:t>
      </w:r>
      <w:r w:rsidR="00CB1D88">
        <w:t xml:space="preserve">0.2 </w:t>
      </w:r>
      <w:r w:rsidR="00CB1D88" w:rsidRPr="00FE39CA">
        <w:t>µg/L</w:t>
      </w:r>
      <w:r w:rsidR="00B53216">
        <w:t xml:space="preserve"> during the </w:t>
      </w:r>
      <w:r w:rsidR="002F0D1E">
        <w:t>s</w:t>
      </w:r>
      <w:r w:rsidR="00B53216">
        <w:t xml:space="preserve">pring sampling event. </w:t>
      </w:r>
      <w:r>
        <w:t>VC</w:t>
      </w:r>
      <w:r w:rsidR="00B53216">
        <w:t xml:space="preserve"> concentrations ranged from less than the </w:t>
      </w:r>
      <w:r w:rsidR="00C73D20">
        <w:t>PQL</w:t>
      </w:r>
      <w:r w:rsidR="00B53216">
        <w:t xml:space="preserve"> to 7</w:t>
      </w:r>
      <w:r w:rsidR="0076494F">
        <w:t>2</w:t>
      </w:r>
      <w:r w:rsidR="00B53216">
        <w:t xml:space="preserve"> </w:t>
      </w:r>
      <w:r w:rsidR="00B53216" w:rsidRPr="00FE39CA">
        <w:t>µg/L</w:t>
      </w:r>
      <w:r w:rsidR="00B53216">
        <w:t xml:space="preserve"> at MW-</w:t>
      </w:r>
      <w:r w:rsidR="0076494F">
        <w:t>20R</w:t>
      </w:r>
      <w:r w:rsidR="00B53216">
        <w:t>.</w:t>
      </w:r>
      <w:r w:rsidR="00043641">
        <w:t xml:space="preserve"> Figure</w:t>
      </w:r>
      <w:r w:rsidR="003A7348">
        <w:t> </w:t>
      </w:r>
      <w:r w:rsidR="00302324">
        <w:t>10</w:t>
      </w:r>
      <w:r w:rsidR="00043641">
        <w:t xml:space="preserve">b shows </w:t>
      </w:r>
      <w:r>
        <w:t>VC</w:t>
      </w:r>
      <w:r w:rsidR="00043641">
        <w:t xml:space="preserve"> isocontours and concentrations within the intermediate zone. The area with the greatest concentration beneath the building is centered around MW-</w:t>
      </w:r>
      <w:r w:rsidR="005F66D6">
        <w:t>20</w:t>
      </w:r>
      <w:r w:rsidR="00043641">
        <w:t xml:space="preserve">R with a </w:t>
      </w:r>
      <w:r w:rsidR="00043641">
        <w:lastRenderedPageBreak/>
        <w:t xml:space="preserve">concentration of </w:t>
      </w:r>
      <w:r w:rsidR="005F66D6">
        <w:t>72</w:t>
      </w:r>
      <w:r w:rsidR="00043641" w:rsidRPr="00A56FDD">
        <w:t xml:space="preserve"> </w:t>
      </w:r>
      <w:r w:rsidR="00043641" w:rsidRPr="00FE39CA">
        <w:t>µg/L</w:t>
      </w:r>
      <w:r w:rsidR="00043641">
        <w:t xml:space="preserve">, and there </w:t>
      </w:r>
      <w:r w:rsidR="006074A2">
        <w:t>is</w:t>
      </w:r>
      <w:r w:rsidR="00043641">
        <w:t xml:space="preserve"> </w:t>
      </w:r>
      <w:r w:rsidR="006B6012">
        <w:t xml:space="preserve">a lobe </w:t>
      </w:r>
      <w:r w:rsidR="00BD668E">
        <w:t xml:space="preserve">extending to the </w:t>
      </w:r>
      <w:r w:rsidR="005F6805">
        <w:t>east</w:t>
      </w:r>
      <w:r w:rsidR="00BD668E">
        <w:t xml:space="preserve"> </w:t>
      </w:r>
      <w:r w:rsidR="00536A78">
        <w:t xml:space="preserve">at </w:t>
      </w:r>
      <w:r w:rsidR="00043641">
        <w:t>HZ-MW-</w:t>
      </w:r>
      <w:r w:rsidR="006074A2">
        <w:t>29</w:t>
      </w:r>
      <w:r w:rsidR="00043641">
        <w:t xml:space="preserve"> beneath the northeastern portion of the Site.</w:t>
      </w:r>
    </w:p>
    <w:p w14:paraId="073FF2FB" w14:textId="6742FD2F" w:rsidR="00B53216" w:rsidRPr="00B53216" w:rsidRDefault="007535AD" w:rsidP="00B53216">
      <w:r>
        <w:t xml:space="preserve">Intermediate well MW-44R was not located during the </w:t>
      </w:r>
      <w:r w:rsidR="00CD4121">
        <w:t>s</w:t>
      </w:r>
      <w:r>
        <w:t xml:space="preserve">pring sampling event </w:t>
      </w:r>
      <w:r w:rsidR="00C20745">
        <w:t>due to construction activities and therefore was not sampl</w:t>
      </w:r>
      <w:r w:rsidR="002F5176">
        <w:t>ed</w:t>
      </w:r>
      <w:r w:rsidR="00C20745">
        <w:t xml:space="preserve"> during this semiannual monitoring event. </w:t>
      </w:r>
      <w:r w:rsidR="007C3E34">
        <w:t xml:space="preserve">Generally, April 2024 CVOC concentrations within the intermediate zone have remained consistent with previous analytical results; however, </w:t>
      </w:r>
      <w:r w:rsidR="00842934">
        <w:t>CVOC</w:t>
      </w:r>
      <w:r w:rsidR="007C3E34">
        <w:t xml:space="preserve"> concentrations at MW-</w:t>
      </w:r>
      <w:r w:rsidR="00842934">
        <w:t>12</w:t>
      </w:r>
      <w:r w:rsidR="00994A41">
        <w:t xml:space="preserve"> have</w:t>
      </w:r>
      <w:r w:rsidR="008C5C98">
        <w:t xml:space="preserve"> decrease</w:t>
      </w:r>
      <w:r w:rsidR="00954CE1">
        <w:t>d</w:t>
      </w:r>
      <w:r w:rsidR="00B34C11">
        <w:t xml:space="preserve"> </w:t>
      </w:r>
      <w:r w:rsidR="007C3E34">
        <w:t xml:space="preserve">when compared </w:t>
      </w:r>
      <w:r w:rsidR="00CD4121">
        <w:t>with</w:t>
      </w:r>
      <w:r w:rsidR="007C3E34">
        <w:t xml:space="preserve"> the 2023 sampling results. </w:t>
      </w:r>
    </w:p>
    <w:p w14:paraId="451C3E61" w14:textId="71028BF2" w:rsidR="00E06AC9" w:rsidRDefault="0036042F" w:rsidP="006D765C">
      <w:pPr>
        <w:pStyle w:val="Heading4"/>
      </w:pPr>
      <w:r>
        <w:t>Deep Aquifer</w:t>
      </w:r>
    </w:p>
    <w:p w14:paraId="1FA4FB01" w14:textId="3C7D2756" w:rsidR="00E66214" w:rsidRDefault="00ED3A0D" w:rsidP="00E66214">
      <w:r>
        <w:t xml:space="preserve">PCE was detected in </w:t>
      </w:r>
      <w:r w:rsidR="009D18CA">
        <w:t xml:space="preserve">both </w:t>
      </w:r>
      <w:r w:rsidR="002F7407">
        <w:t xml:space="preserve">deep aquifer </w:t>
      </w:r>
      <w:r w:rsidR="00152ED1">
        <w:t>wells</w:t>
      </w:r>
      <w:r w:rsidR="009D18CA">
        <w:t xml:space="preserve"> that were sampled</w:t>
      </w:r>
      <w:r w:rsidR="00152ED1">
        <w:t xml:space="preserve">, with one </w:t>
      </w:r>
      <w:r w:rsidR="00E11210">
        <w:t xml:space="preserve">location </w:t>
      </w:r>
      <w:r w:rsidR="00152ED1">
        <w:t xml:space="preserve">containing concentrations greater than the MTCA Method A </w:t>
      </w:r>
      <w:r w:rsidR="00255113">
        <w:t>CUL</w:t>
      </w:r>
      <w:r w:rsidR="00503B80">
        <w:t xml:space="preserve"> of </w:t>
      </w:r>
      <w:r w:rsidR="000F7A2E">
        <w:t xml:space="preserve">5 </w:t>
      </w:r>
      <w:r w:rsidR="000F7A2E" w:rsidRPr="00FE39CA">
        <w:t>µg/L</w:t>
      </w:r>
      <w:r w:rsidR="000F7A2E">
        <w:t xml:space="preserve"> </w:t>
      </w:r>
      <w:r w:rsidR="009B1CC1">
        <w:t xml:space="preserve">during the </w:t>
      </w:r>
      <w:r w:rsidR="00E5321D">
        <w:t>s</w:t>
      </w:r>
      <w:r w:rsidR="009B1CC1">
        <w:t xml:space="preserve">pring sampling event. </w:t>
      </w:r>
      <w:r w:rsidR="00707F77">
        <w:t xml:space="preserve">PCE concentrations ranged from less than the </w:t>
      </w:r>
      <w:r w:rsidR="003812DB">
        <w:t>PQL</w:t>
      </w:r>
      <w:r w:rsidR="00707F77">
        <w:t xml:space="preserve"> to </w:t>
      </w:r>
      <w:r w:rsidR="00FE39CA">
        <w:t xml:space="preserve">220 </w:t>
      </w:r>
      <w:r w:rsidR="00FE39CA" w:rsidRPr="00FE39CA">
        <w:t>µg/L</w:t>
      </w:r>
      <w:r w:rsidR="00FE39CA">
        <w:t xml:space="preserve"> at MW-39</w:t>
      </w:r>
      <w:r w:rsidR="003811AB">
        <w:t xml:space="preserve">. </w:t>
      </w:r>
      <w:r w:rsidR="001338DC">
        <w:t xml:space="preserve">Figure </w:t>
      </w:r>
      <w:r w:rsidR="00471CDC">
        <w:t>7c</w:t>
      </w:r>
      <w:r w:rsidR="001338DC">
        <w:t xml:space="preserve"> shows the April 2024 PCE isocontours and concentrations within the </w:t>
      </w:r>
      <w:r w:rsidR="00445DF9">
        <w:t>deep</w:t>
      </w:r>
      <w:r w:rsidR="001338DC">
        <w:t xml:space="preserve"> aquifer. The </w:t>
      </w:r>
      <w:r w:rsidR="00874461">
        <w:t>well</w:t>
      </w:r>
      <w:r w:rsidR="001338DC">
        <w:t xml:space="preserve"> with the greatest concentration</w:t>
      </w:r>
      <w:r w:rsidR="000F5B61">
        <w:t xml:space="preserve"> </w:t>
      </w:r>
      <w:r w:rsidR="00DC112D">
        <w:t>outside of the building withi</w:t>
      </w:r>
      <w:r w:rsidR="00652383">
        <w:t>n 98</w:t>
      </w:r>
      <w:r w:rsidR="00652383" w:rsidRPr="00296418">
        <w:rPr>
          <w:vertAlign w:val="superscript"/>
        </w:rPr>
        <w:t>th</w:t>
      </w:r>
      <w:r w:rsidR="00652383">
        <w:t xml:space="preserve"> Ave</w:t>
      </w:r>
      <w:r w:rsidR="00E5321D">
        <w:t>nue</w:t>
      </w:r>
      <w:r w:rsidR="00357A59">
        <w:t xml:space="preserve"> is MW-39</w:t>
      </w:r>
      <w:r w:rsidR="001338DC">
        <w:t>.</w:t>
      </w:r>
    </w:p>
    <w:p w14:paraId="70B7519A" w14:textId="36B92A1C" w:rsidR="000B08C1" w:rsidRDefault="000B08C1" w:rsidP="00E66214">
      <w:r>
        <w:t xml:space="preserve">TCE was detected in </w:t>
      </w:r>
      <w:r w:rsidR="009D18CA">
        <w:t>both deep aquifer wells that were sampled</w:t>
      </w:r>
      <w:r w:rsidR="0041749F">
        <w:t xml:space="preserve">, with one </w:t>
      </w:r>
      <w:r w:rsidR="00033548">
        <w:t xml:space="preserve">location </w:t>
      </w:r>
      <w:r w:rsidR="0041749F">
        <w:t xml:space="preserve">containing concentrations greater than the MTCA Method A CUL of </w:t>
      </w:r>
      <w:r w:rsidR="000F7A2E">
        <w:t xml:space="preserve">5 </w:t>
      </w:r>
      <w:r w:rsidR="000F7A2E" w:rsidRPr="00FE39CA">
        <w:t>µg/L</w:t>
      </w:r>
      <w:r w:rsidR="0041749F">
        <w:t xml:space="preserve"> during the </w:t>
      </w:r>
      <w:r w:rsidR="0096108D">
        <w:t>s</w:t>
      </w:r>
      <w:r w:rsidR="0041749F">
        <w:t xml:space="preserve">pring sampling event. </w:t>
      </w:r>
      <w:r w:rsidR="001045F1">
        <w:t>T</w:t>
      </w:r>
      <w:r w:rsidR="0041749F">
        <w:t xml:space="preserve">CE concentrations ranged from less than the </w:t>
      </w:r>
      <w:r w:rsidR="003812DB">
        <w:t>PQL</w:t>
      </w:r>
      <w:r w:rsidR="0041749F">
        <w:t xml:space="preserve"> to </w:t>
      </w:r>
      <w:r w:rsidR="00AA555D">
        <w:t>56</w:t>
      </w:r>
      <w:r w:rsidR="0041749F">
        <w:t xml:space="preserve"> </w:t>
      </w:r>
      <w:r w:rsidR="0041749F" w:rsidRPr="00FE39CA">
        <w:t>µg/L</w:t>
      </w:r>
      <w:r w:rsidR="0041749F">
        <w:t xml:space="preserve"> at MW-39.</w:t>
      </w:r>
      <w:r w:rsidR="00592E2A">
        <w:t xml:space="preserve"> Figure </w:t>
      </w:r>
      <w:r w:rsidR="008C66E9">
        <w:t>8c</w:t>
      </w:r>
      <w:r w:rsidR="00592E2A">
        <w:t xml:space="preserve"> shows TCE isocontours and concentrations within the deep zone</w:t>
      </w:r>
      <w:r w:rsidR="009725C7">
        <w:t>;</w:t>
      </w:r>
      <w:r w:rsidR="00592E2A">
        <w:t xml:space="preserve"> </w:t>
      </w:r>
      <w:r w:rsidR="00666099">
        <w:t xml:space="preserve">the only </w:t>
      </w:r>
      <w:r w:rsidR="00592E2A">
        <w:t>exceedance</w:t>
      </w:r>
      <w:r w:rsidR="00FE20C2">
        <w:t xml:space="preserve"> </w:t>
      </w:r>
      <w:r w:rsidR="006028B1">
        <w:t xml:space="preserve">is </w:t>
      </w:r>
      <w:r w:rsidR="00666099">
        <w:t>outside the building</w:t>
      </w:r>
      <w:r w:rsidR="00FE20C2">
        <w:t xml:space="preserve"> within 98</w:t>
      </w:r>
      <w:r w:rsidR="00FE20C2" w:rsidRPr="007F62A2">
        <w:rPr>
          <w:vertAlign w:val="superscript"/>
        </w:rPr>
        <w:t>th</w:t>
      </w:r>
      <w:r w:rsidR="00FE20C2">
        <w:t xml:space="preserve"> Ave</w:t>
      </w:r>
      <w:r w:rsidR="0096108D">
        <w:t>nue</w:t>
      </w:r>
      <w:r w:rsidR="00592E2A">
        <w:t>.</w:t>
      </w:r>
    </w:p>
    <w:p w14:paraId="3E420583" w14:textId="6E595752" w:rsidR="00AA555D" w:rsidRDefault="00923CE0" w:rsidP="00E66214">
      <w:r>
        <w:t xml:space="preserve">DCE </w:t>
      </w:r>
      <w:r w:rsidR="00813890">
        <w:t xml:space="preserve">was detected in one out of the </w:t>
      </w:r>
      <w:r w:rsidR="009D18CA">
        <w:t xml:space="preserve">two </w:t>
      </w:r>
      <w:r w:rsidR="00813890">
        <w:t>deep aquifer wells</w:t>
      </w:r>
      <w:r w:rsidR="00284D9D">
        <w:t xml:space="preserve"> that were sampled</w:t>
      </w:r>
      <w:r w:rsidR="00B87CE4">
        <w:t xml:space="preserve">, </w:t>
      </w:r>
      <w:r w:rsidR="00A7297C">
        <w:t xml:space="preserve">MW-34, but </w:t>
      </w:r>
      <w:r w:rsidR="00033548">
        <w:t xml:space="preserve">the detection </w:t>
      </w:r>
      <w:r w:rsidR="00A7297C">
        <w:t xml:space="preserve">did not exceed MTCA CUL of </w:t>
      </w:r>
      <w:r w:rsidR="00C838ED">
        <w:t xml:space="preserve">16 </w:t>
      </w:r>
      <w:r w:rsidR="00C838ED" w:rsidRPr="00FE39CA">
        <w:t>µg/L</w:t>
      </w:r>
      <w:r w:rsidR="00A7297C">
        <w:t xml:space="preserve"> during</w:t>
      </w:r>
      <w:r w:rsidR="000F7118">
        <w:t xml:space="preserve"> the </w:t>
      </w:r>
      <w:r w:rsidR="006028B1">
        <w:t>s</w:t>
      </w:r>
      <w:r w:rsidR="000F7118">
        <w:t>pring sampling event.</w:t>
      </w:r>
      <w:r w:rsidR="00063DA3">
        <w:t xml:space="preserve"> Figure </w:t>
      </w:r>
      <w:r w:rsidR="00A54FFA">
        <w:t>9c</w:t>
      </w:r>
      <w:r w:rsidR="00063DA3">
        <w:t xml:space="preserve"> shows DCE isocontours and concentrations within the </w:t>
      </w:r>
      <w:r w:rsidR="0055303A">
        <w:t>deep</w:t>
      </w:r>
      <w:r w:rsidR="00063DA3">
        <w:t xml:space="preserve"> zone</w:t>
      </w:r>
      <w:r w:rsidR="00BC1628">
        <w:t xml:space="preserve">. </w:t>
      </w:r>
      <w:r w:rsidR="006C0616">
        <w:t>None</w:t>
      </w:r>
      <w:r w:rsidR="00547EB6">
        <w:t xml:space="preserve"> of the deep aquifer wells exceed the respective CUL</w:t>
      </w:r>
      <w:r w:rsidR="00063DA3">
        <w:t>.</w:t>
      </w:r>
    </w:p>
    <w:p w14:paraId="64C5488D" w14:textId="148C2AAC" w:rsidR="00710CA6" w:rsidRDefault="00B56A6D" w:rsidP="00E66214">
      <w:r>
        <w:t>VC</w:t>
      </w:r>
      <w:r w:rsidR="00710CA6">
        <w:t xml:space="preserve"> was detected in one out of the </w:t>
      </w:r>
      <w:r w:rsidR="009D18CA">
        <w:t xml:space="preserve">two </w:t>
      </w:r>
      <w:r w:rsidR="00710CA6">
        <w:t>deep aquifer wells</w:t>
      </w:r>
      <w:r w:rsidR="00A67D9B">
        <w:t xml:space="preserve"> that were sampled</w:t>
      </w:r>
      <w:r w:rsidR="002F2849">
        <w:t>, MW-34,</w:t>
      </w:r>
      <w:r w:rsidR="00710CA6">
        <w:t xml:space="preserve"> </w:t>
      </w:r>
      <w:r w:rsidR="002F2849">
        <w:t xml:space="preserve">which </w:t>
      </w:r>
      <w:r w:rsidR="00694986">
        <w:t xml:space="preserve">resulted in </w:t>
      </w:r>
      <w:r w:rsidR="002F2849">
        <w:t xml:space="preserve">a </w:t>
      </w:r>
      <w:r w:rsidR="00895853">
        <w:t xml:space="preserve">concentration greater than the MTCA Method A CUL of </w:t>
      </w:r>
      <w:r w:rsidR="00C838ED">
        <w:t xml:space="preserve">0.2 </w:t>
      </w:r>
      <w:r w:rsidR="00C838ED" w:rsidRPr="00FE39CA">
        <w:t>µg/L</w:t>
      </w:r>
      <w:r w:rsidR="00895853">
        <w:t xml:space="preserve"> </w:t>
      </w:r>
      <w:r w:rsidR="005E072D">
        <w:t xml:space="preserve">during the </w:t>
      </w:r>
      <w:r w:rsidR="00F56D2F">
        <w:t>s</w:t>
      </w:r>
      <w:r w:rsidR="005E072D">
        <w:t>pring sampling event</w:t>
      </w:r>
      <w:r w:rsidR="00374BAD">
        <w:t xml:space="preserve">. </w:t>
      </w:r>
      <w:r>
        <w:t>VC</w:t>
      </w:r>
      <w:r w:rsidR="00374BAD">
        <w:t xml:space="preserve"> concentrations ranged from less than the </w:t>
      </w:r>
      <w:r w:rsidR="00296418">
        <w:t>PQL</w:t>
      </w:r>
      <w:r w:rsidR="00374BAD">
        <w:t xml:space="preserve"> to </w:t>
      </w:r>
      <w:r w:rsidR="00B53216">
        <w:t xml:space="preserve">0.57 </w:t>
      </w:r>
      <w:r w:rsidR="00B53216" w:rsidRPr="00FE39CA">
        <w:t>µg/L</w:t>
      </w:r>
      <w:r w:rsidR="00B53216">
        <w:t xml:space="preserve"> at MW-34.</w:t>
      </w:r>
      <w:r w:rsidR="009E4C7B">
        <w:t xml:space="preserve"> Figure</w:t>
      </w:r>
      <w:r w:rsidR="0008207E">
        <w:t> </w:t>
      </w:r>
      <w:r w:rsidR="006C0616">
        <w:t>10c</w:t>
      </w:r>
      <w:r w:rsidR="009E4C7B">
        <w:t xml:space="preserve"> shows </w:t>
      </w:r>
      <w:r>
        <w:t>VC</w:t>
      </w:r>
      <w:r w:rsidR="009E4C7B">
        <w:t xml:space="preserve"> isocontours and concentrations within the deep zone. The only well </w:t>
      </w:r>
      <w:r w:rsidR="006A2EB7">
        <w:t>with a</w:t>
      </w:r>
      <w:r w:rsidR="00F4445C">
        <w:t xml:space="preserve">n exceedance </w:t>
      </w:r>
      <w:r w:rsidR="00EB470F">
        <w:t xml:space="preserve">is </w:t>
      </w:r>
      <w:r w:rsidR="00D2676D">
        <w:t>located beneath</w:t>
      </w:r>
      <w:r w:rsidR="00EB470F">
        <w:t xml:space="preserve"> the building at MW-34, near the </w:t>
      </w:r>
      <w:r w:rsidR="004315AA">
        <w:t xml:space="preserve">location of the treatment shed. </w:t>
      </w:r>
    </w:p>
    <w:p w14:paraId="0A96686C" w14:textId="7F18E3DD" w:rsidR="0041749F" w:rsidRPr="00E66214" w:rsidRDefault="0037086B" w:rsidP="00E66214">
      <w:r>
        <w:t xml:space="preserve">Deep well </w:t>
      </w:r>
      <w:r w:rsidR="000A608A">
        <w:t xml:space="preserve">MW-29 was not located during the </w:t>
      </w:r>
      <w:r w:rsidR="00A403B8">
        <w:t>s</w:t>
      </w:r>
      <w:r w:rsidR="000A608A">
        <w:t xml:space="preserve">pring sampling event due to construction </w:t>
      </w:r>
      <w:r w:rsidR="0016289A">
        <w:t>activities</w:t>
      </w:r>
      <w:r w:rsidR="000A608A">
        <w:t xml:space="preserve"> and therefore was not sampled during this semiannual monitoring event. </w:t>
      </w:r>
      <w:r w:rsidR="006E6666">
        <w:t>Generally, April 2024 CVOC concentrations within the deep zone have remained consistent with previous analytical results</w:t>
      </w:r>
      <w:r w:rsidR="00384CE3">
        <w:t>.</w:t>
      </w:r>
    </w:p>
    <w:p w14:paraId="3A7C6299" w14:textId="7DA1D95A" w:rsidR="0036042F" w:rsidRDefault="0036042F" w:rsidP="0036042F">
      <w:pPr>
        <w:pStyle w:val="Heading3"/>
      </w:pPr>
      <w:r>
        <w:t xml:space="preserve">September 2024 Groundwater Monitoring </w:t>
      </w:r>
      <w:r w:rsidR="00E06AC9">
        <w:t>Activities</w:t>
      </w:r>
    </w:p>
    <w:p w14:paraId="6C285D0A" w14:textId="3B6BEA3B" w:rsidR="002C6110" w:rsidRPr="001F7FA9" w:rsidRDefault="002C6110" w:rsidP="00D95D02">
      <w:r w:rsidRPr="00A67D9B">
        <w:t xml:space="preserve">Semiannual groundwater monitoring was completed at the Site during September 2024. Prior to collecting groundwater samples, synoptic DTW measurements were collected from a total of 31 site monitoring wells only while the treatment system was operating. There are a total of 33 site </w:t>
      </w:r>
      <w:r w:rsidRPr="00A67D9B">
        <w:lastRenderedPageBreak/>
        <w:t>monitoring wells that are sampled semiannually, but two of these wells</w:t>
      </w:r>
      <w:r w:rsidR="00F14C40">
        <w:t>, MW-6 and HZ-MW-33R,</w:t>
      </w:r>
      <w:r w:rsidRPr="00A67D9B">
        <w:t xml:space="preserve"> </w:t>
      </w:r>
      <w:r w:rsidR="00A67D9B" w:rsidRPr="00A67D9B">
        <w:t xml:space="preserve">have angled elbow couplings that do not </w:t>
      </w:r>
      <w:r w:rsidR="007E0FC9" w:rsidRPr="00A67D9B">
        <w:t>allow</w:t>
      </w:r>
      <w:r w:rsidR="00A67D9B" w:rsidRPr="00A67D9B">
        <w:t xml:space="preserve"> the DTW meter to pass through and therefore cannot be measured</w:t>
      </w:r>
      <w:r w:rsidRPr="00A67D9B">
        <w:t xml:space="preserve">. </w:t>
      </w:r>
    </w:p>
    <w:p w14:paraId="600ED0EB" w14:textId="10D59F53" w:rsidR="006D526E" w:rsidRDefault="006D526E" w:rsidP="006D526E">
      <w:r>
        <w:t>Groundwater contours were developed for all three zones during the September 2024 sampling event</w:t>
      </w:r>
      <w:r w:rsidR="00EF7014">
        <w:t xml:space="preserve"> using the synoptic DTW measurements collected while the system was</w:t>
      </w:r>
      <w:r w:rsidR="00EF7014" w:rsidDel="002C3B92">
        <w:t xml:space="preserve"> running</w:t>
      </w:r>
      <w:r w:rsidR="009B48BE">
        <w:t>.</w:t>
      </w:r>
      <w:r>
        <w:t xml:space="preserve"> </w:t>
      </w:r>
      <w:r w:rsidR="007A58B9">
        <w:t xml:space="preserve">However, these measurements were collected </w:t>
      </w:r>
      <w:r w:rsidR="00A403B8">
        <w:t>6</w:t>
      </w:r>
      <w:r w:rsidR="007A58B9">
        <w:t xml:space="preserve"> months after system </w:t>
      </w:r>
      <w:r w:rsidR="00903F58">
        <w:t xml:space="preserve">optimization </w:t>
      </w:r>
      <w:r w:rsidR="007A58B9">
        <w:t xml:space="preserve">adjustments were </w:t>
      </w:r>
      <w:r w:rsidR="00DB32EF">
        <w:t xml:space="preserve">in place, which included limiting injections and </w:t>
      </w:r>
      <w:r w:rsidR="00D16CDB">
        <w:t xml:space="preserve">extractions to </w:t>
      </w:r>
      <w:r w:rsidR="00597246">
        <w:t xml:space="preserve">wells </w:t>
      </w:r>
      <w:r w:rsidR="00947014">
        <w:t xml:space="preserve">1iR, </w:t>
      </w:r>
      <w:r w:rsidR="00B66D92">
        <w:t>4i, 6iR</w:t>
      </w:r>
      <w:r w:rsidR="00AE3B52">
        <w:t xml:space="preserve">, </w:t>
      </w:r>
      <w:r w:rsidR="008A5CB8">
        <w:t xml:space="preserve">9iR, </w:t>
      </w:r>
      <w:r w:rsidR="00B56BEB">
        <w:t xml:space="preserve">11i, </w:t>
      </w:r>
      <w:r w:rsidR="008F78B7">
        <w:t xml:space="preserve">3e, 7e, and </w:t>
      </w:r>
      <w:r w:rsidR="00B56BEB">
        <w:t>13eR</w:t>
      </w:r>
      <w:r w:rsidR="008F78B7">
        <w:t>.</w:t>
      </w:r>
      <w:r w:rsidR="008B7873">
        <w:t xml:space="preserve"> </w:t>
      </w:r>
    </w:p>
    <w:p w14:paraId="33666DEC" w14:textId="683A1A30" w:rsidR="00851B4C" w:rsidRDefault="00851B4C" w:rsidP="006D526E">
      <w:r w:rsidRPr="00DD7303">
        <w:t xml:space="preserve">Figures </w:t>
      </w:r>
      <w:r>
        <w:t>11</w:t>
      </w:r>
      <w:r w:rsidRPr="00DD7303">
        <w:t xml:space="preserve">a through </w:t>
      </w:r>
      <w:r>
        <w:t>11c</w:t>
      </w:r>
      <w:r w:rsidRPr="00DD7303">
        <w:t xml:space="preserve"> show potentiometric groundwater contours and groundwater flow directions</w:t>
      </w:r>
      <w:r w:rsidR="0057281B">
        <w:t xml:space="preserve"> for all three aquifers</w:t>
      </w:r>
      <w:r>
        <w:t xml:space="preserve">. </w:t>
      </w:r>
      <w:r w:rsidRPr="00A67D9B">
        <w:t xml:space="preserve">Groundwater elevations for all events are presented in </w:t>
      </w:r>
      <w:r w:rsidRPr="00E9783B">
        <w:t xml:space="preserve">Table </w:t>
      </w:r>
      <w:r>
        <w:t>4</w:t>
      </w:r>
      <w:r w:rsidRPr="00E9783B">
        <w:rPr>
          <w:b/>
        </w:rPr>
        <w:t>.</w:t>
      </w:r>
      <w:r>
        <w:rPr>
          <w:b/>
        </w:rPr>
        <w:t xml:space="preserve"> </w:t>
      </w:r>
      <w:r w:rsidRPr="00C722B0">
        <w:t xml:space="preserve">Groundwater samples were collected using low-flow sampling techniques in accordance with Floyd|Snider standard </w:t>
      </w:r>
      <w:r w:rsidRPr="00D87516">
        <w:t xml:space="preserve">guidelines </w:t>
      </w:r>
      <w:r w:rsidRPr="004A6FEF">
        <w:t xml:space="preserve">(Attachment </w:t>
      </w:r>
      <w:r w:rsidR="008447D6" w:rsidRPr="004A6FEF">
        <w:t>3</w:t>
      </w:r>
      <w:r w:rsidRPr="004A6FEF">
        <w:t>)</w:t>
      </w:r>
      <w:r w:rsidRPr="00D87516">
        <w:t>.</w:t>
      </w:r>
      <w:r>
        <w:t xml:space="preserve"> </w:t>
      </w:r>
      <w:r w:rsidR="0033164A">
        <w:t xml:space="preserve">A data validation </w:t>
      </w:r>
      <w:r w:rsidR="006671F3">
        <w:t>summary</w:t>
      </w:r>
      <w:r w:rsidR="0033164A">
        <w:t xml:space="preserve"> was prepared </w:t>
      </w:r>
      <w:r w:rsidR="007C1AAB">
        <w:t>for this event and can be found in Attachment 6</w:t>
      </w:r>
      <w:r w:rsidR="009345AB">
        <w:t>, and the QAPP is included as Attachment 7</w:t>
      </w:r>
      <w:r w:rsidR="007C1AAB">
        <w:t>.</w:t>
      </w:r>
    </w:p>
    <w:p w14:paraId="33719FF0" w14:textId="719CFD5E" w:rsidR="006D526E" w:rsidRPr="00720231" w:rsidRDefault="006D526E" w:rsidP="006D526E">
      <w:r w:rsidRPr="00B74423">
        <w:rPr>
          <w:b/>
          <w:bCs/>
        </w:rPr>
        <w:t>Shallow Zone (System On):</w:t>
      </w:r>
      <w:r w:rsidRPr="00B74423">
        <w:t xml:space="preserve"> Groundwater elevations collected on </w:t>
      </w:r>
      <w:r w:rsidR="00364A41" w:rsidRPr="00B74423">
        <w:t>September</w:t>
      </w:r>
      <w:r w:rsidRPr="00B74423">
        <w:t xml:space="preserve"> </w:t>
      </w:r>
      <w:r w:rsidR="00364A41" w:rsidRPr="00B74423">
        <w:t>23</w:t>
      </w:r>
      <w:r w:rsidRPr="00B74423">
        <w:t>, 2024, while the system was operating, show that the shallow zone wells ranged from 3</w:t>
      </w:r>
      <w:r w:rsidR="008E05A9" w:rsidRPr="005E0F0E">
        <w:t>8</w:t>
      </w:r>
      <w:r w:rsidRPr="00B74423">
        <w:t>.</w:t>
      </w:r>
      <w:r w:rsidR="002C396B" w:rsidRPr="005E0F0E">
        <w:t>80</w:t>
      </w:r>
      <w:r w:rsidRPr="00B74423">
        <w:t xml:space="preserve"> to </w:t>
      </w:r>
      <w:r w:rsidR="00D7628D" w:rsidRPr="005E0F0E">
        <w:t>28.30</w:t>
      </w:r>
      <w:r w:rsidRPr="00B74423">
        <w:t xml:space="preserve"> feet NAVD</w:t>
      </w:r>
      <w:r w:rsidR="00DC7D6C">
        <w:t> </w:t>
      </w:r>
      <w:r w:rsidRPr="00B74423">
        <w:t xml:space="preserve">88 </w:t>
      </w:r>
      <w:r w:rsidR="00A22CF3">
        <w:t>(</w:t>
      </w:r>
      <w:r w:rsidRPr="00B74423">
        <w:t xml:space="preserve">Figure </w:t>
      </w:r>
      <w:r w:rsidR="009F72D8">
        <w:t>11</w:t>
      </w:r>
      <w:r w:rsidRPr="00B74423">
        <w:t>a</w:t>
      </w:r>
      <w:r w:rsidR="00A22CF3">
        <w:t>).</w:t>
      </w:r>
      <w:r w:rsidRPr="00B74423">
        <w:t xml:space="preserve"> Groundwater generally flows to the southeast </w:t>
      </w:r>
      <w:r w:rsidR="00836B8C" w:rsidRPr="005E0F0E">
        <w:t xml:space="preserve">from MW-43R to </w:t>
      </w:r>
      <w:r w:rsidR="00E42581" w:rsidRPr="005E0F0E">
        <w:t xml:space="preserve">HZ-MW-1 </w:t>
      </w:r>
      <w:r w:rsidRPr="00B74423">
        <w:t>and to the south</w:t>
      </w:r>
      <w:r w:rsidR="00E42581" w:rsidRPr="005E0F0E">
        <w:t xml:space="preserve"> from </w:t>
      </w:r>
      <w:r w:rsidR="008D5B09" w:rsidRPr="005E0F0E">
        <w:t>MW-40 to HZ-MW-31</w:t>
      </w:r>
      <w:r w:rsidRPr="00B74423">
        <w:t xml:space="preserve">. </w:t>
      </w:r>
      <w:r w:rsidR="00EC6DCA" w:rsidRPr="005E0F0E">
        <w:t>The greatest gradient i</w:t>
      </w:r>
      <w:r w:rsidR="007E6EAE" w:rsidRPr="005E0F0E">
        <w:t>s in the southwestern portion of the Site</w:t>
      </w:r>
      <w:r w:rsidR="000B06A3">
        <w:t>,</w:t>
      </w:r>
      <w:r w:rsidR="007E6EAE" w:rsidRPr="005E0F0E">
        <w:t xml:space="preserve"> with a gradient of approximately 0.04</w:t>
      </w:r>
      <w:r w:rsidR="001560C5" w:rsidRPr="005E0F0E">
        <w:t xml:space="preserve"> feet per </w:t>
      </w:r>
      <w:r w:rsidR="005A5D45" w:rsidRPr="005E0F0E">
        <w:t>foot</w:t>
      </w:r>
      <w:r w:rsidR="00AB655D" w:rsidRPr="005E0F0E">
        <w:t xml:space="preserve"> to the south</w:t>
      </w:r>
      <w:r w:rsidR="007E6EAE" w:rsidRPr="005E0F0E">
        <w:t xml:space="preserve">. </w:t>
      </w:r>
      <w:r w:rsidR="00AB655D" w:rsidRPr="005E0F0E">
        <w:t xml:space="preserve">The gradient for the flow direction to the southeast is approximately 0.02 feet per foot. </w:t>
      </w:r>
      <w:r w:rsidR="005F3531" w:rsidRPr="005E0F0E">
        <w:t xml:space="preserve">Groundwater in the </w:t>
      </w:r>
      <w:r w:rsidR="00D655D0" w:rsidRPr="005E0F0E">
        <w:t xml:space="preserve">shallow zone </w:t>
      </w:r>
      <w:r w:rsidR="005F3531" w:rsidRPr="005E0F0E">
        <w:t xml:space="preserve">no longer </w:t>
      </w:r>
      <w:r w:rsidR="00CE35A5" w:rsidRPr="005E0F0E">
        <w:t xml:space="preserve">displays </w:t>
      </w:r>
      <w:r w:rsidR="00A14666" w:rsidRPr="005E0F0E">
        <w:t xml:space="preserve">obvious </w:t>
      </w:r>
      <w:r w:rsidR="005F3531" w:rsidRPr="005E0F0E">
        <w:t>mound</w:t>
      </w:r>
      <w:r w:rsidR="00A14666" w:rsidRPr="005E0F0E">
        <w:t>ing</w:t>
      </w:r>
      <w:r w:rsidR="00532FD4" w:rsidRPr="005E0F0E">
        <w:t>; however, injection wells 1iR</w:t>
      </w:r>
      <w:r w:rsidR="00EC6DCA" w:rsidRPr="005E0F0E">
        <w:t>,</w:t>
      </w:r>
      <w:r w:rsidR="00532FD4" w:rsidRPr="005E0F0E">
        <w:t xml:space="preserve"> 4i</w:t>
      </w:r>
      <w:r w:rsidR="00EC6DCA" w:rsidRPr="005E0F0E">
        <w:t>, and 6iR</w:t>
      </w:r>
      <w:r w:rsidR="00532FD4" w:rsidRPr="005E0F0E">
        <w:t xml:space="preserve"> </w:t>
      </w:r>
      <w:r w:rsidR="00641D09" w:rsidRPr="005E0F0E">
        <w:t xml:space="preserve">have a slight influence on </w:t>
      </w:r>
      <w:r w:rsidR="008647ED">
        <w:t>groundwater</w:t>
      </w:r>
      <w:r w:rsidR="008647ED" w:rsidRPr="005E0F0E">
        <w:t xml:space="preserve"> </w:t>
      </w:r>
      <w:r w:rsidR="00641D09" w:rsidRPr="005E0F0E">
        <w:t xml:space="preserve">contours. </w:t>
      </w:r>
    </w:p>
    <w:p w14:paraId="59FB046C" w14:textId="36086EAC" w:rsidR="006002A0" w:rsidRPr="005E0F0E" w:rsidRDefault="006D526E" w:rsidP="006D526E">
      <w:r w:rsidRPr="00720231">
        <w:rPr>
          <w:b/>
          <w:bCs/>
        </w:rPr>
        <w:t>Intermediate Zone (System On):</w:t>
      </w:r>
      <w:r w:rsidRPr="00720231">
        <w:t xml:space="preserve"> The intermediate zone groundwater elevations ranged from 38.</w:t>
      </w:r>
      <w:r w:rsidR="006002A0" w:rsidRPr="005E0F0E">
        <w:t>14</w:t>
      </w:r>
      <w:r w:rsidRPr="00720231">
        <w:t xml:space="preserve"> to 3</w:t>
      </w:r>
      <w:r w:rsidR="00F32DF3" w:rsidRPr="005E0F0E">
        <w:t>3</w:t>
      </w:r>
      <w:r w:rsidRPr="00720231">
        <w:t>.</w:t>
      </w:r>
      <w:r w:rsidR="00F32DF3" w:rsidRPr="005E0F0E">
        <w:t>34</w:t>
      </w:r>
      <w:r w:rsidRPr="00720231">
        <w:t xml:space="preserve"> feet NAVD 88 (Figure </w:t>
      </w:r>
      <w:r w:rsidR="009F72D8">
        <w:t>11b</w:t>
      </w:r>
      <w:r w:rsidRPr="00720231">
        <w:t>). Groundwater in the intermediate zone generally flows to the southeast</w:t>
      </w:r>
      <w:r w:rsidR="00950751">
        <w:t>,</w:t>
      </w:r>
      <w:r w:rsidRPr="00720231">
        <w:t xml:space="preserve"> </w:t>
      </w:r>
      <w:r w:rsidR="006002A0" w:rsidRPr="00720231">
        <w:t>with a gradient ranging between approximately 0.008 and 0.0</w:t>
      </w:r>
      <w:r w:rsidR="005B0E8E" w:rsidRPr="00720231">
        <w:t>3</w:t>
      </w:r>
      <w:r w:rsidR="006002A0" w:rsidRPr="00720231">
        <w:t xml:space="preserve"> feet per foot</w:t>
      </w:r>
      <w:r w:rsidR="005B0E8E" w:rsidRPr="00720231">
        <w:t>.</w:t>
      </w:r>
      <w:r w:rsidR="006002A0" w:rsidRPr="005E0F0E">
        <w:t xml:space="preserve"> </w:t>
      </w:r>
    </w:p>
    <w:p w14:paraId="399D2A6E" w14:textId="47C50EEC" w:rsidR="006D526E" w:rsidRPr="006D526E" w:rsidRDefault="00EF7014" w:rsidP="005E0F0E">
      <w:r w:rsidRPr="005E0F0E">
        <w:rPr>
          <w:b/>
          <w:bCs/>
        </w:rPr>
        <w:t>Deep</w:t>
      </w:r>
      <w:r w:rsidR="006D526E" w:rsidRPr="005E0F0E">
        <w:rPr>
          <w:b/>
          <w:bCs/>
        </w:rPr>
        <w:t xml:space="preserve"> Zone (System O</w:t>
      </w:r>
      <w:r w:rsidRPr="005E0F0E">
        <w:rPr>
          <w:b/>
          <w:bCs/>
        </w:rPr>
        <w:t>n</w:t>
      </w:r>
      <w:r w:rsidR="006D526E" w:rsidRPr="005E0F0E">
        <w:rPr>
          <w:b/>
          <w:bCs/>
        </w:rPr>
        <w:t>):</w:t>
      </w:r>
      <w:r w:rsidR="006D526E" w:rsidRPr="00720231">
        <w:t xml:space="preserve"> The </w:t>
      </w:r>
      <w:r w:rsidR="00C04387" w:rsidRPr="005E0F0E">
        <w:t>deep</w:t>
      </w:r>
      <w:r w:rsidR="006D526E" w:rsidRPr="00720231">
        <w:t xml:space="preserve"> zone groundwater elevations ranged from </w:t>
      </w:r>
      <w:r w:rsidR="00C04387" w:rsidRPr="005E0F0E">
        <w:t xml:space="preserve">37.42 </w:t>
      </w:r>
      <w:r w:rsidR="006D526E" w:rsidRPr="00720231">
        <w:t>to 3</w:t>
      </w:r>
      <w:r w:rsidR="00C04387" w:rsidRPr="005E0F0E">
        <w:t>6.90</w:t>
      </w:r>
      <w:r w:rsidR="006D526E" w:rsidRPr="00720231">
        <w:t xml:space="preserve"> feet NAVD 88 (Figure </w:t>
      </w:r>
      <w:r w:rsidR="009F72D8">
        <w:t>11</w:t>
      </w:r>
      <w:r w:rsidR="00FE1FEE" w:rsidRPr="00720231">
        <w:t>c</w:t>
      </w:r>
      <w:r w:rsidR="006D526E" w:rsidRPr="00720231">
        <w:t xml:space="preserve">). Groundwater in the </w:t>
      </w:r>
      <w:r w:rsidR="00C04387" w:rsidRPr="005E0F0E">
        <w:t>deep</w:t>
      </w:r>
      <w:r w:rsidR="006D526E" w:rsidRPr="00720231">
        <w:t xml:space="preserve"> zone flows to the </w:t>
      </w:r>
      <w:r w:rsidR="00820017" w:rsidRPr="005E0F0E">
        <w:t>south-</w:t>
      </w:r>
      <w:r w:rsidR="006D526E" w:rsidRPr="00720231">
        <w:t>southeast</w:t>
      </w:r>
      <w:r w:rsidR="008E0A73">
        <w:t>,</w:t>
      </w:r>
      <w:r w:rsidR="00820017" w:rsidRPr="00720231">
        <w:t xml:space="preserve"> with a gradient of</w:t>
      </w:r>
      <w:r w:rsidR="00720231" w:rsidRPr="00720231">
        <w:t xml:space="preserve"> 0.009 feet per foot</w:t>
      </w:r>
      <w:r w:rsidR="006D526E" w:rsidRPr="00720231">
        <w:t>.</w:t>
      </w:r>
    </w:p>
    <w:p w14:paraId="1AAC3C48" w14:textId="1295D0F5" w:rsidR="00E06AC9" w:rsidRDefault="00E06AC9" w:rsidP="006D765C">
      <w:pPr>
        <w:pStyle w:val="Heading3"/>
      </w:pPr>
      <w:r>
        <w:t>September 2024 Groundwater Sampling Results</w:t>
      </w:r>
    </w:p>
    <w:p w14:paraId="11046517" w14:textId="09074881" w:rsidR="00B71741" w:rsidRPr="00B71741" w:rsidRDefault="00B71741" w:rsidP="00F34664">
      <w:r w:rsidRPr="00D871C9">
        <w:t>Table</w:t>
      </w:r>
      <w:r>
        <w:t>s</w:t>
      </w:r>
      <w:r w:rsidRPr="00D871C9">
        <w:t xml:space="preserve"> </w:t>
      </w:r>
      <w:r>
        <w:t>1 through 4</w:t>
      </w:r>
      <w:r w:rsidRPr="00D871C9">
        <w:t xml:space="preserve"> provide </w:t>
      </w:r>
      <w:r>
        <w:t>semiannual</w:t>
      </w:r>
      <w:r w:rsidRPr="00D871C9">
        <w:t xml:space="preserve"> groundwater analytical results for CVOCs compared </w:t>
      </w:r>
      <w:r w:rsidR="008E0A73">
        <w:t>with</w:t>
      </w:r>
      <w:r w:rsidRPr="00D871C9">
        <w:t xml:space="preserve"> </w:t>
      </w:r>
      <w:r>
        <w:t xml:space="preserve">their respective </w:t>
      </w:r>
      <w:r w:rsidRPr="00D871C9">
        <w:t>MTCA Method</w:t>
      </w:r>
      <w:r>
        <w:t> </w:t>
      </w:r>
      <w:r w:rsidRPr="00D871C9">
        <w:t xml:space="preserve">A </w:t>
      </w:r>
      <w:r>
        <w:t>CU</w:t>
      </w:r>
      <w:r w:rsidRPr="00D871C9">
        <w:t>L</w:t>
      </w:r>
      <w:r>
        <w:t>s</w:t>
      </w:r>
      <w:r w:rsidRPr="00D871C9">
        <w:t>. Figure</w:t>
      </w:r>
      <w:r>
        <w:t>s</w:t>
      </w:r>
      <w:r w:rsidRPr="00D871C9">
        <w:t xml:space="preserve"> </w:t>
      </w:r>
      <w:r w:rsidR="003A1B0E">
        <w:t>12</w:t>
      </w:r>
      <w:r>
        <w:t xml:space="preserve">a through </w:t>
      </w:r>
      <w:r w:rsidR="00CE72EF">
        <w:t>15</w:t>
      </w:r>
      <w:r>
        <w:t xml:space="preserve">c </w:t>
      </w:r>
      <w:r w:rsidRPr="00D871C9">
        <w:t xml:space="preserve">show </w:t>
      </w:r>
      <w:r>
        <w:t>CVOC</w:t>
      </w:r>
      <w:r w:rsidRPr="00D871C9">
        <w:t xml:space="preserve"> groundwater concentration</w:t>
      </w:r>
      <w:r>
        <w:t>s</w:t>
      </w:r>
      <w:r w:rsidRPr="00D871C9">
        <w:t xml:space="preserve"> at each monitoring well location</w:t>
      </w:r>
      <w:r>
        <w:t xml:space="preserve"> </w:t>
      </w:r>
      <w:r w:rsidRPr="00D871C9">
        <w:t xml:space="preserve">by </w:t>
      </w:r>
      <w:r>
        <w:t xml:space="preserve">each </w:t>
      </w:r>
      <w:r w:rsidRPr="00D871C9">
        <w:t>aquifer zone.</w:t>
      </w:r>
      <w:r>
        <w:t xml:space="preserve"> </w:t>
      </w:r>
    </w:p>
    <w:p w14:paraId="0EC275C4" w14:textId="77777777" w:rsidR="0036042F" w:rsidRDefault="0036042F" w:rsidP="0036042F">
      <w:pPr>
        <w:pStyle w:val="Heading4"/>
      </w:pPr>
      <w:r>
        <w:t>Shallow Aquifer</w:t>
      </w:r>
    </w:p>
    <w:p w14:paraId="672DCBCE" w14:textId="04057CF2" w:rsidR="00451560" w:rsidRDefault="00451560" w:rsidP="00451560">
      <w:r>
        <w:t xml:space="preserve">PCE was detected in </w:t>
      </w:r>
      <w:r w:rsidR="008E0A73">
        <w:t>13</w:t>
      </w:r>
      <w:r>
        <w:t xml:space="preserve"> out of the </w:t>
      </w:r>
      <w:r w:rsidR="008E0A73">
        <w:t>18</w:t>
      </w:r>
      <w:r>
        <w:t xml:space="preserve"> shallow aquifer wells, with </w:t>
      </w:r>
      <w:r w:rsidR="008E0A73">
        <w:t>7</w:t>
      </w:r>
      <w:r w:rsidR="006D3809">
        <w:t xml:space="preserve"> </w:t>
      </w:r>
      <w:r>
        <w:t xml:space="preserve">wells containing concentrations greater than the MTCA Method A CUL of </w:t>
      </w:r>
      <w:r w:rsidR="00C838ED">
        <w:t xml:space="preserve">5 </w:t>
      </w:r>
      <w:r w:rsidR="00C838ED" w:rsidRPr="00FE39CA">
        <w:t>µg/L</w:t>
      </w:r>
      <w:r w:rsidR="00C838ED">
        <w:t xml:space="preserve"> </w:t>
      </w:r>
      <w:r>
        <w:t xml:space="preserve">during the </w:t>
      </w:r>
      <w:r w:rsidR="00C52421">
        <w:t>f</w:t>
      </w:r>
      <w:r w:rsidR="002C6110">
        <w:t>all</w:t>
      </w:r>
      <w:r>
        <w:t xml:space="preserve"> sampling event. PCE concentrations ranged from less than the </w:t>
      </w:r>
      <w:r w:rsidR="00F34664">
        <w:t>PQL</w:t>
      </w:r>
      <w:r>
        <w:t xml:space="preserve"> to </w:t>
      </w:r>
      <w:r w:rsidR="001D5CE4">
        <w:t>8</w:t>
      </w:r>
      <w:r>
        <w:t xml:space="preserve">90 </w:t>
      </w:r>
      <w:r w:rsidRPr="00FE39CA">
        <w:t>µg/L</w:t>
      </w:r>
      <w:r>
        <w:t xml:space="preserve"> at MW-40. </w:t>
      </w:r>
      <w:r w:rsidR="00AC548E">
        <w:t xml:space="preserve">Figure </w:t>
      </w:r>
      <w:r w:rsidR="00E46803">
        <w:t>12</w:t>
      </w:r>
      <w:r w:rsidR="00AC548E">
        <w:t xml:space="preserve">a shows the </w:t>
      </w:r>
      <w:r w:rsidR="007C5F9D">
        <w:lastRenderedPageBreak/>
        <w:t>September</w:t>
      </w:r>
      <w:r w:rsidR="00AC548E">
        <w:t xml:space="preserve"> 2024 PCE isocontours and concentrations within the shallow aquifer. T</w:t>
      </w:r>
      <w:r w:rsidR="001D2D8D">
        <w:t>w</w:t>
      </w:r>
      <w:r w:rsidR="002539AB">
        <w:t>o</w:t>
      </w:r>
      <w:r w:rsidR="00AC548E">
        <w:t xml:space="preserve"> area</w:t>
      </w:r>
      <w:r w:rsidR="00C52421">
        <w:t>s</w:t>
      </w:r>
      <w:r w:rsidR="00AC548E">
        <w:t xml:space="preserve"> with the greatest concentration beneath the building </w:t>
      </w:r>
      <w:r w:rsidR="002539AB">
        <w:t>are</w:t>
      </w:r>
      <w:r w:rsidR="00AC548E">
        <w:t xml:space="preserve"> </w:t>
      </w:r>
      <w:r w:rsidR="002539AB">
        <w:t>S-</w:t>
      </w:r>
      <w:r w:rsidR="00AC548E">
        <w:t>MW-</w:t>
      </w:r>
      <w:r w:rsidR="002539AB">
        <w:t>5R and HZ-MW-14S</w:t>
      </w:r>
      <w:r w:rsidR="00AC548E">
        <w:t xml:space="preserve"> with concentration</w:t>
      </w:r>
      <w:r w:rsidR="00075C37">
        <w:t>s</w:t>
      </w:r>
      <w:r w:rsidR="00AC548E">
        <w:t xml:space="preserve"> of </w:t>
      </w:r>
      <w:r w:rsidR="00075C37">
        <w:t>35</w:t>
      </w:r>
      <w:r w:rsidR="00AC548E">
        <w:t xml:space="preserve">0 </w:t>
      </w:r>
      <w:r w:rsidR="00AC548E" w:rsidRPr="00FE39CA">
        <w:t>µg/L</w:t>
      </w:r>
      <w:r w:rsidR="00075C37">
        <w:t xml:space="preserve"> and 170 </w:t>
      </w:r>
      <w:r w:rsidR="00075C37" w:rsidRPr="00FE39CA">
        <w:t>µg/L</w:t>
      </w:r>
      <w:r w:rsidR="00075C37">
        <w:t>, respectively</w:t>
      </w:r>
      <w:r w:rsidR="00C52421">
        <w:t>.</w:t>
      </w:r>
      <w:r w:rsidR="00075C37">
        <w:t xml:space="preserve"> </w:t>
      </w:r>
      <w:r w:rsidR="00C52421">
        <w:t>A</w:t>
      </w:r>
      <w:r w:rsidR="00AC548E">
        <w:t xml:space="preserve"> separate area of exceedance </w:t>
      </w:r>
      <w:r w:rsidR="007F5AE4">
        <w:t xml:space="preserve">occurs </w:t>
      </w:r>
      <w:r w:rsidR="00AC548E">
        <w:t>around MW-4</w:t>
      </w:r>
      <w:r w:rsidR="00C96921">
        <w:t>0</w:t>
      </w:r>
      <w:r w:rsidR="00AC548E">
        <w:t xml:space="preserve"> on the west side of the Site outside the building along 98</w:t>
      </w:r>
      <w:r w:rsidR="00AC548E" w:rsidRPr="007F62A2">
        <w:rPr>
          <w:vertAlign w:val="superscript"/>
        </w:rPr>
        <w:t>th</w:t>
      </w:r>
      <w:r w:rsidR="00AC548E">
        <w:t xml:space="preserve"> Ave</w:t>
      </w:r>
      <w:r w:rsidR="00006A11">
        <w:t>nue</w:t>
      </w:r>
      <w:r w:rsidR="00AC548E">
        <w:t xml:space="preserve"> NE.</w:t>
      </w:r>
    </w:p>
    <w:p w14:paraId="62F07F17" w14:textId="505B193F" w:rsidR="00451560" w:rsidRDefault="00451560" w:rsidP="00451560">
      <w:r>
        <w:t xml:space="preserve">TCE was detected in </w:t>
      </w:r>
      <w:r w:rsidR="007F5AE4">
        <w:t>13</w:t>
      </w:r>
      <w:r>
        <w:t xml:space="preserve"> out of the </w:t>
      </w:r>
      <w:r w:rsidR="007F5AE4">
        <w:t>18</w:t>
      </w:r>
      <w:r>
        <w:t xml:space="preserve"> shallow aquifer wells, with </w:t>
      </w:r>
      <w:r w:rsidR="005E60BF">
        <w:t>three</w:t>
      </w:r>
      <w:r>
        <w:t xml:space="preserve"> wells containing concentrations greater than the MTCA Method A CUL of </w:t>
      </w:r>
      <w:r w:rsidR="00C838ED">
        <w:t xml:space="preserve">5 </w:t>
      </w:r>
      <w:r w:rsidR="00C838ED" w:rsidRPr="00FE39CA">
        <w:t>µg/L</w:t>
      </w:r>
      <w:r w:rsidR="00C838ED">
        <w:t xml:space="preserve"> </w:t>
      </w:r>
      <w:r>
        <w:t xml:space="preserve">during the </w:t>
      </w:r>
      <w:r w:rsidR="007F5AE4">
        <w:t>f</w:t>
      </w:r>
      <w:r w:rsidR="002C6110">
        <w:t>all</w:t>
      </w:r>
      <w:r>
        <w:t xml:space="preserve"> sampling event. TCE concentrations ranged from less than the </w:t>
      </w:r>
      <w:r w:rsidR="00F34664">
        <w:t>PQL</w:t>
      </w:r>
      <w:r>
        <w:t xml:space="preserve"> to </w:t>
      </w:r>
      <w:r w:rsidR="00C10A69">
        <w:t>1</w:t>
      </w:r>
      <w:r>
        <w:t>,</w:t>
      </w:r>
      <w:r w:rsidR="00C10A69">
        <w:t>6</w:t>
      </w:r>
      <w:r>
        <w:t xml:space="preserve">00 </w:t>
      </w:r>
      <w:r w:rsidRPr="00FE39CA">
        <w:t>µg/L</w:t>
      </w:r>
      <w:r>
        <w:t xml:space="preserve"> at MW-40.</w:t>
      </w:r>
      <w:r w:rsidR="00C96921">
        <w:t xml:space="preserve"> Figure 1</w:t>
      </w:r>
      <w:r w:rsidR="00E46803">
        <w:t>3</w:t>
      </w:r>
      <w:r w:rsidR="00C96921">
        <w:t>a shows TCE isocontours and concentrations within the shallow zone</w:t>
      </w:r>
      <w:r w:rsidR="000D20B5">
        <w:t>,</w:t>
      </w:r>
      <w:r w:rsidR="00C96921">
        <w:t xml:space="preserve"> with two separate areas of exceedance beneath the building and one in the western portion of the </w:t>
      </w:r>
      <w:r w:rsidR="005673D8">
        <w:t>Site</w:t>
      </w:r>
      <w:r w:rsidR="00C96921">
        <w:t xml:space="preserve"> outside the building.</w:t>
      </w:r>
    </w:p>
    <w:p w14:paraId="3F488CB7" w14:textId="794E0C97" w:rsidR="00451560" w:rsidRDefault="00451560" w:rsidP="00451560">
      <w:r>
        <w:t xml:space="preserve">DCE was detected in </w:t>
      </w:r>
      <w:r w:rsidR="000D20B5">
        <w:t>16</w:t>
      </w:r>
      <w:r w:rsidR="005A14A9">
        <w:t xml:space="preserve"> </w:t>
      </w:r>
      <w:r>
        <w:t xml:space="preserve">out of the </w:t>
      </w:r>
      <w:r w:rsidR="000D20B5">
        <w:t>18</w:t>
      </w:r>
      <w:r>
        <w:t xml:space="preserve"> shallow aquifer wells, with </w:t>
      </w:r>
      <w:r w:rsidR="000D20B5">
        <w:t>7</w:t>
      </w:r>
      <w:r>
        <w:t xml:space="preserve"> wells containing concentrations greater than the MTCA CUL of </w:t>
      </w:r>
      <w:r w:rsidR="00C838ED">
        <w:t xml:space="preserve">16 </w:t>
      </w:r>
      <w:r w:rsidR="00C838ED" w:rsidRPr="00FE39CA">
        <w:t>µg/L</w:t>
      </w:r>
      <w:r>
        <w:t xml:space="preserve"> during the </w:t>
      </w:r>
      <w:r w:rsidR="000D20B5">
        <w:t>f</w:t>
      </w:r>
      <w:r w:rsidR="002C6110">
        <w:t>all</w:t>
      </w:r>
      <w:r>
        <w:t xml:space="preserve"> sampling event. DCE concentrations ranged from less than the </w:t>
      </w:r>
      <w:r w:rsidR="00F34664">
        <w:t>PQL</w:t>
      </w:r>
      <w:r>
        <w:t xml:space="preserve"> to </w:t>
      </w:r>
      <w:r w:rsidR="0044373A">
        <w:t>33</w:t>
      </w:r>
      <w:r>
        <w:t xml:space="preserve">0 </w:t>
      </w:r>
      <w:r w:rsidRPr="00FE39CA">
        <w:t>µg/L</w:t>
      </w:r>
      <w:r>
        <w:t xml:space="preserve"> at MW-4</w:t>
      </w:r>
      <w:r w:rsidR="0044373A">
        <w:t>0</w:t>
      </w:r>
      <w:r>
        <w:t>.</w:t>
      </w:r>
      <w:r w:rsidR="005673D8">
        <w:t xml:space="preserve"> Figure 1</w:t>
      </w:r>
      <w:r w:rsidR="00E46803">
        <w:t>4</w:t>
      </w:r>
      <w:r w:rsidR="005673D8">
        <w:t>a shows DCE isocontours and concentrations within the shallow zone. The area with the greatest concentration beneath the building is centered around MW-4R</w:t>
      </w:r>
      <w:r w:rsidR="00656BD1">
        <w:t>.</w:t>
      </w:r>
      <w:r w:rsidR="005673D8">
        <w:t xml:space="preserve"> </w:t>
      </w:r>
      <w:r w:rsidR="00656BD1">
        <w:t>T</w:t>
      </w:r>
      <w:r w:rsidR="00E22519">
        <w:t>wo</w:t>
      </w:r>
      <w:r w:rsidR="005673D8">
        <w:t xml:space="preserve"> </w:t>
      </w:r>
      <w:r w:rsidR="003F31A6">
        <w:t xml:space="preserve">areas of exceedances </w:t>
      </w:r>
      <w:r w:rsidR="00656BD1">
        <w:t xml:space="preserve">are </w:t>
      </w:r>
      <w:r w:rsidR="005673D8">
        <w:t xml:space="preserve">centered around MW-40 </w:t>
      </w:r>
      <w:r w:rsidR="003F31A6">
        <w:t xml:space="preserve">and HS-MW-31 </w:t>
      </w:r>
      <w:r w:rsidR="002E2EB0">
        <w:t xml:space="preserve">located </w:t>
      </w:r>
      <w:r w:rsidR="005673D8">
        <w:t xml:space="preserve">on the west side </w:t>
      </w:r>
      <w:r w:rsidR="002E2EB0">
        <w:t xml:space="preserve">and southwest corner </w:t>
      </w:r>
      <w:r w:rsidR="005673D8">
        <w:t>of the Site outside the building along 98</w:t>
      </w:r>
      <w:r w:rsidR="005673D8" w:rsidRPr="00DD7303">
        <w:rPr>
          <w:vertAlign w:val="superscript"/>
        </w:rPr>
        <w:t>th</w:t>
      </w:r>
      <w:r w:rsidR="005673D8">
        <w:t xml:space="preserve"> Ave</w:t>
      </w:r>
      <w:r w:rsidR="00006A11">
        <w:t>nue</w:t>
      </w:r>
      <w:r w:rsidR="005673D8">
        <w:t xml:space="preserve"> NE.</w:t>
      </w:r>
    </w:p>
    <w:p w14:paraId="5D4B2FE1" w14:textId="4BC7CEB3" w:rsidR="00451560" w:rsidRPr="001656D5" w:rsidRDefault="00B56A6D" w:rsidP="00451560">
      <w:pPr>
        <w:rPr>
          <w:spacing w:val="-2"/>
        </w:rPr>
      </w:pPr>
      <w:r w:rsidRPr="001656D5">
        <w:rPr>
          <w:spacing w:val="-2"/>
        </w:rPr>
        <w:t>VC</w:t>
      </w:r>
      <w:r w:rsidR="00451560" w:rsidRPr="001656D5">
        <w:rPr>
          <w:spacing w:val="-2"/>
        </w:rPr>
        <w:t xml:space="preserve"> was detected in </w:t>
      </w:r>
      <w:r w:rsidR="00656BD1" w:rsidRPr="001656D5">
        <w:rPr>
          <w:spacing w:val="-2"/>
        </w:rPr>
        <w:t>12</w:t>
      </w:r>
      <w:r w:rsidR="00451560" w:rsidRPr="001656D5">
        <w:rPr>
          <w:spacing w:val="-2"/>
        </w:rPr>
        <w:t xml:space="preserve"> out of the </w:t>
      </w:r>
      <w:r w:rsidR="00656BD1" w:rsidRPr="001656D5">
        <w:rPr>
          <w:spacing w:val="-2"/>
        </w:rPr>
        <w:t>18</w:t>
      </w:r>
      <w:r w:rsidR="00451560" w:rsidRPr="001656D5">
        <w:rPr>
          <w:spacing w:val="-2"/>
        </w:rPr>
        <w:t xml:space="preserve"> shallow aquifer wells, and all detections contained concentrations greater than the MTCA Method A CUL of </w:t>
      </w:r>
      <w:r w:rsidR="00C838ED" w:rsidRPr="001656D5">
        <w:rPr>
          <w:spacing w:val="-2"/>
        </w:rPr>
        <w:t>0.2 µg/L</w:t>
      </w:r>
      <w:r w:rsidR="00451560" w:rsidRPr="001656D5">
        <w:rPr>
          <w:spacing w:val="-2"/>
        </w:rPr>
        <w:t xml:space="preserve"> during the </w:t>
      </w:r>
      <w:r w:rsidR="005C7FF0" w:rsidRPr="001656D5">
        <w:rPr>
          <w:spacing w:val="-2"/>
        </w:rPr>
        <w:t>f</w:t>
      </w:r>
      <w:r w:rsidR="002C6110" w:rsidRPr="001656D5">
        <w:rPr>
          <w:spacing w:val="-2"/>
        </w:rPr>
        <w:t>all</w:t>
      </w:r>
      <w:r w:rsidR="00451560" w:rsidRPr="001656D5">
        <w:rPr>
          <w:spacing w:val="-2"/>
        </w:rPr>
        <w:t xml:space="preserve"> sampling event. </w:t>
      </w:r>
      <w:r w:rsidRPr="001656D5">
        <w:rPr>
          <w:spacing w:val="-2"/>
        </w:rPr>
        <w:t>VC</w:t>
      </w:r>
      <w:r w:rsidR="00451560" w:rsidRPr="001656D5">
        <w:rPr>
          <w:spacing w:val="-2"/>
        </w:rPr>
        <w:t xml:space="preserve"> concentrations ranged from less than the </w:t>
      </w:r>
      <w:r w:rsidR="00F34664" w:rsidRPr="001656D5">
        <w:rPr>
          <w:spacing w:val="-2"/>
        </w:rPr>
        <w:t>PQL</w:t>
      </w:r>
      <w:r w:rsidR="00451560" w:rsidRPr="001656D5">
        <w:rPr>
          <w:spacing w:val="-2"/>
        </w:rPr>
        <w:t xml:space="preserve"> to </w:t>
      </w:r>
      <w:r w:rsidR="00216D6A" w:rsidRPr="001656D5">
        <w:rPr>
          <w:spacing w:val="-2"/>
        </w:rPr>
        <w:t>97</w:t>
      </w:r>
      <w:r w:rsidR="00451560" w:rsidRPr="001656D5">
        <w:rPr>
          <w:spacing w:val="-2"/>
        </w:rPr>
        <w:t xml:space="preserve"> µg/L at MW-40.</w:t>
      </w:r>
      <w:r w:rsidR="009C2BE5" w:rsidRPr="001656D5">
        <w:rPr>
          <w:spacing w:val="-2"/>
        </w:rPr>
        <w:t xml:space="preserve"> Figure 1</w:t>
      </w:r>
      <w:r w:rsidR="00E46803" w:rsidRPr="001656D5">
        <w:rPr>
          <w:spacing w:val="-2"/>
        </w:rPr>
        <w:t>5</w:t>
      </w:r>
      <w:r w:rsidR="009C2BE5" w:rsidRPr="001656D5">
        <w:rPr>
          <w:spacing w:val="-2"/>
        </w:rPr>
        <w:t xml:space="preserve">a shows </w:t>
      </w:r>
      <w:r w:rsidRPr="001656D5">
        <w:rPr>
          <w:spacing w:val="-2"/>
        </w:rPr>
        <w:t>VC</w:t>
      </w:r>
      <w:r w:rsidR="009C2BE5" w:rsidRPr="001656D5">
        <w:rPr>
          <w:spacing w:val="-2"/>
        </w:rPr>
        <w:t xml:space="preserve"> isocontours and concentrations within the shallow zone. The area with the greatest concentration beneath the building is centered around MW-4R</w:t>
      </w:r>
      <w:r w:rsidR="00BB556B" w:rsidRPr="001656D5">
        <w:rPr>
          <w:spacing w:val="-2"/>
        </w:rPr>
        <w:t>,</w:t>
      </w:r>
      <w:r w:rsidR="009C2BE5" w:rsidRPr="001656D5">
        <w:rPr>
          <w:spacing w:val="-2"/>
        </w:rPr>
        <w:t xml:space="preserve"> with a concentration of </w:t>
      </w:r>
      <w:r w:rsidR="008110DF" w:rsidRPr="001656D5">
        <w:rPr>
          <w:spacing w:val="-2"/>
        </w:rPr>
        <w:t>42</w:t>
      </w:r>
      <w:r w:rsidR="009C2BE5" w:rsidRPr="001656D5">
        <w:rPr>
          <w:spacing w:val="-2"/>
        </w:rPr>
        <w:t xml:space="preserve"> µg/L</w:t>
      </w:r>
      <w:r w:rsidR="00BB556B" w:rsidRPr="001656D5">
        <w:rPr>
          <w:spacing w:val="-2"/>
        </w:rPr>
        <w:t>.</w:t>
      </w:r>
      <w:r w:rsidR="009C2BE5" w:rsidRPr="001656D5">
        <w:rPr>
          <w:spacing w:val="-2"/>
        </w:rPr>
        <w:t xml:space="preserve"> </w:t>
      </w:r>
      <w:r w:rsidR="00BB556B" w:rsidRPr="001656D5">
        <w:rPr>
          <w:spacing w:val="-2"/>
        </w:rPr>
        <w:t>T</w:t>
      </w:r>
      <w:r w:rsidR="009C2BE5" w:rsidRPr="001656D5">
        <w:rPr>
          <w:spacing w:val="-2"/>
        </w:rPr>
        <w:t xml:space="preserve">here are </w:t>
      </w:r>
      <w:r w:rsidR="00510E10" w:rsidRPr="001656D5">
        <w:rPr>
          <w:spacing w:val="-2"/>
        </w:rPr>
        <w:t>four</w:t>
      </w:r>
      <w:r w:rsidR="009C2BE5" w:rsidRPr="001656D5">
        <w:rPr>
          <w:spacing w:val="-2"/>
        </w:rPr>
        <w:t xml:space="preserve"> other separate </w:t>
      </w:r>
      <w:r w:rsidR="00C172BD" w:rsidRPr="001656D5">
        <w:rPr>
          <w:spacing w:val="-2"/>
        </w:rPr>
        <w:t>hot spots</w:t>
      </w:r>
      <w:r w:rsidR="009C2BE5" w:rsidRPr="001656D5">
        <w:rPr>
          <w:spacing w:val="-2"/>
        </w:rPr>
        <w:t xml:space="preserve"> with exceedances centered around HZ-MW-34 beneath the northeastern portion of the Site</w:t>
      </w:r>
      <w:r w:rsidR="007F526B" w:rsidRPr="001656D5">
        <w:rPr>
          <w:spacing w:val="-2"/>
        </w:rPr>
        <w:t>,</w:t>
      </w:r>
      <w:r w:rsidR="009C2BE5" w:rsidRPr="001656D5">
        <w:rPr>
          <w:spacing w:val="-2"/>
        </w:rPr>
        <w:t xml:space="preserve"> </w:t>
      </w:r>
      <w:r w:rsidR="00492961" w:rsidRPr="001656D5">
        <w:rPr>
          <w:spacing w:val="-2"/>
        </w:rPr>
        <w:t xml:space="preserve">HZ-MW-1 in the center of the building, </w:t>
      </w:r>
      <w:r w:rsidR="00AB266B" w:rsidRPr="001656D5">
        <w:rPr>
          <w:spacing w:val="-2"/>
        </w:rPr>
        <w:t xml:space="preserve">and </w:t>
      </w:r>
      <w:r w:rsidR="009C2BE5" w:rsidRPr="001656D5">
        <w:rPr>
          <w:spacing w:val="-2"/>
        </w:rPr>
        <w:t>centered around MW-40</w:t>
      </w:r>
      <w:r w:rsidR="007F526B" w:rsidRPr="001656D5">
        <w:rPr>
          <w:spacing w:val="-2"/>
        </w:rPr>
        <w:t xml:space="preserve"> and HZ</w:t>
      </w:r>
      <w:r w:rsidR="00CC7571">
        <w:rPr>
          <w:spacing w:val="-2"/>
        </w:rPr>
        <w:noBreakHyphen/>
      </w:r>
      <w:r w:rsidR="007F526B" w:rsidRPr="001656D5">
        <w:rPr>
          <w:spacing w:val="-2"/>
        </w:rPr>
        <w:t>MW-31</w:t>
      </w:r>
      <w:r w:rsidR="009C2BE5" w:rsidRPr="001656D5">
        <w:rPr>
          <w:spacing w:val="-2"/>
        </w:rPr>
        <w:t xml:space="preserve"> located the on the west side of the Site outside the building along 98</w:t>
      </w:r>
      <w:r w:rsidR="009C2BE5" w:rsidRPr="001656D5">
        <w:rPr>
          <w:spacing w:val="-2"/>
          <w:vertAlign w:val="superscript"/>
        </w:rPr>
        <w:t>th</w:t>
      </w:r>
      <w:r w:rsidR="009C2BE5" w:rsidRPr="001656D5">
        <w:rPr>
          <w:spacing w:val="-2"/>
        </w:rPr>
        <w:t xml:space="preserve"> Ave</w:t>
      </w:r>
      <w:r w:rsidR="00006A11" w:rsidRPr="001656D5">
        <w:rPr>
          <w:spacing w:val="-2"/>
        </w:rPr>
        <w:t>nue</w:t>
      </w:r>
      <w:r w:rsidR="009C2BE5" w:rsidRPr="001656D5">
        <w:rPr>
          <w:spacing w:val="-2"/>
        </w:rPr>
        <w:t xml:space="preserve"> NE.</w:t>
      </w:r>
    </w:p>
    <w:p w14:paraId="1D948E8F" w14:textId="64A4F942" w:rsidR="00451560" w:rsidRPr="00451560" w:rsidRDefault="00451560" w:rsidP="00451560">
      <w:r>
        <w:t xml:space="preserve">Generally, </w:t>
      </w:r>
      <w:r w:rsidR="00316878">
        <w:t>PCE</w:t>
      </w:r>
      <w:r w:rsidR="00F22DC8">
        <w:t>,</w:t>
      </w:r>
      <w:r w:rsidR="00316878">
        <w:t xml:space="preserve"> TCE</w:t>
      </w:r>
      <w:r w:rsidR="00F22DC8">
        <w:t>, and DCE</w:t>
      </w:r>
      <w:r w:rsidR="00316878">
        <w:t xml:space="preserve"> </w:t>
      </w:r>
      <w:r w:rsidRPr="00AD75FE">
        <w:t xml:space="preserve">concentrations </w:t>
      </w:r>
      <w:r w:rsidR="00352753">
        <w:t xml:space="preserve">declined </w:t>
      </w:r>
      <w:r w:rsidR="000C5B22">
        <w:t>within the area of influence of the system</w:t>
      </w:r>
      <w:r w:rsidR="00352753">
        <w:t xml:space="preserve"> </w:t>
      </w:r>
      <w:r w:rsidR="00316878">
        <w:t xml:space="preserve">when compared </w:t>
      </w:r>
      <w:r w:rsidR="00F33EB0">
        <w:t>with</w:t>
      </w:r>
      <w:r w:rsidR="00316878">
        <w:t xml:space="preserve"> the </w:t>
      </w:r>
      <w:r w:rsidR="00006A11">
        <w:t xml:space="preserve">April </w:t>
      </w:r>
      <w:r w:rsidR="00806CCA" w:rsidRPr="00F34664">
        <w:t>2024 sampling</w:t>
      </w:r>
      <w:r w:rsidR="00352753">
        <w:t xml:space="preserve">. However, </w:t>
      </w:r>
      <w:r w:rsidR="00090FDB">
        <w:t xml:space="preserve">observed </w:t>
      </w:r>
      <w:r w:rsidR="00B56A6D">
        <w:t>VC</w:t>
      </w:r>
      <w:r w:rsidR="00352753">
        <w:t xml:space="preserve"> concentrat</w:t>
      </w:r>
      <w:r w:rsidR="00DB78B0">
        <w:t>i</w:t>
      </w:r>
      <w:r w:rsidR="00352753">
        <w:t>on</w:t>
      </w:r>
      <w:r w:rsidR="00DB78B0">
        <w:t>s</w:t>
      </w:r>
      <w:r w:rsidR="00352753">
        <w:t xml:space="preserve"> </w:t>
      </w:r>
      <w:r w:rsidR="00EF541B">
        <w:t xml:space="preserve">within the area of the </w:t>
      </w:r>
      <w:r w:rsidR="00D03E12">
        <w:t xml:space="preserve">bioremediation </w:t>
      </w:r>
      <w:r w:rsidR="00EF541B">
        <w:t xml:space="preserve">system’s influence </w:t>
      </w:r>
      <w:r w:rsidR="00AD75FE">
        <w:t xml:space="preserve">can be attributed </w:t>
      </w:r>
      <w:r w:rsidR="001B035F">
        <w:t xml:space="preserve">to </w:t>
      </w:r>
      <w:r w:rsidR="00477698">
        <w:t xml:space="preserve">breakdown of PCE to </w:t>
      </w:r>
      <w:r w:rsidR="00B56A6D">
        <w:t>VC</w:t>
      </w:r>
      <w:r w:rsidR="003348B8">
        <w:t xml:space="preserve">. This observation indicates that the system optimization changes </w:t>
      </w:r>
      <w:r w:rsidR="00D03E12">
        <w:t xml:space="preserve">that were made </w:t>
      </w:r>
      <w:r w:rsidR="003348B8">
        <w:t xml:space="preserve">are effective in </w:t>
      </w:r>
      <w:r w:rsidR="00B53CEA">
        <w:t xml:space="preserve">helping </w:t>
      </w:r>
      <w:r w:rsidR="00862EE4">
        <w:t xml:space="preserve">with the anaerobic bioremediation and </w:t>
      </w:r>
      <w:r w:rsidR="000617A8">
        <w:t>reductive dechlo</w:t>
      </w:r>
      <w:r w:rsidR="00240376">
        <w:t xml:space="preserve">rination </w:t>
      </w:r>
      <w:r w:rsidR="00B53CEA">
        <w:t xml:space="preserve">process. </w:t>
      </w:r>
      <w:r w:rsidR="00240376">
        <w:t xml:space="preserve">CVOC concentrations increased in </w:t>
      </w:r>
      <w:r w:rsidR="00AD75FE">
        <w:t xml:space="preserve">locations </w:t>
      </w:r>
      <w:r w:rsidR="009F250B">
        <w:t xml:space="preserve">(1) </w:t>
      </w:r>
      <w:r w:rsidR="00E92BB6">
        <w:t>near where injection wells had been turned off</w:t>
      </w:r>
      <w:r w:rsidR="001A384A">
        <w:t xml:space="preserve"> or </w:t>
      </w:r>
      <w:r w:rsidR="009F250B">
        <w:t xml:space="preserve">(2) were </w:t>
      </w:r>
      <w:r w:rsidR="001A384A">
        <w:t>outside the system’s influence</w:t>
      </w:r>
      <w:r w:rsidR="00E06278">
        <w:t>.</w:t>
      </w:r>
      <w:r w:rsidRPr="00AD75FE">
        <w:t xml:space="preserve"> </w:t>
      </w:r>
      <w:r w:rsidR="00E06278">
        <w:t>C</w:t>
      </w:r>
      <w:r w:rsidRPr="00AD75FE">
        <w:t xml:space="preserve">oncentrations at each shallow monitoring well are shown in </w:t>
      </w:r>
      <w:r w:rsidRPr="00F34664">
        <w:t xml:space="preserve">Table </w:t>
      </w:r>
      <w:r w:rsidR="008167EB">
        <w:t>1</w:t>
      </w:r>
      <w:r w:rsidRPr="004453AB">
        <w:t>.</w:t>
      </w:r>
    </w:p>
    <w:p w14:paraId="552C9374" w14:textId="77777777" w:rsidR="0036042F" w:rsidRDefault="0036042F" w:rsidP="0036042F">
      <w:pPr>
        <w:pStyle w:val="Heading4"/>
      </w:pPr>
      <w:r>
        <w:t>Intermediate Aquifer</w:t>
      </w:r>
    </w:p>
    <w:p w14:paraId="088D6343" w14:textId="19E694C1" w:rsidR="00451560" w:rsidRDefault="00451560" w:rsidP="00451560">
      <w:r>
        <w:t xml:space="preserve">PCE was detected in </w:t>
      </w:r>
      <w:r w:rsidR="009F250B">
        <w:t>8</w:t>
      </w:r>
      <w:r>
        <w:t xml:space="preserve"> out of the </w:t>
      </w:r>
      <w:r w:rsidR="009F250B">
        <w:t>12</w:t>
      </w:r>
      <w:r>
        <w:t xml:space="preserve"> intermediate aquifer wells, with </w:t>
      </w:r>
      <w:r w:rsidR="009F250B">
        <w:t>5</w:t>
      </w:r>
      <w:r w:rsidR="00C53692">
        <w:t xml:space="preserve"> </w:t>
      </w:r>
      <w:r>
        <w:t xml:space="preserve">wells containing concentrations greater than the MTCA Method A CUL of </w:t>
      </w:r>
      <w:r w:rsidR="00C838ED">
        <w:t xml:space="preserve">5 </w:t>
      </w:r>
      <w:r w:rsidR="00C838ED" w:rsidRPr="00FE39CA">
        <w:t>µg/L</w:t>
      </w:r>
      <w:r w:rsidR="00C838ED">
        <w:t xml:space="preserve"> </w:t>
      </w:r>
      <w:r>
        <w:t xml:space="preserve">during the </w:t>
      </w:r>
      <w:r w:rsidR="009F250B">
        <w:t>f</w:t>
      </w:r>
      <w:r w:rsidR="002C6110">
        <w:t>all</w:t>
      </w:r>
      <w:r>
        <w:t xml:space="preserve"> sampling event. PCE concentrations ranged from less than the </w:t>
      </w:r>
      <w:r w:rsidR="00CA1883">
        <w:t>PQL</w:t>
      </w:r>
      <w:r>
        <w:t xml:space="preserve"> to 1,</w:t>
      </w:r>
      <w:r w:rsidR="000D4D8A">
        <w:t>1</w:t>
      </w:r>
      <w:r>
        <w:t xml:space="preserve">00 </w:t>
      </w:r>
      <w:r w:rsidRPr="00FE39CA">
        <w:t>µg/L</w:t>
      </w:r>
      <w:r>
        <w:t xml:space="preserve"> at HZ-MW-15D. </w:t>
      </w:r>
      <w:r w:rsidR="009A27EF">
        <w:t xml:space="preserve">Figure </w:t>
      </w:r>
      <w:r w:rsidR="00E46803">
        <w:t>12</w:t>
      </w:r>
      <w:r w:rsidR="009A27EF">
        <w:t xml:space="preserve">b shows the September 2024 PCE isocontours and concentrations within the intermediate aquifer. </w:t>
      </w:r>
      <w:r w:rsidR="009A27EF">
        <w:lastRenderedPageBreak/>
        <w:t>The area with the greatest concentration beneath the building is centered around HZ-MW-15D</w:t>
      </w:r>
      <w:r w:rsidR="00BE5E78">
        <w:t>,</w:t>
      </w:r>
      <w:r w:rsidR="009A27EF">
        <w:t xml:space="preserve"> with a concentration of 1,</w:t>
      </w:r>
      <w:r w:rsidR="003C6D14">
        <w:t>1</w:t>
      </w:r>
      <w:r w:rsidR="009A27EF">
        <w:t xml:space="preserve">00 </w:t>
      </w:r>
      <w:r w:rsidR="009A27EF" w:rsidRPr="00FE39CA">
        <w:t>µg/L</w:t>
      </w:r>
      <w:r w:rsidR="00BE5E78">
        <w:t>,</w:t>
      </w:r>
      <w:r w:rsidR="009A27EF">
        <w:t xml:space="preserve"> </w:t>
      </w:r>
      <w:r w:rsidR="00370100">
        <w:t xml:space="preserve">and an </w:t>
      </w:r>
      <w:r w:rsidR="009A27EF">
        <w:t>area of exceedances around MW-20R on the west side of the Site</w:t>
      </w:r>
      <w:r w:rsidR="00D01C64">
        <w:t>, which is</w:t>
      </w:r>
      <w:r w:rsidR="009A27EF">
        <w:t xml:space="preserve"> inside the building near the location of the treatment shed.</w:t>
      </w:r>
    </w:p>
    <w:p w14:paraId="3325C407" w14:textId="425A44E8" w:rsidR="00451560" w:rsidRDefault="00451560" w:rsidP="00451560">
      <w:r>
        <w:t xml:space="preserve">TCE was detected in </w:t>
      </w:r>
      <w:r w:rsidR="00D01C64">
        <w:t>9</w:t>
      </w:r>
      <w:r>
        <w:t xml:space="preserve"> out of the </w:t>
      </w:r>
      <w:r w:rsidR="00D01C64">
        <w:t>12</w:t>
      </w:r>
      <w:r>
        <w:t xml:space="preserve"> intermediate aquifer wells, with </w:t>
      </w:r>
      <w:r w:rsidR="00D01C64">
        <w:t>3</w:t>
      </w:r>
      <w:r>
        <w:t xml:space="preserve"> wells containing concentrations greater than the MTCA Method A CUL of </w:t>
      </w:r>
      <w:r w:rsidR="00C838ED">
        <w:t xml:space="preserve">5 </w:t>
      </w:r>
      <w:r w:rsidR="00C838ED" w:rsidRPr="00FE39CA">
        <w:t>µg/L</w:t>
      </w:r>
      <w:r w:rsidR="00C838ED">
        <w:t xml:space="preserve"> d</w:t>
      </w:r>
      <w:r>
        <w:t xml:space="preserve">uring the </w:t>
      </w:r>
      <w:r w:rsidR="00D01C64">
        <w:t>f</w:t>
      </w:r>
      <w:r w:rsidR="002C6110">
        <w:t>all</w:t>
      </w:r>
      <w:r>
        <w:t xml:space="preserve"> sampling event. TCE concentrations ranged from less than the </w:t>
      </w:r>
      <w:r w:rsidR="00CA1883">
        <w:t>PQL</w:t>
      </w:r>
      <w:r>
        <w:t xml:space="preserve"> to </w:t>
      </w:r>
      <w:r w:rsidR="00114290">
        <w:t>45</w:t>
      </w:r>
      <w:r>
        <w:t xml:space="preserve">0 </w:t>
      </w:r>
      <w:r w:rsidRPr="00FE39CA">
        <w:t>µg/L</w:t>
      </w:r>
      <w:r>
        <w:t xml:space="preserve"> at HZ-MW-15D.</w:t>
      </w:r>
      <w:r w:rsidR="003C6D14">
        <w:t xml:space="preserve"> Figure </w:t>
      </w:r>
      <w:r w:rsidR="00591E7D">
        <w:t>1</w:t>
      </w:r>
      <w:r w:rsidR="00E46803">
        <w:t>3</w:t>
      </w:r>
      <w:r w:rsidR="003C6D14">
        <w:t>b shows TCE isocontours and concentrations within the intermediate zone</w:t>
      </w:r>
      <w:r w:rsidR="006C6630">
        <w:t>,</w:t>
      </w:r>
      <w:r w:rsidR="003C6D14">
        <w:t xml:space="preserve"> with an area of exceedance beneath the building between HZ-MW-15D and MW-20R.</w:t>
      </w:r>
    </w:p>
    <w:p w14:paraId="4ADE0D58" w14:textId="26BEB82B" w:rsidR="00451560" w:rsidRDefault="00451560" w:rsidP="00451560">
      <w:r>
        <w:t xml:space="preserve">DCE was detected in </w:t>
      </w:r>
      <w:r w:rsidR="00DD77BD">
        <w:t>10</w:t>
      </w:r>
      <w:r>
        <w:t xml:space="preserve"> out of the </w:t>
      </w:r>
      <w:r w:rsidR="00DD77BD">
        <w:t>12</w:t>
      </w:r>
      <w:r>
        <w:t xml:space="preserve"> intermediate aquifer wells, with f</w:t>
      </w:r>
      <w:r w:rsidR="00230C0F">
        <w:t>ive</w:t>
      </w:r>
      <w:r>
        <w:t xml:space="preserve"> wells containing concentrations greater than the MTCA CUL of </w:t>
      </w:r>
      <w:r w:rsidR="00C838ED">
        <w:t xml:space="preserve">16 </w:t>
      </w:r>
      <w:r w:rsidR="00C838ED" w:rsidRPr="00FE39CA">
        <w:t>µg/L</w:t>
      </w:r>
      <w:r>
        <w:t xml:space="preserve"> during the </w:t>
      </w:r>
      <w:r w:rsidR="004521A6">
        <w:t>f</w:t>
      </w:r>
      <w:r w:rsidR="008769CF">
        <w:t>all</w:t>
      </w:r>
      <w:r>
        <w:t xml:space="preserve"> sampling event. DCE concentrations ranged from less than the </w:t>
      </w:r>
      <w:r w:rsidR="00CA1883">
        <w:t>PQL</w:t>
      </w:r>
      <w:r>
        <w:t xml:space="preserve"> to </w:t>
      </w:r>
      <w:r w:rsidR="00230C0F">
        <w:t>52</w:t>
      </w:r>
      <w:r>
        <w:t xml:space="preserve">0 </w:t>
      </w:r>
      <w:r w:rsidRPr="00FE39CA">
        <w:t>µg/L</w:t>
      </w:r>
      <w:r>
        <w:t xml:space="preserve"> at MW-1</w:t>
      </w:r>
      <w:r w:rsidR="00230C0F">
        <w:t>2</w:t>
      </w:r>
      <w:r>
        <w:t>.</w:t>
      </w:r>
      <w:r w:rsidR="00591E7D">
        <w:t xml:space="preserve"> Figure 1</w:t>
      </w:r>
      <w:r w:rsidR="00E46803">
        <w:t>4</w:t>
      </w:r>
      <w:r w:rsidR="00591E7D">
        <w:t>b shows DCE isocontours and concentrations within the intermediate zone. The area with the greatest concentration beneath the building is centered around MW-1</w:t>
      </w:r>
      <w:r w:rsidR="00F96780">
        <w:t>2</w:t>
      </w:r>
      <w:r w:rsidR="004521A6">
        <w:t>,</w:t>
      </w:r>
      <w:r w:rsidR="00591E7D">
        <w:t xml:space="preserve"> with a separate</w:t>
      </w:r>
      <w:r w:rsidR="00307E45">
        <w:t>, smaller</w:t>
      </w:r>
      <w:r w:rsidR="00591E7D">
        <w:t xml:space="preserve"> plume centered around HZ-MW-29 on the northeastern portion of the Site inside the building.</w:t>
      </w:r>
    </w:p>
    <w:p w14:paraId="43B2C9C7" w14:textId="01CDC1D2" w:rsidR="00451560" w:rsidRDefault="00B56A6D" w:rsidP="00451560">
      <w:r>
        <w:t>VC</w:t>
      </w:r>
      <w:r w:rsidR="00451560">
        <w:t xml:space="preserve"> was detected in </w:t>
      </w:r>
      <w:r w:rsidR="001D2641">
        <w:t>8</w:t>
      </w:r>
      <w:r w:rsidR="00451560">
        <w:t xml:space="preserve"> out of the </w:t>
      </w:r>
      <w:r w:rsidR="001D2641">
        <w:t>12</w:t>
      </w:r>
      <w:r w:rsidR="00451560">
        <w:t xml:space="preserve"> intermediate aquifer wells, </w:t>
      </w:r>
      <w:r w:rsidR="00FC0C80">
        <w:t>with</w:t>
      </w:r>
      <w:r w:rsidR="00CF4F59">
        <w:t xml:space="preserve"> </w:t>
      </w:r>
      <w:r w:rsidR="00677668">
        <w:t>all detections</w:t>
      </w:r>
      <w:r w:rsidR="00451560">
        <w:t xml:space="preserve"> contain</w:t>
      </w:r>
      <w:r w:rsidR="00CF4F59">
        <w:t>ing</w:t>
      </w:r>
      <w:r w:rsidR="00451560">
        <w:t xml:space="preserve"> concentrations greater than the MTCA Method A CUL of </w:t>
      </w:r>
      <w:r w:rsidR="00C838ED">
        <w:t xml:space="preserve">0.2 </w:t>
      </w:r>
      <w:r w:rsidR="00C838ED" w:rsidRPr="00FE39CA">
        <w:t>µg/L</w:t>
      </w:r>
      <w:r w:rsidR="00451560">
        <w:t xml:space="preserve"> during the </w:t>
      </w:r>
      <w:r w:rsidR="001D2641">
        <w:t>f</w:t>
      </w:r>
      <w:r w:rsidR="008769CF">
        <w:t>all</w:t>
      </w:r>
      <w:r w:rsidR="00451560">
        <w:t xml:space="preserve"> sampling event. </w:t>
      </w:r>
      <w:r>
        <w:t>VC</w:t>
      </w:r>
      <w:r w:rsidR="00451560">
        <w:t xml:space="preserve"> concentrations ranged from less than the </w:t>
      </w:r>
      <w:r w:rsidR="00CA1883">
        <w:t>PQL</w:t>
      </w:r>
      <w:r w:rsidR="00451560">
        <w:t xml:space="preserve"> to </w:t>
      </w:r>
      <w:r w:rsidR="00CF4F59">
        <w:t>90</w:t>
      </w:r>
      <w:r w:rsidR="00451560">
        <w:t xml:space="preserve"> </w:t>
      </w:r>
      <w:r w:rsidR="00451560" w:rsidRPr="00FE39CA">
        <w:t>µg/L</w:t>
      </w:r>
      <w:r w:rsidR="00451560">
        <w:t xml:space="preserve"> at MW-</w:t>
      </w:r>
      <w:r w:rsidR="00CF4F59">
        <w:t>1</w:t>
      </w:r>
      <w:r w:rsidR="00451560">
        <w:t>2.</w:t>
      </w:r>
      <w:r w:rsidR="00DB502A">
        <w:t xml:space="preserve"> Figure 1</w:t>
      </w:r>
      <w:r w:rsidR="00E46803">
        <w:t>5</w:t>
      </w:r>
      <w:r w:rsidR="00DB502A">
        <w:t xml:space="preserve">b shows </w:t>
      </w:r>
      <w:r>
        <w:t>VC</w:t>
      </w:r>
      <w:r w:rsidR="00DB502A">
        <w:t xml:space="preserve"> isocontours and concentrations within the intermediate zone. The area with the greatest concentration beneath the building is centered around MW-20R </w:t>
      </w:r>
      <w:r w:rsidR="00964D76">
        <w:t>and MW-12</w:t>
      </w:r>
      <w:r w:rsidR="00DB502A">
        <w:t xml:space="preserve">, and there is one other </w:t>
      </w:r>
      <w:r w:rsidR="00010A6F">
        <w:t>hot spot</w:t>
      </w:r>
      <w:r w:rsidR="00DB502A">
        <w:t xml:space="preserve"> with exceedances centered around HZ-MW-29 beneath the northeastern portion of the Site.</w:t>
      </w:r>
    </w:p>
    <w:p w14:paraId="15CD85A9" w14:textId="2498253B" w:rsidR="00451560" w:rsidRPr="001656D5" w:rsidRDefault="00451560" w:rsidP="00451560">
      <w:pPr>
        <w:rPr>
          <w:spacing w:val="-2"/>
        </w:rPr>
      </w:pPr>
      <w:r w:rsidRPr="001656D5">
        <w:rPr>
          <w:spacing w:val="-2"/>
        </w:rPr>
        <w:t xml:space="preserve">Generally, </w:t>
      </w:r>
      <w:r w:rsidR="00A75A37" w:rsidRPr="001656D5">
        <w:rPr>
          <w:spacing w:val="-2"/>
        </w:rPr>
        <w:t>C</w:t>
      </w:r>
      <w:r w:rsidRPr="001656D5">
        <w:rPr>
          <w:spacing w:val="-2"/>
        </w:rPr>
        <w:t>VOC concentrations remained consistent with previous analytical results</w:t>
      </w:r>
      <w:r w:rsidR="00967915" w:rsidRPr="001656D5">
        <w:rPr>
          <w:spacing w:val="-2"/>
        </w:rPr>
        <w:t>; however</w:t>
      </w:r>
      <w:r w:rsidRPr="001656D5">
        <w:rPr>
          <w:spacing w:val="-2"/>
        </w:rPr>
        <w:t>,</w:t>
      </w:r>
      <w:r w:rsidR="00967915" w:rsidRPr="001656D5">
        <w:rPr>
          <w:spacing w:val="-2"/>
        </w:rPr>
        <w:t xml:space="preserve"> </w:t>
      </w:r>
      <w:r w:rsidR="00B56A6D" w:rsidRPr="001656D5">
        <w:rPr>
          <w:spacing w:val="-2"/>
        </w:rPr>
        <w:t>VC</w:t>
      </w:r>
      <w:r w:rsidR="00967915" w:rsidRPr="001656D5">
        <w:rPr>
          <w:spacing w:val="-2"/>
        </w:rPr>
        <w:t xml:space="preserve"> concentrations in MW-12 have increased when compare</w:t>
      </w:r>
      <w:r w:rsidR="00732E5A" w:rsidRPr="001656D5">
        <w:rPr>
          <w:spacing w:val="-2"/>
        </w:rPr>
        <w:t>d</w:t>
      </w:r>
      <w:r w:rsidR="00967915" w:rsidRPr="001656D5">
        <w:rPr>
          <w:spacing w:val="-2"/>
        </w:rPr>
        <w:t xml:space="preserve"> </w:t>
      </w:r>
      <w:r w:rsidR="00E0688D" w:rsidRPr="001656D5">
        <w:rPr>
          <w:spacing w:val="-2"/>
        </w:rPr>
        <w:t>with</w:t>
      </w:r>
      <w:r w:rsidR="00967915" w:rsidRPr="001656D5">
        <w:rPr>
          <w:spacing w:val="-2"/>
        </w:rPr>
        <w:t xml:space="preserve"> </w:t>
      </w:r>
      <w:r w:rsidR="00962A71" w:rsidRPr="001656D5">
        <w:rPr>
          <w:spacing w:val="-2"/>
        </w:rPr>
        <w:t xml:space="preserve">the April 2024 results. </w:t>
      </w:r>
      <w:r w:rsidR="00B8503D" w:rsidRPr="001656D5">
        <w:rPr>
          <w:spacing w:val="-2"/>
        </w:rPr>
        <w:t xml:space="preserve">MW-12 </w:t>
      </w:r>
      <w:r w:rsidR="00441E28" w:rsidRPr="001656D5">
        <w:rPr>
          <w:spacing w:val="-2"/>
        </w:rPr>
        <w:t>is located near injection well 11i</w:t>
      </w:r>
      <w:r w:rsidR="00D23A3B" w:rsidRPr="001656D5">
        <w:rPr>
          <w:spacing w:val="-2"/>
        </w:rPr>
        <w:t xml:space="preserve">, and the increase in </w:t>
      </w:r>
      <w:r w:rsidR="00B56A6D" w:rsidRPr="001656D5">
        <w:rPr>
          <w:spacing w:val="-2"/>
        </w:rPr>
        <w:t>VC</w:t>
      </w:r>
      <w:r w:rsidR="00B8503D" w:rsidRPr="001656D5">
        <w:rPr>
          <w:spacing w:val="-2"/>
        </w:rPr>
        <w:t xml:space="preserve"> concentrations </w:t>
      </w:r>
      <w:r w:rsidR="00D23A3B" w:rsidRPr="001656D5">
        <w:rPr>
          <w:spacing w:val="-2"/>
        </w:rPr>
        <w:t xml:space="preserve">indicate that </w:t>
      </w:r>
      <w:r w:rsidR="00E0688D" w:rsidRPr="001656D5">
        <w:rPr>
          <w:spacing w:val="-2"/>
        </w:rPr>
        <w:t xml:space="preserve">(1) </w:t>
      </w:r>
      <w:r w:rsidR="00D23A3B" w:rsidRPr="001656D5">
        <w:rPr>
          <w:spacing w:val="-2"/>
        </w:rPr>
        <w:t xml:space="preserve">MW-12 is within the radius </w:t>
      </w:r>
      <w:r w:rsidR="00B8503D" w:rsidRPr="001656D5">
        <w:rPr>
          <w:spacing w:val="-2"/>
        </w:rPr>
        <w:t>of the bioremediation system’s influence</w:t>
      </w:r>
      <w:r w:rsidR="00D23A3B" w:rsidRPr="001656D5">
        <w:rPr>
          <w:spacing w:val="-2"/>
        </w:rPr>
        <w:t xml:space="preserve"> and</w:t>
      </w:r>
      <w:r w:rsidR="00B8503D" w:rsidRPr="001656D5">
        <w:rPr>
          <w:spacing w:val="-2"/>
        </w:rPr>
        <w:t xml:space="preserve"> </w:t>
      </w:r>
      <w:r w:rsidR="00E0688D" w:rsidRPr="001656D5">
        <w:rPr>
          <w:spacing w:val="-2"/>
        </w:rPr>
        <w:t xml:space="preserve">(2) </w:t>
      </w:r>
      <w:r w:rsidR="00B8503D" w:rsidRPr="001656D5">
        <w:rPr>
          <w:spacing w:val="-2"/>
        </w:rPr>
        <w:t xml:space="preserve">can be attributed </w:t>
      </w:r>
      <w:r w:rsidR="00E0688D" w:rsidRPr="001656D5">
        <w:rPr>
          <w:spacing w:val="-2"/>
        </w:rPr>
        <w:t xml:space="preserve">to </w:t>
      </w:r>
      <w:r w:rsidR="00B8503D" w:rsidRPr="001656D5">
        <w:rPr>
          <w:spacing w:val="-2"/>
        </w:rPr>
        <w:t xml:space="preserve">breakdown of PCE to </w:t>
      </w:r>
      <w:r w:rsidR="00B56A6D" w:rsidRPr="001656D5">
        <w:rPr>
          <w:spacing w:val="-2"/>
        </w:rPr>
        <w:t>VC</w:t>
      </w:r>
      <w:r w:rsidR="00B8503D" w:rsidRPr="001656D5">
        <w:rPr>
          <w:spacing w:val="-2"/>
        </w:rPr>
        <w:t xml:space="preserve">. </w:t>
      </w:r>
      <w:r w:rsidR="00D23A3B" w:rsidRPr="001656D5">
        <w:rPr>
          <w:spacing w:val="-2"/>
        </w:rPr>
        <w:t>CVOC c</w:t>
      </w:r>
      <w:r w:rsidRPr="001656D5">
        <w:rPr>
          <w:spacing w:val="-2"/>
        </w:rPr>
        <w:t>oncentrations at each intermediate monitoring well are shown in Table 2.</w:t>
      </w:r>
    </w:p>
    <w:p w14:paraId="2232B7D0" w14:textId="68DAB8D1" w:rsidR="0036042F" w:rsidRDefault="0036042F" w:rsidP="0036042F">
      <w:pPr>
        <w:pStyle w:val="Heading4"/>
      </w:pPr>
      <w:r>
        <w:t>Deep Aquifer</w:t>
      </w:r>
    </w:p>
    <w:p w14:paraId="4FB1ACD6" w14:textId="5BE873CC" w:rsidR="00451560" w:rsidRDefault="00451560" w:rsidP="00451560">
      <w:r>
        <w:t xml:space="preserve">PCE was detected in two out of the three deep aquifer wells, with one containing </w:t>
      </w:r>
      <w:r w:rsidR="009E353F">
        <w:t xml:space="preserve">a </w:t>
      </w:r>
      <w:r>
        <w:t xml:space="preserve">concentration greater than the MTCA Method A CUL of </w:t>
      </w:r>
      <w:r w:rsidR="00C838ED">
        <w:t xml:space="preserve">5 </w:t>
      </w:r>
      <w:r w:rsidR="00C838ED" w:rsidRPr="00FE39CA">
        <w:t>µg/L</w:t>
      </w:r>
      <w:r w:rsidR="00C838ED">
        <w:t xml:space="preserve"> </w:t>
      </w:r>
      <w:r>
        <w:t xml:space="preserve">during the </w:t>
      </w:r>
      <w:r w:rsidR="00D270EB">
        <w:t>f</w:t>
      </w:r>
      <w:r w:rsidR="005908EF">
        <w:t>all</w:t>
      </w:r>
      <w:r>
        <w:t xml:space="preserve"> sampling event. PCE concentrations ranged from less than the </w:t>
      </w:r>
      <w:r w:rsidR="007E2098">
        <w:t>PQL</w:t>
      </w:r>
      <w:r>
        <w:t xml:space="preserve"> to 2</w:t>
      </w:r>
      <w:r w:rsidR="00DB3212">
        <w:t>0</w:t>
      </w:r>
      <w:r>
        <w:t xml:space="preserve">0 </w:t>
      </w:r>
      <w:r w:rsidRPr="00FE39CA">
        <w:t>µg/L</w:t>
      </w:r>
      <w:r>
        <w:t xml:space="preserve"> at MW-39. </w:t>
      </w:r>
      <w:r w:rsidR="00AD199A">
        <w:t xml:space="preserve">Figure </w:t>
      </w:r>
      <w:r w:rsidR="00E46803">
        <w:t>12</w:t>
      </w:r>
      <w:r w:rsidR="00AD199A">
        <w:t>c shows the September 2024 PCE isocontours and concentrations within the deep aquifer. The well with the greatest concentration outside of the building within 98</w:t>
      </w:r>
      <w:r w:rsidR="00AD199A" w:rsidRPr="007F62A2">
        <w:rPr>
          <w:vertAlign w:val="superscript"/>
        </w:rPr>
        <w:t>th</w:t>
      </w:r>
      <w:r w:rsidR="00AD199A">
        <w:t xml:space="preserve"> Ave</w:t>
      </w:r>
      <w:r w:rsidR="00D270EB">
        <w:t>nue</w:t>
      </w:r>
      <w:r w:rsidR="00357A59">
        <w:t xml:space="preserve"> is MW-39</w:t>
      </w:r>
      <w:r w:rsidR="00AD199A">
        <w:t>.</w:t>
      </w:r>
    </w:p>
    <w:p w14:paraId="6D9EB124" w14:textId="77777777" w:rsidR="0073352B" w:rsidRDefault="00451560" w:rsidP="00451560">
      <w:r>
        <w:t xml:space="preserve">TCE was detected in two out of the three deep aquifer wells, with one containing </w:t>
      </w:r>
      <w:r w:rsidR="00754A71">
        <w:t xml:space="preserve">a </w:t>
      </w:r>
      <w:r>
        <w:t xml:space="preserve">concentration greater than the MTCA Method A CUL of </w:t>
      </w:r>
      <w:r w:rsidR="00C838ED">
        <w:t xml:space="preserve">5 </w:t>
      </w:r>
      <w:r w:rsidR="00C838ED" w:rsidRPr="00FE39CA">
        <w:t>µg/L</w:t>
      </w:r>
      <w:r w:rsidR="00C838ED">
        <w:t xml:space="preserve"> </w:t>
      </w:r>
      <w:r>
        <w:t xml:space="preserve">during the </w:t>
      </w:r>
      <w:r w:rsidR="00D270EB">
        <w:t>f</w:t>
      </w:r>
      <w:r w:rsidR="005908EF">
        <w:t>all</w:t>
      </w:r>
      <w:r>
        <w:t xml:space="preserve"> sampling event. TCE concentrations ranged from less than the </w:t>
      </w:r>
      <w:r w:rsidR="00860C64">
        <w:t>PQL</w:t>
      </w:r>
      <w:r>
        <w:t xml:space="preserve"> to 5</w:t>
      </w:r>
      <w:r w:rsidR="00DB3212">
        <w:t>3</w:t>
      </w:r>
      <w:r>
        <w:t xml:space="preserve"> </w:t>
      </w:r>
      <w:r w:rsidRPr="00FE39CA">
        <w:t>µg/L</w:t>
      </w:r>
      <w:r>
        <w:t xml:space="preserve"> at MW-39.</w:t>
      </w:r>
      <w:r w:rsidR="00357A59">
        <w:t xml:space="preserve"> Figure </w:t>
      </w:r>
      <w:r w:rsidR="005E5426">
        <w:t>1</w:t>
      </w:r>
      <w:r w:rsidR="00E46803">
        <w:t>3</w:t>
      </w:r>
      <w:r w:rsidR="00357A59">
        <w:t>c shows TCE isocontours and concentrations within the deep zone with the only exceedance outside the building within 98</w:t>
      </w:r>
      <w:r w:rsidR="00357A59" w:rsidRPr="007F62A2">
        <w:rPr>
          <w:vertAlign w:val="superscript"/>
        </w:rPr>
        <w:t>th</w:t>
      </w:r>
      <w:r w:rsidR="00357A59">
        <w:t xml:space="preserve"> Ave</w:t>
      </w:r>
      <w:r w:rsidR="00D270EB">
        <w:t>nue</w:t>
      </w:r>
      <w:r w:rsidR="00357A59">
        <w:t>.</w:t>
      </w:r>
      <w:r w:rsidR="0073352B">
        <w:t xml:space="preserve"> </w:t>
      </w:r>
    </w:p>
    <w:p w14:paraId="38F21241" w14:textId="56245A23" w:rsidR="00451560" w:rsidRDefault="00451560" w:rsidP="00451560">
      <w:r>
        <w:lastRenderedPageBreak/>
        <w:t xml:space="preserve">DCE was detected in one out of the three deep aquifer wells, MW-34, but it did not exceed </w:t>
      </w:r>
      <w:r w:rsidR="0015700D">
        <w:t xml:space="preserve">the </w:t>
      </w:r>
      <w:r>
        <w:t xml:space="preserve">MTCA CUL of </w:t>
      </w:r>
      <w:r w:rsidR="00C838ED">
        <w:t xml:space="preserve">16 </w:t>
      </w:r>
      <w:r w:rsidR="00C838ED" w:rsidRPr="00FE39CA">
        <w:t>µg/L</w:t>
      </w:r>
      <w:r>
        <w:t xml:space="preserve"> during the </w:t>
      </w:r>
      <w:r w:rsidR="00534ADF">
        <w:t>f</w:t>
      </w:r>
      <w:r w:rsidR="005908EF">
        <w:t>all</w:t>
      </w:r>
      <w:r>
        <w:t xml:space="preserve"> sampling event.</w:t>
      </w:r>
      <w:r w:rsidR="005E5426">
        <w:t xml:space="preserve"> Figure 1</w:t>
      </w:r>
      <w:r w:rsidR="00E46803">
        <w:t>4</w:t>
      </w:r>
      <w:r w:rsidR="005E5426">
        <w:t>c shows DCE isocontours and concentrations within the deep zone.</w:t>
      </w:r>
    </w:p>
    <w:p w14:paraId="39B32640" w14:textId="0D705266" w:rsidR="00451560" w:rsidRDefault="00B56A6D" w:rsidP="00451560">
      <w:r>
        <w:t>VC</w:t>
      </w:r>
      <w:r w:rsidR="00451560">
        <w:t xml:space="preserve"> was detected in one out of the three deep aquifer wells and contained </w:t>
      </w:r>
      <w:r w:rsidR="00AB489E">
        <w:t xml:space="preserve">a </w:t>
      </w:r>
      <w:r w:rsidR="00451560">
        <w:t xml:space="preserve">concentration greater than the MTCA Method A CUL of </w:t>
      </w:r>
      <w:r w:rsidR="00C838ED">
        <w:t xml:space="preserve">0.2 </w:t>
      </w:r>
      <w:r w:rsidR="00C838ED" w:rsidRPr="00FE39CA">
        <w:t>µg/L</w:t>
      </w:r>
      <w:r w:rsidR="00451560">
        <w:t xml:space="preserve"> during the </w:t>
      </w:r>
      <w:r w:rsidR="00F15EB7">
        <w:t>f</w:t>
      </w:r>
      <w:r w:rsidR="005908EF">
        <w:t>all</w:t>
      </w:r>
      <w:r w:rsidR="00451560">
        <w:t xml:space="preserve"> sampling event. In the monitoring well samples, </w:t>
      </w:r>
      <w:r>
        <w:t>VC</w:t>
      </w:r>
      <w:r w:rsidR="00451560">
        <w:t xml:space="preserve"> concentrations ranged from less than the </w:t>
      </w:r>
      <w:r w:rsidR="00860C64">
        <w:t>PQL</w:t>
      </w:r>
      <w:r w:rsidR="00451560">
        <w:t xml:space="preserve"> to 0.</w:t>
      </w:r>
      <w:r w:rsidR="004C5337">
        <w:t>3</w:t>
      </w:r>
      <w:r w:rsidR="00451560">
        <w:t xml:space="preserve">7 </w:t>
      </w:r>
      <w:r w:rsidR="00451560" w:rsidRPr="00FE39CA">
        <w:t>µg/L</w:t>
      </w:r>
      <w:r w:rsidR="00451560">
        <w:t xml:space="preserve"> at MW-34.</w:t>
      </w:r>
      <w:r w:rsidR="00971D64">
        <w:t xml:space="preserve"> Figure 1</w:t>
      </w:r>
      <w:r w:rsidR="00E46803">
        <w:t>5</w:t>
      </w:r>
      <w:r w:rsidR="00971D64">
        <w:t xml:space="preserve">c shows </w:t>
      </w:r>
      <w:r>
        <w:t>VC</w:t>
      </w:r>
      <w:r w:rsidR="00971D64">
        <w:t xml:space="preserve"> isocontours and concentrations within the deep zone. The only well with an exceedance is under the building at MW-34, near the area where the treatment shed is located.</w:t>
      </w:r>
    </w:p>
    <w:p w14:paraId="77D4953D" w14:textId="22B77F2A" w:rsidR="000F6644" w:rsidRPr="00451560" w:rsidRDefault="000F6644" w:rsidP="000F6644">
      <w:r>
        <w:t xml:space="preserve">Generally, CVOC </w:t>
      </w:r>
      <w:r w:rsidRPr="00AD75FE">
        <w:t>concentrations</w:t>
      </w:r>
      <w:r w:rsidR="00FD048D">
        <w:t xml:space="preserve"> detected during the September 2024 event</w:t>
      </w:r>
      <w:r w:rsidRPr="00AD75FE">
        <w:t xml:space="preserve"> </w:t>
      </w:r>
      <w:r w:rsidR="00FD048D">
        <w:t xml:space="preserve">have slightly </w:t>
      </w:r>
      <w:r w:rsidRPr="007F62A2">
        <w:t>decreased</w:t>
      </w:r>
      <w:r w:rsidR="00AB489E">
        <w:t xml:space="preserve"> when compared </w:t>
      </w:r>
      <w:r w:rsidR="00D4253E">
        <w:t>with</w:t>
      </w:r>
      <w:r w:rsidR="00AB489E">
        <w:t xml:space="preserve"> </w:t>
      </w:r>
      <w:r w:rsidRPr="007F62A2">
        <w:t xml:space="preserve">the </w:t>
      </w:r>
      <w:r w:rsidR="00FD048D">
        <w:t xml:space="preserve">previous </w:t>
      </w:r>
      <w:r w:rsidRPr="007F62A2">
        <w:t>sampling</w:t>
      </w:r>
      <w:r w:rsidR="00AB489E">
        <w:t xml:space="preserve"> results</w:t>
      </w:r>
      <w:r>
        <w:t>.</w:t>
      </w:r>
      <w:r w:rsidRPr="00AD75FE">
        <w:t xml:space="preserve"> </w:t>
      </w:r>
      <w:r>
        <w:t>C</w:t>
      </w:r>
      <w:r w:rsidRPr="00AD75FE">
        <w:t xml:space="preserve">oncentrations at each </w:t>
      </w:r>
      <w:r w:rsidR="009C6DC4">
        <w:t>deep</w:t>
      </w:r>
      <w:r w:rsidRPr="00AD75FE">
        <w:t xml:space="preserve"> monitoring well are shown in </w:t>
      </w:r>
      <w:r w:rsidRPr="007F62A2">
        <w:t xml:space="preserve">Table </w:t>
      </w:r>
      <w:r w:rsidR="009850E6">
        <w:t>3</w:t>
      </w:r>
      <w:r w:rsidRPr="007F62A2">
        <w:t>.</w:t>
      </w:r>
    </w:p>
    <w:p w14:paraId="19C0C7B5" w14:textId="008B049C" w:rsidR="003B17F2" w:rsidRDefault="0011159A" w:rsidP="0011159A">
      <w:pPr>
        <w:pStyle w:val="Heading4"/>
      </w:pPr>
      <w:r>
        <w:t xml:space="preserve">Microbial </w:t>
      </w:r>
      <w:r w:rsidR="00502DBA">
        <w:t>D</w:t>
      </w:r>
      <w:r w:rsidR="00502DBA" w:rsidRPr="008E529E">
        <w:t xml:space="preserve">eoxyribonucleic </w:t>
      </w:r>
      <w:r w:rsidR="00502DBA">
        <w:t>A</w:t>
      </w:r>
      <w:r w:rsidR="00502DBA" w:rsidRPr="008E529E">
        <w:t>cid</w:t>
      </w:r>
      <w:r w:rsidR="00502DBA" w:rsidDel="00502DBA">
        <w:t xml:space="preserve"> </w:t>
      </w:r>
      <w:r>
        <w:t>Analys</w:t>
      </w:r>
      <w:r w:rsidR="00332F53">
        <w:t>es</w:t>
      </w:r>
    </w:p>
    <w:p w14:paraId="379B92E1" w14:textId="62558E9F" w:rsidR="0011159A" w:rsidRDefault="00D77587" w:rsidP="0011159A">
      <w:r>
        <w:t xml:space="preserve">Conducted on an annual basis, </w:t>
      </w:r>
      <w:r w:rsidR="00DF565E">
        <w:t xml:space="preserve">microbial </w:t>
      </w:r>
      <w:r w:rsidR="00502DBA">
        <w:t>d</w:t>
      </w:r>
      <w:r w:rsidR="00502DBA" w:rsidRPr="008E529E">
        <w:t>eoxyribonucleic acid</w:t>
      </w:r>
      <w:r w:rsidR="00502DBA">
        <w:t xml:space="preserve"> (</w:t>
      </w:r>
      <w:r w:rsidR="00DF565E">
        <w:t>DNA</w:t>
      </w:r>
      <w:r w:rsidR="00502DBA">
        <w:t>)</w:t>
      </w:r>
      <w:r w:rsidR="00DF565E">
        <w:t xml:space="preserve"> samples are collected from five site wells</w:t>
      </w:r>
      <w:r w:rsidR="007E1840">
        <w:t xml:space="preserve">. In September 2024, DNA samples were collected from </w:t>
      </w:r>
      <w:r w:rsidR="007E1840" w:rsidRPr="007E1840">
        <w:t xml:space="preserve">MW-6, MW-5R, MW-7, MW-4R, </w:t>
      </w:r>
      <w:r w:rsidR="007E1840">
        <w:t xml:space="preserve">and </w:t>
      </w:r>
      <w:r w:rsidR="007E1840" w:rsidRPr="007E1840">
        <w:t>MW-12</w:t>
      </w:r>
      <w:r w:rsidR="009D3EDC">
        <w:t xml:space="preserve"> </w:t>
      </w:r>
      <w:r w:rsidR="00C236A4">
        <w:t>after standard semiannual sampl</w:t>
      </w:r>
      <w:r w:rsidR="005258A1">
        <w:t>e bottle ware had been filled</w:t>
      </w:r>
      <w:r w:rsidR="002E6ED0">
        <w:t>.</w:t>
      </w:r>
      <w:r w:rsidR="009D3EDC">
        <w:t xml:space="preserve"> </w:t>
      </w:r>
      <w:r w:rsidR="002E6ED0">
        <w:t>T</w:t>
      </w:r>
      <w:r w:rsidR="009D3EDC">
        <w:t xml:space="preserve">he results are presented in </w:t>
      </w:r>
      <w:r w:rsidR="009D3EDC" w:rsidRPr="00FF2D55">
        <w:t xml:space="preserve">Attachment </w:t>
      </w:r>
      <w:r w:rsidR="008447D6" w:rsidRPr="00FF2D55">
        <w:t>5</w:t>
      </w:r>
      <w:r w:rsidR="009D3EDC" w:rsidRPr="00FF2D55">
        <w:t>.</w:t>
      </w:r>
      <w:r w:rsidR="009D3EDC">
        <w:t xml:space="preserve"> </w:t>
      </w:r>
      <w:r w:rsidR="00D52604">
        <w:t xml:space="preserve">The process of collecting these DNA samples consisted of </w:t>
      </w:r>
      <w:r w:rsidR="005258A1">
        <w:t xml:space="preserve">slowing the peristaltic pump flow </w:t>
      </w:r>
      <w:r w:rsidR="007C5C5A">
        <w:t xml:space="preserve">as much as possible, attaching the provided adaptor from the </w:t>
      </w:r>
      <w:r w:rsidR="00E670DD">
        <w:t>low-density polyethylene</w:t>
      </w:r>
      <w:r w:rsidR="007C5C5A">
        <w:t xml:space="preserve"> tubing to the provided DNA filter</w:t>
      </w:r>
      <w:r w:rsidR="001E7714">
        <w:t xml:space="preserve"> flow through cell</w:t>
      </w:r>
      <w:r w:rsidR="000255EB">
        <w:t>,</w:t>
      </w:r>
      <w:r w:rsidR="001E7714">
        <w:t xml:space="preserve"> and then </w:t>
      </w:r>
      <w:r w:rsidR="00DA45FA">
        <w:t xml:space="preserve">allowing approximately </w:t>
      </w:r>
      <w:r w:rsidR="0008002E" w:rsidRPr="0008002E">
        <w:t>1</w:t>
      </w:r>
      <w:r w:rsidR="00DA45FA">
        <w:t xml:space="preserve"> liter of water</w:t>
      </w:r>
      <w:r w:rsidR="00BF424E">
        <w:t xml:space="preserve"> to flow through the filter. The total flow through the filter is recorded in milliliters</w:t>
      </w:r>
      <w:r w:rsidR="006106BD">
        <w:t xml:space="preserve"> and included on the sample label. To meet required hold times</w:t>
      </w:r>
      <w:r w:rsidR="008B3754">
        <w:t>, the samples were then shipped in a cooler for next</w:t>
      </w:r>
      <w:r w:rsidR="0008002E">
        <w:t>-</w:t>
      </w:r>
      <w:r w:rsidR="008B3754">
        <w:t>day delivery to Microbial Insights for analysis.</w:t>
      </w:r>
    </w:p>
    <w:p w14:paraId="50329FBF" w14:textId="3C46BF5C" w:rsidR="00F85117" w:rsidRPr="000F2DCA" w:rsidRDefault="00F85117" w:rsidP="00F85117">
      <w:r>
        <w:t xml:space="preserve">The results </w:t>
      </w:r>
      <w:r w:rsidR="002D378A">
        <w:t>show</w:t>
      </w:r>
      <w:r>
        <w:t xml:space="preserve"> that </w:t>
      </w:r>
      <w:r w:rsidR="00423DA6">
        <w:t xml:space="preserve">there </w:t>
      </w:r>
      <w:r w:rsidR="00423DA6" w:rsidRPr="00423DA6">
        <w:t>is a sustained microbial population</w:t>
      </w:r>
      <w:r w:rsidR="00423DA6">
        <w:t xml:space="preserve"> that is present in all wells sampled</w:t>
      </w:r>
      <w:r w:rsidR="002D378A">
        <w:t xml:space="preserve">. This indicates that the </w:t>
      </w:r>
      <w:r w:rsidR="00EF43F9">
        <w:t xml:space="preserve">microbial </w:t>
      </w:r>
      <w:r w:rsidR="002D378A">
        <w:t xml:space="preserve">population is thriving and </w:t>
      </w:r>
      <w:r w:rsidR="00EF43F9">
        <w:t xml:space="preserve">helping in the reductive dechlorination </w:t>
      </w:r>
      <w:r w:rsidR="00632639">
        <w:t xml:space="preserve">process; therefore, introducing </w:t>
      </w:r>
      <w:r w:rsidR="00CF7FB3">
        <w:t xml:space="preserve">an </w:t>
      </w:r>
      <w:r w:rsidR="00632639">
        <w:t>a</w:t>
      </w:r>
      <w:r w:rsidR="00CF7FB3">
        <w:t>dditional</w:t>
      </w:r>
      <w:r w:rsidR="00632639">
        <w:t xml:space="preserve"> microbial population is not required at the Site.</w:t>
      </w:r>
      <w:r w:rsidR="00B85883">
        <w:t xml:space="preserve"> </w:t>
      </w:r>
      <w:r w:rsidR="00B32F09">
        <w:t xml:space="preserve">According to the </w:t>
      </w:r>
      <w:r w:rsidR="00DB348C">
        <w:t>interpretation section of the Microbial Insights report</w:t>
      </w:r>
      <w:r w:rsidR="0038312B">
        <w:t>,</w:t>
      </w:r>
      <w:r w:rsidR="008154F0">
        <w:t xml:space="preserve"> </w:t>
      </w:r>
      <w:r w:rsidR="000F2DCA">
        <w:t>a DHC concentration of 1 x 10</w:t>
      </w:r>
      <w:r w:rsidR="000F2DCA">
        <w:rPr>
          <w:vertAlign w:val="superscript"/>
        </w:rPr>
        <w:t xml:space="preserve">4 </w:t>
      </w:r>
      <w:r w:rsidR="000F2DCA">
        <w:t>cells</w:t>
      </w:r>
      <w:r w:rsidR="0038312B">
        <w:t xml:space="preserve"> per milliliter</w:t>
      </w:r>
      <w:r w:rsidR="000F2DCA">
        <w:t xml:space="preserve"> </w:t>
      </w:r>
      <w:r w:rsidR="00A1736F">
        <w:t xml:space="preserve">is used </w:t>
      </w:r>
      <w:r w:rsidR="000F2DCA">
        <w:t xml:space="preserve">as a screening criterion to identify sites where biological reductive </w:t>
      </w:r>
      <w:r w:rsidR="00AF4DD8">
        <w:t>dechlorination</w:t>
      </w:r>
      <w:r w:rsidR="000F2DCA">
        <w:t xml:space="preserve"> </w:t>
      </w:r>
      <w:r w:rsidR="00AF4DD8">
        <w:t>is predicted to proceed at “generally useful” rates. Some of the</w:t>
      </w:r>
      <w:r w:rsidR="00F211DB">
        <w:t xml:space="preserve"> analyzed</w:t>
      </w:r>
      <w:r w:rsidR="00AF4DD8">
        <w:t xml:space="preserve"> Site wells show concentrations </w:t>
      </w:r>
      <w:r w:rsidR="001C0C1C">
        <w:t xml:space="preserve">above this level or </w:t>
      </w:r>
      <w:r w:rsidR="008A4DC6">
        <w:t>just below it, indicating that supporting these populations will yield positive results.</w:t>
      </w:r>
    </w:p>
    <w:p w14:paraId="6E6FBFCF" w14:textId="61FC596E" w:rsidR="0036042F" w:rsidRDefault="00FA355B" w:rsidP="005B00EF">
      <w:pPr>
        <w:pStyle w:val="Heading2"/>
      </w:pPr>
      <w:r>
        <w:t xml:space="preserve">Observations, </w:t>
      </w:r>
      <w:r w:rsidR="005B00EF">
        <w:t>Conclusions</w:t>
      </w:r>
      <w:r>
        <w:t>,</w:t>
      </w:r>
      <w:r w:rsidR="005B00EF">
        <w:t xml:space="preserve"> and </w:t>
      </w:r>
      <w:r w:rsidR="0036042F">
        <w:t>Next Steps</w:t>
      </w:r>
    </w:p>
    <w:p w14:paraId="6949F1E9" w14:textId="4BE962DB" w:rsidR="00987A0A" w:rsidRDefault="008B5900" w:rsidP="001656D5">
      <w:pPr>
        <w:pStyle w:val="NormalSix"/>
      </w:pPr>
      <w:r>
        <w:t xml:space="preserve">In an assessment of all the data collected, the </w:t>
      </w:r>
      <w:r w:rsidR="00987A0A">
        <w:t>Contaminated Site Clean</w:t>
      </w:r>
      <w:r w:rsidR="00867F3D">
        <w:t>-U</w:t>
      </w:r>
      <w:r w:rsidR="00987A0A">
        <w:t xml:space="preserve">p Information </w:t>
      </w:r>
      <w:r w:rsidR="00D4253E">
        <w:t xml:space="preserve">(USEPA 2023) </w:t>
      </w:r>
      <w:r w:rsidR="00E11232">
        <w:t>regarding</w:t>
      </w:r>
      <w:r w:rsidR="00987A0A">
        <w:t xml:space="preserve"> anaerobic bioremediation</w:t>
      </w:r>
      <w:r w:rsidR="00E11232">
        <w:t xml:space="preserve"> was used </w:t>
      </w:r>
      <w:r w:rsidR="00616E1C">
        <w:t xml:space="preserve">as a reference </w:t>
      </w:r>
      <w:r w:rsidR="00E11232">
        <w:t xml:space="preserve">to </w:t>
      </w:r>
      <w:r w:rsidR="00735139">
        <w:t xml:space="preserve">evaluate </w:t>
      </w:r>
      <w:r w:rsidR="009C5FD5">
        <w:t xml:space="preserve">the performance of the bioremediation system. </w:t>
      </w:r>
      <w:r w:rsidR="00D06010">
        <w:t>Therefore, i</w:t>
      </w:r>
      <w:r w:rsidR="00284C8A">
        <w:t>n addition to reviewing the CVOC concentrations, t</w:t>
      </w:r>
      <w:r w:rsidR="009C5FD5">
        <w:t>he select i</w:t>
      </w:r>
      <w:r w:rsidR="00735139">
        <w:t>ndictor parameters</w:t>
      </w:r>
      <w:r w:rsidR="009C5FD5">
        <w:t xml:space="preserve"> below were </w:t>
      </w:r>
      <w:r w:rsidR="00A717A2">
        <w:t>reviewed to deter</w:t>
      </w:r>
      <w:r w:rsidR="00AA181B">
        <w:t xml:space="preserve">mine </w:t>
      </w:r>
      <w:r w:rsidR="004A0029" w:rsidRPr="004A0029">
        <w:t>whether</w:t>
      </w:r>
      <w:r w:rsidR="006B13C3">
        <w:t xml:space="preserve"> </w:t>
      </w:r>
      <w:r w:rsidR="009D5E9D">
        <w:t xml:space="preserve">(1) </w:t>
      </w:r>
      <w:r w:rsidR="006B13C3">
        <w:t>there is remedial progress or success within the source zon</w:t>
      </w:r>
      <w:r w:rsidR="00284C8A">
        <w:t>e</w:t>
      </w:r>
      <w:r w:rsidR="006B13C3">
        <w:t xml:space="preserve"> mass</w:t>
      </w:r>
      <w:r w:rsidR="00D06010">
        <w:t xml:space="preserve"> and </w:t>
      </w:r>
      <w:r w:rsidR="009D5E9D">
        <w:t xml:space="preserve">(2) </w:t>
      </w:r>
      <w:r w:rsidR="0079178D">
        <w:t xml:space="preserve">any </w:t>
      </w:r>
      <w:r w:rsidR="004E0343">
        <w:t xml:space="preserve">additional optimization adjustments </w:t>
      </w:r>
      <w:r w:rsidR="0079178D">
        <w:lastRenderedPageBreak/>
        <w:t xml:space="preserve">are needed </w:t>
      </w:r>
      <w:r w:rsidR="004E0343">
        <w:t xml:space="preserve">for </w:t>
      </w:r>
      <w:r w:rsidR="004E0343" w:rsidRPr="004E0343">
        <w:t>anaerobic dechlorination</w:t>
      </w:r>
      <w:r w:rsidR="004E0343">
        <w:t xml:space="preserve"> </w:t>
      </w:r>
      <w:r w:rsidR="004E0343" w:rsidRPr="004E0343">
        <w:t>to occur.</w:t>
      </w:r>
      <w:r w:rsidR="00735139">
        <w:t xml:space="preserve"> </w:t>
      </w:r>
      <w:r w:rsidR="00021E45">
        <w:t>The results for the parameters discussed below are presented in Table 4.</w:t>
      </w:r>
    </w:p>
    <w:p w14:paraId="414A6A09" w14:textId="430DA8E9" w:rsidR="00D0184E" w:rsidRDefault="00B610A4" w:rsidP="001656D5">
      <w:pPr>
        <w:pStyle w:val="Bullet1"/>
      </w:pPr>
      <w:r w:rsidRPr="00AC7F37">
        <w:rPr>
          <w:b/>
        </w:rPr>
        <w:t>Methane, ethane</w:t>
      </w:r>
      <w:r w:rsidR="00875D86">
        <w:rPr>
          <w:b/>
        </w:rPr>
        <w:t>,</w:t>
      </w:r>
      <w:r w:rsidRPr="00AC7F37">
        <w:rPr>
          <w:b/>
        </w:rPr>
        <w:t xml:space="preserve"> and </w:t>
      </w:r>
      <w:r w:rsidR="0007039A" w:rsidRPr="00AC7F37">
        <w:rPr>
          <w:b/>
        </w:rPr>
        <w:t>ethene:</w:t>
      </w:r>
      <w:r w:rsidR="0007039A">
        <w:t xml:space="preserve"> </w:t>
      </w:r>
      <w:r w:rsidR="00C36EE4">
        <w:t xml:space="preserve">Elevated levels of methane </w:t>
      </w:r>
      <w:r w:rsidR="00C372C1">
        <w:t xml:space="preserve">(&gt;1 mg/L) </w:t>
      </w:r>
      <w:r w:rsidR="00C36EE4">
        <w:t>indicate fermentation is occurring in a highly anaerobic environment and that reducing conditions are appropriate for anaerobic degradation</w:t>
      </w:r>
      <w:r w:rsidR="00545A33">
        <w:t xml:space="preserve">. </w:t>
      </w:r>
      <w:r w:rsidR="00AC7F37">
        <w:t>E</w:t>
      </w:r>
      <w:r w:rsidR="00545A33">
        <w:t xml:space="preserve">levated levels of ethane and </w:t>
      </w:r>
      <w:r w:rsidR="00C372C1">
        <w:t>ethene</w:t>
      </w:r>
      <w:r w:rsidR="00AA13AC">
        <w:t xml:space="preserve"> (above background)</w:t>
      </w:r>
      <w:r w:rsidR="0026459E">
        <w:t xml:space="preserve"> can be used to infer anaerobic dechlorination. Note that ethane and ethene can be subjected to rapid </w:t>
      </w:r>
      <w:r w:rsidR="00652911">
        <w:t>biodegradation</w:t>
      </w:r>
      <w:r w:rsidR="007914A5">
        <w:t>,</w:t>
      </w:r>
      <w:r w:rsidR="00652911">
        <w:t xml:space="preserve"> so their absence in a sample does not necessarily mean that degradation is not </w:t>
      </w:r>
      <w:r w:rsidR="005C42AF">
        <w:t>occurring.</w:t>
      </w:r>
      <w:r w:rsidR="00AC7F37">
        <w:t xml:space="preserve"> </w:t>
      </w:r>
      <w:r w:rsidR="000C6851">
        <w:t>In the</w:t>
      </w:r>
      <w:r w:rsidR="00ED125C">
        <w:t xml:space="preserve"> </w:t>
      </w:r>
      <w:r w:rsidR="001A1F87">
        <w:t xml:space="preserve">hot spot </w:t>
      </w:r>
      <w:r w:rsidR="00ED125C">
        <w:t xml:space="preserve">wells of the Site where optimization activities have occurred, the majority of </w:t>
      </w:r>
      <w:r w:rsidR="001A1F87">
        <w:t xml:space="preserve">hot spot </w:t>
      </w:r>
      <w:r w:rsidR="00ED125C">
        <w:t>wells have methane concentrations above 1 mg/L</w:t>
      </w:r>
      <w:r w:rsidR="007914A5">
        <w:t>,</w:t>
      </w:r>
      <w:r w:rsidR="008A673D">
        <w:t xml:space="preserve"> and some have shown ethene detections within the past year</w:t>
      </w:r>
      <w:r w:rsidR="0037366D">
        <w:t xml:space="preserve"> (Table 4)</w:t>
      </w:r>
      <w:r w:rsidR="008A673D">
        <w:t>.</w:t>
      </w:r>
    </w:p>
    <w:p w14:paraId="61781F44" w14:textId="7DB0A594" w:rsidR="00DC6B95" w:rsidRDefault="00DC6B95" w:rsidP="001656D5">
      <w:pPr>
        <w:pStyle w:val="Bullet1"/>
      </w:pPr>
      <w:r w:rsidRPr="00AC7F37">
        <w:rPr>
          <w:b/>
        </w:rPr>
        <w:t>TOC:</w:t>
      </w:r>
      <w:r w:rsidR="005C42AF">
        <w:t xml:space="preserve"> </w:t>
      </w:r>
      <w:r w:rsidR="006919D9">
        <w:t>TOC concentrations &gt;20</w:t>
      </w:r>
      <w:r w:rsidR="00875D86">
        <w:t xml:space="preserve"> to </w:t>
      </w:r>
      <w:r w:rsidR="006919D9">
        <w:t>50 mg/L are desired in the anaerobic treatment zone.</w:t>
      </w:r>
      <w:r w:rsidR="00412A76">
        <w:t xml:space="preserve"> Stable or declining TOC levels </w:t>
      </w:r>
      <w:r w:rsidR="007914A5">
        <w:t>(</w:t>
      </w:r>
      <w:r w:rsidR="00412A76">
        <w:t>&lt;20 mg/L</w:t>
      </w:r>
      <w:r w:rsidR="007914A5">
        <w:t>)</w:t>
      </w:r>
      <w:r w:rsidR="00412A76">
        <w:t xml:space="preserve"> in conjunction with elevated levels of VOCs and alternate </w:t>
      </w:r>
      <w:r w:rsidR="00D951EA">
        <w:t>electron acceptors indicate additional substrate is required to sustain the anaerobic treatment zone.</w:t>
      </w:r>
      <w:r w:rsidR="003335BF">
        <w:t xml:space="preserve"> TOC h</w:t>
      </w:r>
      <w:r w:rsidR="008F1811">
        <w:t>a</w:t>
      </w:r>
      <w:r w:rsidR="00BB3DF6">
        <w:t>s</w:t>
      </w:r>
      <w:r w:rsidR="003335BF">
        <w:t xml:space="preserve"> been increasing </w:t>
      </w:r>
      <w:r w:rsidR="008F1811">
        <w:t xml:space="preserve">to optimal </w:t>
      </w:r>
      <w:r w:rsidR="00E44D22">
        <w:t xml:space="preserve">concentrations between 20 and 50 mg/L </w:t>
      </w:r>
      <w:r w:rsidR="003335BF">
        <w:t>in some of the key</w:t>
      </w:r>
      <w:r w:rsidR="00E44D22">
        <w:t xml:space="preserve"> hot spot</w:t>
      </w:r>
      <w:r w:rsidR="003335BF">
        <w:t xml:space="preserve"> wells</w:t>
      </w:r>
      <w:r w:rsidR="006B6052">
        <w:t xml:space="preserve"> (</w:t>
      </w:r>
      <w:r w:rsidR="00F40DDB">
        <w:t>i.e., MW-4R</w:t>
      </w:r>
      <w:r w:rsidR="00984F50">
        <w:t xml:space="preserve"> and</w:t>
      </w:r>
      <w:r w:rsidR="00F40DDB">
        <w:t xml:space="preserve"> MW-7</w:t>
      </w:r>
      <w:r w:rsidR="00984F50">
        <w:t>)</w:t>
      </w:r>
      <w:r w:rsidR="002D4A55">
        <w:t xml:space="preserve">. TOC concentrations in the </w:t>
      </w:r>
      <w:r w:rsidR="006E0C2E">
        <w:t xml:space="preserve">other </w:t>
      </w:r>
      <w:r w:rsidR="004D2C8B">
        <w:t xml:space="preserve">hot spot </w:t>
      </w:r>
      <w:r w:rsidR="002D4A55">
        <w:t xml:space="preserve">wells, MW-5R, MW-21R, and </w:t>
      </w:r>
      <w:r w:rsidR="00E920CA">
        <w:t xml:space="preserve">HZ-MW-14S, </w:t>
      </w:r>
      <w:r w:rsidR="002D4A55">
        <w:t xml:space="preserve">show a slow </w:t>
      </w:r>
      <w:r w:rsidR="006E0C2E">
        <w:t>increas</w:t>
      </w:r>
      <w:r w:rsidR="002D4A55">
        <w:t xml:space="preserve">e in concentrations </w:t>
      </w:r>
      <w:r w:rsidR="00E44D22">
        <w:t xml:space="preserve">but still less than the </w:t>
      </w:r>
      <w:r w:rsidR="00124F2D">
        <w:t>desired range</w:t>
      </w:r>
      <w:r w:rsidR="007914A5">
        <w:t>.</w:t>
      </w:r>
      <w:r w:rsidR="002D4A55">
        <w:t xml:space="preserve"> </w:t>
      </w:r>
      <w:r w:rsidR="007914A5">
        <w:t>H</w:t>
      </w:r>
      <w:r w:rsidR="002D4A55">
        <w:t>owever,</w:t>
      </w:r>
      <w:r w:rsidR="00E920CA">
        <w:t xml:space="preserve"> PCE</w:t>
      </w:r>
      <w:r w:rsidR="003D711C">
        <w:t xml:space="preserve">, TCE, and DCE concentrations have been decreasing in these wells despite the </w:t>
      </w:r>
      <w:r w:rsidR="003B3B42">
        <w:t>less-than-ideal</w:t>
      </w:r>
      <w:r w:rsidR="003D711C">
        <w:t xml:space="preserve"> TOC concentrations</w:t>
      </w:r>
      <w:r w:rsidR="001F0969">
        <w:t xml:space="preserve"> (Table 4)</w:t>
      </w:r>
      <w:r w:rsidR="006E0C2E">
        <w:t>.</w:t>
      </w:r>
      <w:r w:rsidR="00B41325">
        <w:t xml:space="preserve"> A</w:t>
      </w:r>
      <w:r w:rsidR="006E0C2E">
        <w:t>n increase in substrate dosage and application</w:t>
      </w:r>
      <w:r w:rsidR="00A81935">
        <w:t xml:space="preserve"> </w:t>
      </w:r>
      <w:r w:rsidR="00B41325">
        <w:t xml:space="preserve">would likely </w:t>
      </w:r>
      <w:r w:rsidR="006D3D57">
        <w:t xml:space="preserve">help to further reduce CVOC concentrations and is </w:t>
      </w:r>
      <w:r w:rsidR="00A81935">
        <w:t>recommended.</w:t>
      </w:r>
    </w:p>
    <w:p w14:paraId="31A2F906" w14:textId="48C66386" w:rsidR="00A81935" w:rsidRPr="001656D5" w:rsidRDefault="00A81935" w:rsidP="001656D5">
      <w:pPr>
        <w:pStyle w:val="Bullet1"/>
        <w:rPr>
          <w:spacing w:val="-2"/>
        </w:rPr>
      </w:pPr>
      <w:r w:rsidRPr="001656D5">
        <w:rPr>
          <w:b/>
          <w:bCs/>
          <w:spacing w:val="-2"/>
        </w:rPr>
        <w:t>ORP:</w:t>
      </w:r>
      <w:r w:rsidRPr="001656D5">
        <w:rPr>
          <w:spacing w:val="-2"/>
        </w:rPr>
        <w:t xml:space="preserve"> ORP of groundwater provides data on whether anaerobic conditions are present. Reducing conditions are required for anaerobic dechlorination. </w:t>
      </w:r>
      <w:r w:rsidR="00A1736F" w:rsidRPr="001656D5">
        <w:rPr>
          <w:spacing w:val="-2"/>
        </w:rPr>
        <w:t>ORP is u</w:t>
      </w:r>
      <w:r w:rsidRPr="001656D5">
        <w:rPr>
          <w:spacing w:val="-2"/>
        </w:rPr>
        <w:t xml:space="preserve">sed in conjunction with other geochemical parameters to determine whether groundwater conditions are optimal for anerobic biodegradation. </w:t>
      </w:r>
      <w:r w:rsidR="00A234D0" w:rsidRPr="001656D5">
        <w:rPr>
          <w:spacing w:val="-2"/>
        </w:rPr>
        <w:t>ORP</w:t>
      </w:r>
      <w:r w:rsidR="00253EF4" w:rsidRPr="001656D5">
        <w:rPr>
          <w:spacing w:val="-2"/>
        </w:rPr>
        <w:t xml:space="preserve"> has been negative or </w:t>
      </w:r>
      <w:r w:rsidR="002F640E" w:rsidRPr="001656D5">
        <w:rPr>
          <w:spacing w:val="-2"/>
        </w:rPr>
        <w:t xml:space="preserve">seen to be decreasing over time in </w:t>
      </w:r>
      <w:r w:rsidR="007769BE" w:rsidRPr="001656D5">
        <w:rPr>
          <w:spacing w:val="-2"/>
        </w:rPr>
        <w:t>the majority of key wells</w:t>
      </w:r>
      <w:r w:rsidR="00272746" w:rsidRPr="001656D5">
        <w:rPr>
          <w:spacing w:val="-2"/>
        </w:rPr>
        <w:t xml:space="preserve"> at the time of sampling</w:t>
      </w:r>
      <w:r w:rsidR="007769BE" w:rsidRPr="001656D5">
        <w:rPr>
          <w:spacing w:val="-2"/>
        </w:rPr>
        <w:t>.</w:t>
      </w:r>
      <w:r w:rsidR="004230A9" w:rsidRPr="001656D5">
        <w:rPr>
          <w:spacing w:val="-2"/>
        </w:rPr>
        <w:t xml:space="preserve"> </w:t>
      </w:r>
    </w:p>
    <w:p w14:paraId="58054E67" w14:textId="2B9519BF" w:rsidR="00A70A66" w:rsidRDefault="00A81935" w:rsidP="001656D5">
      <w:pPr>
        <w:pStyle w:val="Bullet1"/>
      </w:pPr>
      <w:r w:rsidRPr="00CA7A6C">
        <w:rPr>
          <w:b/>
        </w:rPr>
        <w:t>DO:</w:t>
      </w:r>
      <w:r>
        <w:t xml:space="preserve"> DO should be depleted in an anaerobic bioremediation system. DO </w:t>
      </w:r>
      <w:r w:rsidR="00E66AA6">
        <w:t xml:space="preserve">of </w:t>
      </w:r>
      <w:r>
        <w:t xml:space="preserve">&lt;0.5 mg/L generally indicates an anaerobic pathway suitable for anaerobic dechlorination to occur. </w:t>
      </w:r>
      <w:r w:rsidR="00233672">
        <w:t>DO has been &lt;0.5 mg/L in all</w:t>
      </w:r>
      <w:r w:rsidR="00272746">
        <w:t xml:space="preserve"> key wells at time of sampling.</w:t>
      </w:r>
      <w:r w:rsidR="00A70A66">
        <w:t xml:space="preserve"> </w:t>
      </w:r>
    </w:p>
    <w:p w14:paraId="052314FD" w14:textId="13068D74" w:rsidR="00030A8C" w:rsidRDefault="00A70A66" w:rsidP="001656D5">
      <w:pPr>
        <w:pStyle w:val="Bullet2Last"/>
      </w:pPr>
      <w:r>
        <w:t xml:space="preserve">A low DO </w:t>
      </w:r>
      <w:r w:rsidR="007E5F53">
        <w:t>in conjunction with a negative ORP (</w:t>
      </w:r>
      <w:r w:rsidR="00C15F34">
        <w:t>refer to</w:t>
      </w:r>
      <w:r w:rsidR="007E5F53">
        <w:t xml:space="preserve"> above bullet point) </w:t>
      </w:r>
      <w:r>
        <w:t xml:space="preserve">indicates that the substrate is at an ideal environment for additional </w:t>
      </w:r>
      <w:r w:rsidR="008D78B9">
        <w:t xml:space="preserve">injections of </w:t>
      </w:r>
      <w:r>
        <w:t>TOC to</w:t>
      </w:r>
      <w:r w:rsidR="008D78B9">
        <w:t xml:space="preserve"> be effective in reductive dechlorination.</w:t>
      </w:r>
    </w:p>
    <w:p w14:paraId="3724B061" w14:textId="2045FBB9" w:rsidR="00DC6B95" w:rsidRPr="00035AC5" w:rsidRDefault="00DC6B95" w:rsidP="001656D5">
      <w:pPr>
        <w:pStyle w:val="Bullet1"/>
      </w:pPr>
      <w:r w:rsidRPr="00035AC5">
        <w:rPr>
          <w:b/>
        </w:rPr>
        <w:t>DHC:</w:t>
      </w:r>
      <w:r w:rsidR="005A1241" w:rsidRPr="00035AC5">
        <w:t xml:space="preserve"> </w:t>
      </w:r>
      <w:r w:rsidR="006E1315" w:rsidRPr="00035AC5">
        <w:t>DH</w:t>
      </w:r>
      <w:r w:rsidR="00B048AE" w:rsidRPr="00035AC5">
        <w:t xml:space="preserve">C </w:t>
      </w:r>
      <w:r w:rsidR="00AE0F0A">
        <w:t>is a group of bacteria that can break</w:t>
      </w:r>
      <w:r w:rsidR="00625B2C">
        <w:t xml:space="preserve"> </w:t>
      </w:r>
      <w:r w:rsidR="00AE0F0A">
        <w:t xml:space="preserve">down </w:t>
      </w:r>
      <w:r w:rsidR="00451C7B">
        <w:t xml:space="preserve">chlorinated organic compounds </w:t>
      </w:r>
      <w:r w:rsidR="00D57503">
        <w:t xml:space="preserve">that can </w:t>
      </w:r>
      <w:r w:rsidR="00B048AE" w:rsidRPr="00035AC5">
        <w:t>be detected</w:t>
      </w:r>
      <w:r w:rsidR="00D57503">
        <w:t xml:space="preserve">. </w:t>
      </w:r>
      <w:r w:rsidR="00093B43">
        <w:t>This group of bacteria can</w:t>
      </w:r>
      <w:r w:rsidR="00B048AE" w:rsidRPr="00035AC5">
        <w:t xml:space="preserve"> </w:t>
      </w:r>
      <w:r w:rsidR="007210EC">
        <w:t xml:space="preserve">experience an </w:t>
      </w:r>
      <w:r w:rsidR="00B048AE" w:rsidRPr="00035AC5">
        <w:t xml:space="preserve">increase </w:t>
      </w:r>
      <w:r w:rsidR="007210EC">
        <w:t xml:space="preserve">in population </w:t>
      </w:r>
      <w:r w:rsidR="00B048AE" w:rsidRPr="00035AC5">
        <w:t>as a consequence of adding electron donor</w:t>
      </w:r>
      <w:r w:rsidR="00BD6835">
        <w:t>s</w:t>
      </w:r>
      <w:r w:rsidR="00B048AE" w:rsidRPr="00035AC5">
        <w:t xml:space="preserve"> to create anaerobic conditions</w:t>
      </w:r>
      <w:r w:rsidR="0014630C" w:rsidRPr="00035AC5">
        <w:t>.</w:t>
      </w:r>
      <w:r w:rsidR="00451C7B">
        <w:t xml:space="preserve"> Microbial DNA testing has been conducted annual</w:t>
      </w:r>
      <w:r w:rsidR="00184472">
        <w:t>ly</w:t>
      </w:r>
      <w:r w:rsidR="00451C7B">
        <w:t xml:space="preserve"> for the past 3 years</w:t>
      </w:r>
      <w:r w:rsidR="00A92D4E">
        <w:t xml:space="preserve">, including 2024, and results show that there is a sustained microbial population capable of </w:t>
      </w:r>
      <w:r w:rsidR="00D30B4C">
        <w:t xml:space="preserve">biodegradation (Attachment 5). </w:t>
      </w:r>
    </w:p>
    <w:p w14:paraId="1680F137" w14:textId="32819746" w:rsidR="00DC6B95" w:rsidRDefault="00DC6B95" w:rsidP="001656D5">
      <w:pPr>
        <w:pStyle w:val="Bullet1"/>
      </w:pPr>
      <w:r w:rsidRPr="00AC7F37">
        <w:rPr>
          <w:b/>
        </w:rPr>
        <w:lastRenderedPageBreak/>
        <w:t>Ammonia:</w:t>
      </w:r>
      <w:r w:rsidR="00EF2A7A">
        <w:t xml:space="preserve"> </w:t>
      </w:r>
      <w:r w:rsidR="002E100A">
        <w:t xml:space="preserve">Ammonia can represent a form of biologically available nitrogen. Used to determine </w:t>
      </w:r>
      <w:r w:rsidR="00495CD4" w:rsidRPr="00495CD4">
        <w:t>whether</w:t>
      </w:r>
      <w:r w:rsidR="002E100A">
        <w:t xml:space="preserve"> groundwater environment is sufficiently reducing nitrogen</w:t>
      </w:r>
      <w:r w:rsidR="007063DC">
        <w:t xml:space="preserve"> and is an i</w:t>
      </w:r>
      <w:r w:rsidR="002E100A">
        <w:t>ndicator parameter only.</w:t>
      </w:r>
      <w:r w:rsidR="00951147">
        <w:t xml:space="preserve"> </w:t>
      </w:r>
      <w:r w:rsidR="00120677">
        <w:t>Since optimization changes were made, a</w:t>
      </w:r>
      <w:r w:rsidR="00787E50">
        <w:t xml:space="preserve">mmonia </w:t>
      </w:r>
      <w:r w:rsidR="001F6D99">
        <w:t>concentrations are</w:t>
      </w:r>
      <w:r w:rsidR="00787E50">
        <w:t xml:space="preserve"> less tha</w:t>
      </w:r>
      <w:r w:rsidR="001F6D99">
        <w:t>n</w:t>
      </w:r>
      <w:r w:rsidR="00787E50">
        <w:t xml:space="preserve"> the PQL for all the hot spot wells</w:t>
      </w:r>
      <w:r w:rsidR="004D77E3">
        <w:t xml:space="preserve"> and detected at very low levels in</w:t>
      </w:r>
      <w:r w:rsidR="00120677">
        <w:t xml:space="preserve"> wells outside the radius of influence.</w:t>
      </w:r>
      <w:r w:rsidR="004D77E3">
        <w:t xml:space="preserve"> </w:t>
      </w:r>
      <w:r w:rsidR="001F6D99">
        <w:t>This indicates that the</w:t>
      </w:r>
      <w:r w:rsidR="007107EA">
        <w:t xml:space="preserve"> nitrogen is being reduce</w:t>
      </w:r>
      <w:r w:rsidR="000E5930">
        <w:t>d</w:t>
      </w:r>
      <w:r w:rsidR="007107EA">
        <w:t xml:space="preserve"> and there is ongoing </w:t>
      </w:r>
      <w:r w:rsidR="006371A6">
        <w:t>natural attenuation at locations outside the radius of influence.</w:t>
      </w:r>
    </w:p>
    <w:p w14:paraId="1F3AA5B9" w14:textId="5E93E5D9" w:rsidR="00650A97" w:rsidRDefault="009E32B2" w:rsidP="001656D5">
      <w:pPr>
        <w:pStyle w:val="Bullet1"/>
      </w:pPr>
      <w:r>
        <w:rPr>
          <w:b/>
          <w:bCs/>
        </w:rPr>
        <w:t>Alternate Electron Acceptors:</w:t>
      </w:r>
      <w:r>
        <w:t xml:space="preserve"> Nitrate, </w:t>
      </w:r>
      <w:r w:rsidR="00EF2AAC">
        <w:t>m</w:t>
      </w:r>
      <w:r>
        <w:t xml:space="preserve">anganese, </w:t>
      </w:r>
      <w:r w:rsidR="00857B8F">
        <w:t xml:space="preserve">and </w:t>
      </w:r>
      <w:r w:rsidR="00EF2AAC">
        <w:t>f</w:t>
      </w:r>
      <w:r>
        <w:t xml:space="preserve">errous </w:t>
      </w:r>
      <w:r w:rsidR="00EF2AAC">
        <w:t>i</w:t>
      </w:r>
      <w:r>
        <w:t xml:space="preserve">ron are alternate electron acceptors for microbial respiration in the absence of oxygen. </w:t>
      </w:r>
    </w:p>
    <w:p w14:paraId="629C9E40" w14:textId="5BCB8DF9" w:rsidR="00650A97" w:rsidRDefault="00650A97" w:rsidP="001656D5">
      <w:pPr>
        <w:pStyle w:val="Bullet2"/>
      </w:pPr>
      <w:r w:rsidRPr="00047348">
        <w:rPr>
          <w:b/>
          <w:bCs/>
        </w:rPr>
        <w:t>Nitrate:</w:t>
      </w:r>
      <w:r>
        <w:t xml:space="preserve"> </w:t>
      </w:r>
      <w:r w:rsidR="00D5155D">
        <w:t>Depleted levels of nitrate (relative to background, &lt;1 mg/L) indicate that the groundwater environment is sufficiently reducing nitrate</w:t>
      </w:r>
      <w:r w:rsidR="0012373D">
        <w:t>. K</w:t>
      </w:r>
      <w:r>
        <w:t>ey</w:t>
      </w:r>
      <w:r w:rsidR="00061230">
        <w:t xml:space="preserve"> hot spot</w:t>
      </w:r>
      <w:r>
        <w:t xml:space="preserve"> wells at the Site have decreasing, low</w:t>
      </w:r>
      <w:r w:rsidR="00495CD4">
        <w:t>-</w:t>
      </w:r>
      <w:r>
        <w:t>level</w:t>
      </w:r>
      <w:r w:rsidR="00AF6503">
        <w:t>,</w:t>
      </w:r>
      <w:r>
        <w:t xml:space="preserve"> or </w:t>
      </w:r>
      <w:r w:rsidR="002F6F9C">
        <w:t>nondetect</w:t>
      </w:r>
      <w:r>
        <w:t xml:space="preserve"> results for nitrate. </w:t>
      </w:r>
      <w:r w:rsidR="00AF6503">
        <w:t xml:space="preserve">Wells outside the CVOC plume, such as </w:t>
      </w:r>
      <w:r w:rsidR="00084014">
        <w:t xml:space="preserve">S-MW-1 and </w:t>
      </w:r>
      <w:r w:rsidR="00CD6A2D">
        <w:t>MW-23</w:t>
      </w:r>
      <w:r w:rsidR="001424B3">
        <w:t xml:space="preserve">, have </w:t>
      </w:r>
      <w:r w:rsidR="00DE0831">
        <w:t xml:space="preserve">elevated nitrate concentrations when compared </w:t>
      </w:r>
      <w:r w:rsidR="002F6F9C">
        <w:t>with</w:t>
      </w:r>
      <w:r w:rsidR="00DE0831">
        <w:t xml:space="preserve"> wells within the CVOC plume</w:t>
      </w:r>
      <w:r w:rsidR="00CD6A2D">
        <w:t>.</w:t>
      </w:r>
    </w:p>
    <w:p w14:paraId="42A6B8FC" w14:textId="2F5C10E2" w:rsidR="00D53CEF" w:rsidRDefault="00650A97" w:rsidP="001656D5">
      <w:pPr>
        <w:pStyle w:val="Bullet2"/>
      </w:pPr>
      <w:r w:rsidRPr="00047348">
        <w:rPr>
          <w:b/>
          <w:bCs/>
        </w:rPr>
        <w:t>Manganese</w:t>
      </w:r>
      <w:r>
        <w:t xml:space="preserve">: An increase in dissolved </w:t>
      </w:r>
      <w:r w:rsidR="002726C7">
        <w:t>m</w:t>
      </w:r>
      <w:r>
        <w:t>anganese o</w:t>
      </w:r>
      <w:r w:rsidR="00D522DE">
        <w:t>r</w:t>
      </w:r>
      <w:r>
        <w:t xml:space="preserve"> total </w:t>
      </w:r>
      <w:r w:rsidR="002726C7">
        <w:t>m</w:t>
      </w:r>
      <w:r>
        <w:t xml:space="preserve">anganese indicates that the groundwater </w:t>
      </w:r>
      <w:r w:rsidR="0012373D">
        <w:t xml:space="preserve">environment is sufficiently reducing to sustain manganese reduction and for anaerobic dechlorination to occur. Key </w:t>
      </w:r>
      <w:r w:rsidR="005E7DA6">
        <w:t>hot spot</w:t>
      </w:r>
      <w:r w:rsidR="0012373D">
        <w:t xml:space="preserve"> wells at the </w:t>
      </w:r>
      <w:r w:rsidR="00D53CEF">
        <w:t xml:space="preserve">Site are overall increasing in dissolved </w:t>
      </w:r>
      <w:r w:rsidR="002726C7">
        <w:t>m</w:t>
      </w:r>
      <w:r w:rsidR="00D53CEF">
        <w:t>anganese concentrations.</w:t>
      </w:r>
    </w:p>
    <w:p w14:paraId="6F651528" w14:textId="2CE6A1D2" w:rsidR="009E32B2" w:rsidRDefault="00D53CEF" w:rsidP="001656D5">
      <w:pPr>
        <w:pStyle w:val="Bullet2Last"/>
      </w:pPr>
      <w:r>
        <w:rPr>
          <w:b/>
          <w:bCs/>
        </w:rPr>
        <w:t>Ferrous iron</w:t>
      </w:r>
      <w:r w:rsidRPr="00047348">
        <w:t>:</w:t>
      </w:r>
      <w:r>
        <w:t xml:space="preserve"> </w:t>
      </w:r>
      <w:r w:rsidR="00EC03BB">
        <w:t xml:space="preserve">Elevated levels of ferrous iron indicate that the groundwater environment is </w:t>
      </w:r>
      <w:r w:rsidR="00B2608D">
        <w:t>sufficiently</w:t>
      </w:r>
      <w:r w:rsidR="00EC03BB">
        <w:t xml:space="preserve"> reducing to sustain iron reduction and for anaerobic dechlorination</w:t>
      </w:r>
      <w:r w:rsidR="00B2608D">
        <w:t xml:space="preserve"> to occur. All key </w:t>
      </w:r>
      <w:r w:rsidR="00A819DB">
        <w:t xml:space="preserve">hot spot </w:t>
      </w:r>
      <w:r w:rsidR="00B2608D">
        <w:t xml:space="preserve">wells at the Site </w:t>
      </w:r>
      <w:r w:rsidR="007E7126">
        <w:t>have detections of ferrous iron</w:t>
      </w:r>
      <w:r w:rsidR="00A819DB">
        <w:t xml:space="preserve"> at elevated concentrations when compared </w:t>
      </w:r>
      <w:r w:rsidR="00E045FC" w:rsidRPr="00E045FC">
        <w:t>with</w:t>
      </w:r>
      <w:r w:rsidR="00A819DB">
        <w:t xml:space="preserve"> wells outside the CVOC plume</w:t>
      </w:r>
      <w:r w:rsidR="007E7126">
        <w:t>.</w:t>
      </w:r>
    </w:p>
    <w:p w14:paraId="30619412" w14:textId="1C2137DD" w:rsidR="00DD6A1D" w:rsidRDefault="008879B0" w:rsidP="001656D5">
      <w:pPr>
        <w:pStyle w:val="Bullet1Last"/>
      </w:pPr>
      <w:r w:rsidRPr="00AC7F37">
        <w:rPr>
          <w:b/>
        </w:rPr>
        <w:t>Sulfate:</w:t>
      </w:r>
      <w:r w:rsidR="00915887">
        <w:t xml:space="preserve"> </w:t>
      </w:r>
      <w:r w:rsidR="00326DD7">
        <w:t>Sulfate is an alternate electron acceptor for microbial respiration in the absence of oxygen</w:t>
      </w:r>
      <w:r w:rsidR="007F453D">
        <w:t>,</w:t>
      </w:r>
      <w:r w:rsidR="00326DD7">
        <w:t xml:space="preserve"> nitrate</w:t>
      </w:r>
      <w:r w:rsidR="007F453D">
        <w:t>, manganese</w:t>
      </w:r>
      <w:r w:rsidR="00286A67">
        <w:t>,</w:t>
      </w:r>
      <w:r w:rsidR="007F453D">
        <w:t xml:space="preserve"> and ferrous iron</w:t>
      </w:r>
      <w:r w:rsidR="00326DD7">
        <w:t xml:space="preserve">. </w:t>
      </w:r>
      <w:r w:rsidR="007F453D">
        <w:t>Depleted concentrations of sulfate</w:t>
      </w:r>
      <w:r w:rsidR="00A737A5">
        <w:t xml:space="preserve"> </w:t>
      </w:r>
      <w:r w:rsidR="00583270">
        <w:t xml:space="preserve">(&lt;20 mg/L) </w:t>
      </w:r>
      <w:r w:rsidR="00A737A5">
        <w:t>relative to background</w:t>
      </w:r>
      <w:r w:rsidR="00326DD7">
        <w:t xml:space="preserve"> indicates that the groundwater environment is sufficiently reducing to sustain </w:t>
      </w:r>
      <w:r w:rsidR="00A737A5">
        <w:t>sulfate</w:t>
      </w:r>
      <w:r w:rsidR="00326DD7">
        <w:t xml:space="preserve"> reduction and for anaerobic dechlorination to occur. </w:t>
      </w:r>
      <w:r w:rsidR="0053435C">
        <w:t xml:space="preserve">Hot spot wells, such as MW-4R, MW-5R, </w:t>
      </w:r>
      <w:r w:rsidR="00BB0906">
        <w:t>HZ-</w:t>
      </w:r>
      <w:r w:rsidR="00BE3750">
        <w:t xml:space="preserve">MW-14S, </w:t>
      </w:r>
      <w:r w:rsidR="00BB0906">
        <w:t>and HZ-MW-15D</w:t>
      </w:r>
      <w:r w:rsidR="0039637A">
        <w:t xml:space="preserve">, have sulfate concentrations </w:t>
      </w:r>
      <w:r w:rsidR="00BB0906">
        <w:t>less</w:t>
      </w:r>
      <w:r w:rsidR="00CB00D0">
        <w:t xml:space="preserve"> </w:t>
      </w:r>
      <w:r w:rsidR="0039637A">
        <w:t xml:space="preserve">than </w:t>
      </w:r>
      <w:r w:rsidR="00CB00D0">
        <w:t>20 mg/L</w:t>
      </w:r>
      <w:r w:rsidR="00352684">
        <w:t>,</w:t>
      </w:r>
      <w:r w:rsidR="00EF2605">
        <w:t xml:space="preserve"> while </w:t>
      </w:r>
      <w:r w:rsidR="00CB00D0">
        <w:t xml:space="preserve">the remaining hotspot wells </w:t>
      </w:r>
      <w:r w:rsidR="00EF2605">
        <w:t xml:space="preserve">have sulfate concentrations </w:t>
      </w:r>
      <w:r w:rsidR="00CB00D0">
        <w:t xml:space="preserve">at or greater than 20 mg/L. However, </w:t>
      </w:r>
      <w:r w:rsidR="0039637A">
        <w:t xml:space="preserve">while sulfate </w:t>
      </w:r>
      <w:r w:rsidR="00EF2605">
        <w:t>c</w:t>
      </w:r>
      <w:r w:rsidR="00983981">
        <w:t xml:space="preserve">oncentrations </w:t>
      </w:r>
      <w:r w:rsidR="00EF2605">
        <w:t xml:space="preserve">less than 20 mg/L are </w:t>
      </w:r>
      <w:r w:rsidR="00EF2605" w:rsidRPr="00EF2605">
        <w:t>desirable</w:t>
      </w:r>
      <w:r w:rsidR="00EF2605">
        <w:t xml:space="preserve">, those concentrations are not </w:t>
      </w:r>
      <w:r w:rsidR="00EF2605" w:rsidRPr="00EF2605">
        <w:t>required for anaerobic</w:t>
      </w:r>
      <w:r w:rsidR="00EF2605">
        <w:t xml:space="preserve"> </w:t>
      </w:r>
      <w:r w:rsidR="00EF2605" w:rsidRPr="00EF2605">
        <w:t>dechlorination to occur.</w:t>
      </w:r>
    </w:p>
    <w:p w14:paraId="7AEA69F0" w14:textId="25B61E5C" w:rsidR="00251951" w:rsidRDefault="00251951" w:rsidP="001253E3">
      <w:pPr>
        <w:pStyle w:val="Heading3"/>
      </w:pPr>
      <w:r>
        <w:t xml:space="preserve">CVOC Composition Profile and Total </w:t>
      </w:r>
      <w:r w:rsidR="006812E8">
        <w:t>Molar Mas</w:t>
      </w:r>
      <w:r>
        <w:t>s Concentrations</w:t>
      </w:r>
    </w:p>
    <w:p w14:paraId="43C9A7F2" w14:textId="3B4E6900" w:rsidR="00251951" w:rsidRDefault="003D491E" w:rsidP="00251951">
      <w:r>
        <w:t xml:space="preserve">Understanding changes in CVOC compositional profiles and total molar concentrations are crucial for understanding if biodegradation is </w:t>
      </w:r>
      <w:r w:rsidR="00FF3D08">
        <w:t>occurring</w:t>
      </w:r>
      <w:r>
        <w:t xml:space="preserve">. Changes in compositional profiles and molar mass can </w:t>
      </w:r>
      <w:r w:rsidR="009D76DE" w:rsidRPr="009877A9">
        <w:t>be used to show the decline of moles over time using data collected from one well over multiple years</w:t>
      </w:r>
      <w:r w:rsidR="009D76DE">
        <w:t>.</w:t>
      </w:r>
    </w:p>
    <w:p w14:paraId="7B2A5F23" w14:textId="1BED981A" w:rsidR="00DA3DCA" w:rsidRPr="00CE0104" w:rsidRDefault="00DA3DCA" w:rsidP="00DA3DCA">
      <w:pPr>
        <w:rPr>
          <w:spacing w:val="2"/>
        </w:rPr>
      </w:pPr>
      <w:r>
        <w:lastRenderedPageBreak/>
        <w:t>CVOCs</w:t>
      </w:r>
      <w:r w:rsidRPr="00CE0104">
        <w:t xml:space="preserve"> go through chemical degradation processes that produce daughter compounds, and the dechlorination process progressively lowers the molecular weight as chlorine atoms are removed. It is important to note that these reactions occur at various rates depending on geochemical conditions, and geochemical conditions can vary laterally and vertically. Typically, CVOC concentrations for PCE, TCE, DCE, and </w:t>
      </w:r>
      <w:r w:rsidR="00B56A6D">
        <w:t>VC</w:t>
      </w:r>
      <w:r w:rsidRPr="00CE0104">
        <w:t xml:space="preserve"> are shown in </w:t>
      </w:r>
      <w:r w:rsidRPr="00CE0104">
        <w:rPr>
          <w:rFonts w:cs="Calibri"/>
        </w:rPr>
        <w:t>µg</w:t>
      </w:r>
      <w:r w:rsidRPr="00CE0104">
        <w:t>/L</w:t>
      </w:r>
      <w:r w:rsidRPr="00CE0104">
        <w:rPr>
          <w:rFonts w:cs="Calibri"/>
        </w:rPr>
        <w:t>—</w:t>
      </w:r>
      <w:r w:rsidRPr="00CE0104">
        <w:rPr>
          <w:spacing w:val="2"/>
        </w:rPr>
        <w:t xml:space="preserve">either </w:t>
      </w:r>
      <w:r w:rsidRPr="007D0E68">
        <w:t>individually, or sometimes summed</w:t>
      </w:r>
      <w:r w:rsidRPr="00CE0104">
        <w:rPr>
          <w:spacing w:val="2"/>
        </w:rPr>
        <w:t xml:space="preserve"> </w:t>
      </w:r>
      <w:r w:rsidRPr="007D0E68">
        <w:t>as total CVOCs. If the dechlorination</w:t>
      </w:r>
      <w:r w:rsidRPr="00CE0104">
        <w:rPr>
          <w:spacing w:val="2"/>
        </w:rPr>
        <w:t xml:space="preserve"> process is faster for PCE to degrade </w:t>
      </w:r>
      <w:r w:rsidRPr="00555C5B">
        <w:rPr>
          <w:spacing w:val="3"/>
        </w:rPr>
        <w:t xml:space="preserve">to TCE and the degradation process </w:t>
      </w:r>
      <w:r w:rsidRPr="00CE0104">
        <w:rPr>
          <w:spacing w:val="2"/>
        </w:rPr>
        <w:t>for TCE is slow, then TCE concentrations will continue to increase as PCE becomes TCE; however, the total mass concentration (</w:t>
      </w:r>
      <w:r w:rsidR="00655190">
        <w:rPr>
          <w:spacing w:val="2"/>
        </w:rPr>
        <w:t xml:space="preserve">in </w:t>
      </w:r>
      <w:r w:rsidRPr="00CE0104">
        <w:rPr>
          <w:rFonts w:cs="Calibri"/>
          <w:spacing w:val="2"/>
        </w:rPr>
        <w:t>µg</w:t>
      </w:r>
      <w:r w:rsidRPr="00CE0104">
        <w:rPr>
          <w:spacing w:val="2"/>
        </w:rPr>
        <w:t xml:space="preserve">/L) appears to decrease because heavier contaminants continue to be converted to lighter contaminants via dechlorination. To verify that the total amount of contamination (i.e., PCE, TCE, DCE, and </w:t>
      </w:r>
      <w:r w:rsidR="00B56A6D">
        <w:rPr>
          <w:spacing w:val="2"/>
        </w:rPr>
        <w:t>VC</w:t>
      </w:r>
      <w:r w:rsidRPr="00CE0104">
        <w:rPr>
          <w:spacing w:val="2"/>
        </w:rPr>
        <w:t>) is actually decreasing, molar concentrations must be considered. To do this, one can convert the mass concentrations (</w:t>
      </w:r>
      <w:r w:rsidRPr="00CE0104">
        <w:rPr>
          <w:rFonts w:cs="Calibri"/>
          <w:spacing w:val="2"/>
        </w:rPr>
        <w:t>µg</w:t>
      </w:r>
      <w:r w:rsidRPr="00CE0104">
        <w:rPr>
          <w:spacing w:val="2"/>
        </w:rPr>
        <w:t>/L) to molar concentrations (micromoles per liter).</w:t>
      </w:r>
    </w:p>
    <w:p w14:paraId="36047C50" w14:textId="5E49618E" w:rsidR="00DA3DCA" w:rsidRPr="00251951" w:rsidRDefault="009952AD" w:rsidP="00DF7ACE">
      <w:r w:rsidRPr="009877A9">
        <w:t xml:space="preserve">Furthermore, changes in </w:t>
      </w:r>
      <w:r w:rsidR="00810B8B">
        <w:t xml:space="preserve">molar </w:t>
      </w:r>
      <w:r w:rsidR="00313244">
        <w:t>concentrations</w:t>
      </w:r>
      <w:r w:rsidR="00313244" w:rsidRPr="009877A9">
        <w:t xml:space="preserve"> </w:t>
      </w:r>
      <w:r w:rsidRPr="009877A9">
        <w:t xml:space="preserve">and relative proportions of CVOCs can be visualized by using stacked bar charts, where </w:t>
      </w:r>
      <w:r>
        <w:t>the relative proportions of each</w:t>
      </w:r>
      <w:r w:rsidRPr="009877A9">
        <w:t xml:space="preserve"> constituent (PCE, TCE, DCE, and </w:t>
      </w:r>
      <w:r w:rsidR="00B56A6D">
        <w:t>VC</w:t>
      </w:r>
      <w:r w:rsidRPr="009877A9">
        <w:t xml:space="preserve">) is consistently represented in the same color and constituents are stacked in the same order with PCE at the bottom and </w:t>
      </w:r>
      <w:r w:rsidR="00B56A6D">
        <w:t>VC</w:t>
      </w:r>
      <w:r w:rsidRPr="009877A9">
        <w:t xml:space="preserve"> at the top. Plotting CVOC data in this method can demonstrate the </w:t>
      </w:r>
      <w:r w:rsidR="00B919FC">
        <w:t xml:space="preserve">system’s </w:t>
      </w:r>
      <w:r w:rsidRPr="009877A9">
        <w:t>influence</w:t>
      </w:r>
      <w:r w:rsidR="00B919FC">
        <w:t xml:space="preserve"> on the CVOC plume</w:t>
      </w:r>
      <w:r w:rsidR="00810B8B">
        <w:t xml:space="preserve">. The following sections use this </w:t>
      </w:r>
      <w:r w:rsidR="00E33264">
        <w:t xml:space="preserve">schematic </w:t>
      </w:r>
      <w:r w:rsidR="00810B8B">
        <w:t xml:space="preserve">tool to </w:t>
      </w:r>
      <w:r w:rsidR="009F25EB">
        <w:t xml:space="preserve">illustrate </w:t>
      </w:r>
      <w:r w:rsidR="002E0160">
        <w:t>the</w:t>
      </w:r>
      <w:r w:rsidR="00E33264">
        <w:t xml:space="preserve"> effect that the</w:t>
      </w:r>
      <w:r w:rsidR="002E0160">
        <w:t xml:space="preserve"> system optimization adjustments </w:t>
      </w:r>
      <w:r w:rsidR="00E33264">
        <w:t>have had on CVOC concentrations at the Site.</w:t>
      </w:r>
    </w:p>
    <w:p w14:paraId="58EFE657" w14:textId="5C3BBD9F" w:rsidR="001656D5" w:rsidRDefault="001253E3" w:rsidP="001656D5">
      <w:pPr>
        <w:pStyle w:val="Heading3"/>
      </w:pPr>
      <w:r>
        <w:t xml:space="preserve">Shallow Aquifer </w:t>
      </w:r>
    </w:p>
    <w:p w14:paraId="7C76023A" w14:textId="0170A17D" w:rsidR="004412F6" w:rsidRDefault="00731E27" w:rsidP="001656D5">
      <w:r>
        <w:t xml:space="preserve">To better understand the </w:t>
      </w:r>
      <w:r w:rsidR="00D63869">
        <w:t>relationship between TOC</w:t>
      </w:r>
      <w:r w:rsidR="005E0D96">
        <w:t xml:space="preserve"> concentrations</w:t>
      </w:r>
      <w:r w:rsidR="00684242">
        <w:t xml:space="preserve">, </w:t>
      </w:r>
      <w:r w:rsidR="00A75A37">
        <w:t>C</w:t>
      </w:r>
      <w:r w:rsidR="00D63869">
        <w:t xml:space="preserve">VOC concentrations, </w:t>
      </w:r>
      <w:r w:rsidR="00684242">
        <w:t>and molar mass present at the Site</w:t>
      </w:r>
      <w:r w:rsidR="00D63869">
        <w:t xml:space="preserve">, </w:t>
      </w:r>
      <w:r w:rsidR="00790E5D">
        <w:t xml:space="preserve">the data from </w:t>
      </w:r>
      <w:r w:rsidR="00D63869">
        <w:t xml:space="preserve">three key wells in the shallow aquifer </w:t>
      </w:r>
      <w:r w:rsidR="00790E5D">
        <w:t>was plotted into stack charts</w:t>
      </w:r>
      <w:r w:rsidR="00B1254B">
        <w:t xml:space="preserve"> using the method described above</w:t>
      </w:r>
      <w:r w:rsidR="00790E5D">
        <w:t xml:space="preserve">. </w:t>
      </w:r>
      <w:r w:rsidR="007504B9">
        <w:t xml:space="preserve">The first well that was identified as a good example for the dechlorination process </w:t>
      </w:r>
      <w:r w:rsidR="000973C3">
        <w:t xml:space="preserve">facilitated by the bioremediation and recirculation system was MW-6, presented </w:t>
      </w:r>
      <w:r w:rsidR="000973C3" w:rsidRPr="00E11DE2">
        <w:t xml:space="preserve">in </w:t>
      </w:r>
      <w:r w:rsidR="000973C3" w:rsidRPr="00DF7ACE">
        <w:t xml:space="preserve">Figure </w:t>
      </w:r>
      <w:r w:rsidR="001A6872" w:rsidRPr="00DF7ACE">
        <w:t>1</w:t>
      </w:r>
      <w:r w:rsidR="00A952C2" w:rsidRPr="00DF7ACE">
        <w:t>6</w:t>
      </w:r>
      <w:r w:rsidR="002520C2" w:rsidRPr="00E11DE2">
        <w:t>.</w:t>
      </w:r>
      <w:r w:rsidR="002520C2">
        <w:t xml:space="preserve"> In this figure, PCE and its daughter products </w:t>
      </w:r>
      <w:r w:rsidR="00D3141F">
        <w:t xml:space="preserve">are shown in different colors over time as a percentage of the total </w:t>
      </w:r>
      <w:r w:rsidR="00B87221">
        <w:t>molecular concentration</w:t>
      </w:r>
      <w:r w:rsidR="00285863">
        <w:t xml:space="preserve">. The total molar mass is </w:t>
      </w:r>
      <w:r w:rsidR="00B87221">
        <w:t xml:space="preserve">plotted as a </w:t>
      </w:r>
      <w:r w:rsidR="00D919D9">
        <w:t xml:space="preserve">dark </w:t>
      </w:r>
      <w:r w:rsidR="00767BD7">
        <w:t xml:space="preserve">blue </w:t>
      </w:r>
      <w:r w:rsidR="00B87221">
        <w:t xml:space="preserve">line. </w:t>
      </w:r>
      <w:r w:rsidR="00285863">
        <w:t xml:space="preserve">The </w:t>
      </w:r>
      <w:r w:rsidR="00D919D9">
        <w:t xml:space="preserve">green </w:t>
      </w:r>
      <w:r w:rsidR="004B31D0">
        <w:t>line shows the TOC concentrations over time</w:t>
      </w:r>
      <w:r w:rsidR="00C21C50">
        <w:t>,</w:t>
      </w:r>
      <w:r w:rsidR="004B31D0">
        <w:t xml:space="preserve"> and the </w:t>
      </w:r>
      <w:r w:rsidR="00B87221">
        <w:t xml:space="preserve">shaded region between </w:t>
      </w:r>
      <w:r w:rsidR="00BF052E">
        <w:t>20</w:t>
      </w:r>
      <w:r w:rsidR="005606AA">
        <w:t xml:space="preserve"> to </w:t>
      </w:r>
      <w:r w:rsidR="0037316F">
        <w:t>5</w:t>
      </w:r>
      <w:r w:rsidR="00BF052E">
        <w:t>0</w:t>
      </w:r>
      <w:r w:rsidR="00A422FD">
        <w:t xml:space="preserve"> mg/L</w:t>
      </w:r>
      <w:r w:rsidR="000973C3">
        <w:t xml:space="preserve"> </w:t>
      </w:r>
      <w:r w:rsidR="00A422FD">
        <w:t>shows the optimal TOC concentrations</w:t>
      </w:r>
      <w:r w:rsidR="00767BD7">
        <w:t>.</w:t>
      </w:r>
      <w:r w:rsidR="00A87C05">
        <w:t xml:space="preserve"> </w:t>
      </w:r>
      <w:r w:rsidR="00FA1CEA">
        <w:t xml:space="preserve">Figure 16 illustrates that </w:t>
      </w:r>
      <w:r w:rsidR="00C854E2">
        <w:t xml:space="preserve">between May 2019 and January </w:t>
      </w:r>
      <w:r w:rsidR="00216BF0">
        <w:t xml:space="preserve">2021, </w:t>
      </w:r>
      <w:r w:rsidR="00FA1CEA">
        <w:t xml:space="preserve">the TOC concentrations </w:t>
      </w:r>
      <w:r w:rsidR="00216BF0">
        <w:t xml:space="preserve">are </w:t>
      </w:r>
      <w:r w:rsidR="00FA1CEA">
        <w:t xml:space="preserve">within the optimal </w:t>
      </w:r>
      <w:r w:rsidR="0037316F">
        <w:t>range (20</w:t>
      </w:r>
      <w:r w:rsidR="00095ACC">
        <w:t xml:space="preserve"> to </w:t>
      </w:r>
      <w:r w:rsidR="00B96043">
        <w:t>50 mg/L)</w:t>
      </w:r>
      <w:r w:rsidR="00491232">
        <w:t xml:space="preserve"> that coincide with a significant decline of </w:t>
      </w:r>
      <w:r w:rsidR="00B96043">
        <w:t>total molar concentrations</w:t>
      </w:r>
      <w:r w:rsidR="00C21C50">
        <w:t>,</w:t>
      </w:r>
      <w:r w:rsidR="00B96043">
        <w:t xml:space="preserve"> and </w:t>
      </w:r>
      <w:r w:rsidR="00491232">
        <w:t xml:space="preserve">there is a </w:t>
      </w:r>
      <w:r w:rsidR="00F406C4">
        <w:t>greater proportion of daughter product</w:t>
      </w:r>
      <w:r w:rsidR="006A5C68">
        <w:t xml:space="preserve">s DCE and </w:t>
      </w:r>
      <w:r w:rsidR="00B56A6D">
        <w:t>VC</w:t>
      </w:r>
      <w:r w:rsidR="00491232">
        <w:t xml:space="preserve">, which indicate that the dechlorination process is occurring. </w:t>
      </w:r>
      <w:r w:rsidR="00CC46EF">
        <w:t>While the TOC concentration may not currently be in the ideal range, the conditions in the well are overall as they should be with low DO and negative ORP. Given these conditions</w:t>
      </w:r>
      <w:r w:rsidR="00C21C50">
        <w:t>,</w:t>
      </w:r>
      <w:r w:rsidR="00CC46EF">
        <w:t xml:space="preserve"> it is expected that the total </w:t>
      </w:r>
      <w:r w:rsidR="00484B74">
        <w:t xml:space="preserve">molar </w:t>
      </w:r>
      <w:r w:rsidR="00CC46EF">
        <w:t>concentration of the VOCs will continue to decrease.</w:t>
      </w:r>
    </w:p>
    <w:p w14:paraId="19D194B9" w14:textId="34968B78" w:rsidR="00491232" w:rsidRDefault="00491232" w:rsidP="00755F21">
      <w:r>
        <w:t xml:space="preserve">The data </w:t>
      </w:r>
      <w:r w:rsidR="00CC46EF">
        <w:t xml:space="preserve">from MW-6 </w:t>
      </w:r>
      <w:r>
        <w:t xml:space="preserve">suggest that </w:t>
      </w:r>
      <w:r w:rsidR="008215D7">
        <w:t>the system is effective but only if optimal TOC concentrations are achieved</w:t>
      </w:r>
      <w:r w:rsidR="00904467">
        <w:t xml:space="preserve">. In April 2024, none of the other wells </w:t>
      </w:r>
      <w:r w:rsidR="007143CA">
        <w:t xml:space="preserve">contained TOC concentrations within </w:t>
      </w:r>
      <w:r w:rsidR="00693A37">
        <w:t xml:space="preserve">the desired range; therefore, it was concluded that </w:t>
      </w:r>
      <w:r w:rsidR="0071638D">
        <w:t xml:space="preserve">the </w:t>
      </w:r>
      <w:r w:rsidR="00F75FA2" w:rsidRPr="00F75FA2">
        <w:t xml:space="preserve">CarBstrate </w:t>
      </w:r>
      <w:r w:rsidR="0071638D">
        <w:t xml:space="preserve">was being injected at too low of a concentration across the Site to be effective. System optimization changes </w:t>
      </w:r>
      <w:r w:rsidR="00A16349">
        <w:t xml:space="preserve">included </w:t>
      </w:r>
      <w:r w:rsidR="00A10BBD">
        <w:t xml:space="preserve">injecting </w:t>
      </w:r>
      <w:r w:rsidR="00A16349" w:rsidRPr="00F75FA2">
        <w:lastRenderedPageBreak/>
        <w:t>CarBstrate in a more concentrated area</w:t>
      </w:r>
      <w:r w:rsidR="0047174D">
        <w:t xml:space="preserve"> and focused on an area with the greatest CVOC concentrations </w:t>
      </w:r>
      <w:r w:rsidR="00A16349" w:rsidRPr="00F75FA2">
        <w:t xml:space="preserve">instead of being diluted across the whole </w:t>
      </w:r>
      <w:r w:rsidR="00A10BBD">
        <w:t xml:space="preserve">Site. </w:t>
      </w:r>
      <w:r w:rsidR="0047174D">
        <w:t xml:space="preserve">This change was </w:t>
      </w:r>
      <w:r w:rsidR="00C035B6">
        <w:t>made</w:t>
      </w:r>
      <w:r w:rsidR="00D36B23">
        <w:t xml:space="preserve"> immediately after the April 2024 sampling event.</w:t>
      </w:r>
    </w:p>
    <w:p w14:paraId="2A1502D5" w14:textId="33FF3342" w:rsidR="00151923" w:rsidRDefault="000942EB" w:rsidP="00755F21">
      <w:r>
        <w:t xml:space="preserve">Stacked molar composition charts were developed for </w:t>
      </w:r>
      <w:r w:rsidR="00431C1A">
        <w:t>two wells</w:t>
      </w:r>
      <w:r w:rsidR="00495768">
        <w:t>, MW-7 and MW-4R,</w:t>
      </w:r>
      <w:r w:rsidR="00431C1A">
        <w:t xml:space="preserve"> that </w:t>
      </w:r>
      <w:r w:rsidR="001B1C73">
        <w:t xml:space="preserve">were within the </w:t>
      </w:r>
      <w:r w:rsidR="00495768">
        <w:t>area with the greatest CVOC concentrations and</w:t>
      </w:r>
      <w:r w:rsidR="00431C1A">
        <w:t xml:space="preserve"> have </w:t>
      </w:r>
      <w:r w:rsidR="00C10C05">
        <w:t>positively responded to optimization of the treatment system</w:t>
      </w:r>
      <w:r w:rsidR="00573457">
        <w:t xml:space="preserve">. </w:t>
      </w:r>
      <w:r w:rsidR="00495768">
        <w:t>R</w:t>
      </w:r>
      <w:r w:rsidR="00573457">
        <w:t xml:space="preserve">esults </w:t>
      </w:r>
      <w:r w:rsidR="00495768">
        <w:t xml:space="preserve">for MW-7 and MW-4R </w:t>
      </w:r>
      <w:r w:rsidR="00573457">
        <w:t xml:space="preserve">are </w:t>
      </w:r>
      <w:r w:rsidR="00431C1A" w:rsidRPr="00E11DE2">
        <w:t xml:space="preserve">presented in </w:t>
      </w:r>
      <w:r w:rsidR="00431C1A" w:rsidRPr="00DF7ACE">
        <w:t>Figure</w:t>
      </w:r>
      <w:r w:rsidR="002A0508" w:rsidRPr="00DF7ACE">
        <w:t>s</w:t>
      </w:r>
      <w:r w:rsidR="00431C1A" w:rsidRPr="00DF7ACE">
        <w:t xml:space="preserve"> </w:t>
      </w:r>
      <w:r w:rsidR="001A6872" w:rsidRPr="00DF7ACE">
        <w:t>1</w:t>
      </w:r>
      <w:r w:rsidR="005A34B9" w:rsidRPr="00DF7ACE">
        <w:t>7</w:t>
      </w:r>
      <w:r w:rsidR="002A0508" w:rsidRPr="00DF7ACE">
        <w:t xml:space="preserve"> and </w:t>
      </w:r>
      <w:r w:rsidR="001A6872" w:rsidRPr="00E11DE2">
        <w:t>1</w:t>
      </w:r>
      <w:r w:rsidR="005A34B9" w:rsidRPr="00E11DE2">
        <w:t>8</w:t>
      </w:r>
      <w:r w:rsidR="008715BE">
        <w:t>,</w:t>
      </w:r>
      <w:r w:rsidR="002A0508" w:rsidRPr="00E11DE2">
        <w:t xml:space="preserve"> respectively</w:t>
      </w:r>
      <w:r w:rsidR="00431C1A" w:rsidRPr="00E11DE2">
        <w:t xml:space="preserve">. In </w:t>
      </w:r>
      <w:r w:rsidR="006C631A" w:rsidRPr="00E11DE2">
        <w:t xml:space="preserve">Figure </w:t>
      </w:r>
      <w:r w:rsidR="001A6872" w:rsidRPr="00E11DE2">
        <w:t>1</w:t>
      </w:r>
      <w:r w:rsidR="005A34B9" w:rsidRPr="00E11DE2">
        <w:t>7</w:t>
      </w:r>
      <w:r w:rsidR="00431C1A" w:rsidRPr="00E11DE2">
        <w:t xml:space="preserve">, </w:t>
      </w:r>
      <w:r w:rsidR="006C631A" w:rsidRPr="00E11DE2">
        <w:t>showing</w:t>
      </w:r>
      <w:r w:rsidR="006C631A">
        <w:t xml:space="preserve"> MW-7, t</w:t>
      </w:r>
      <w:r w:rsidR="00431C1A">
        <w:t>he line representing the total molecular concentration shows a</w:t>
      </w:r>
      <w:r w:rsidR="00F23B42">
        <w:t xml:space="preserve"> decline</w:t>
      </w:r>
      <w:r w:rsidR="00431C1A">
        <w:t xml:space="preserve"> in total </w:t>
      </w:r>
      <w:r w:rsidR="007821CB">
        <w:t>molar mass</w:t>
      </w:r>
      <w:r w:rsidR="00431C1A">
        <w:t xml:space="preserve"> </w:t>
      </w:r>
      <w:r w:rsidR="008D5E64">
        <w:t>beginning in 20</w:t>
      </w:r>
      <w:r w:rsidR="00420480">
        <w:t xml:space="preserve">14; however, there was a rebound in </w:t>
      </w:r>
      <w:r w:rsidR="007821CB">
        <w:t xml:space="preserve">total </w:t>
      </w:r>
      <w:r w:rsidR="00136046">
        <w:t>CVOC molar mass</w:t>
      </w:r>
      <w:r w:rsidR="00420480">
        <w:t xml:space="preserve"> in 2022, which is likely related to the system being offline during the initial construction of the </w:t>
      </w:r>
      <w:r w:rsidR="00CD7185">
        <w:t xml:space="preserve">building. Prior </w:t>
      </w:r>
      <w:r w:rsidR="00131AAE">
        <w:t>September 2024 sampling</w:t>
      </w:r>
      <w:r w:rsidR="006431B8">
        <w:t xml:space="preserve"> event</w:t>
      </w:r>
      <w:r w:rsidR="00131AAE">
        <w:t xml:space="preserve">, TOC concentrations were </w:t>
      </w:r>
      <w:r w:rsidR="006431B8">
        <w:t>not within the desired range. How</w:t>
      </w:r>
      <w:r w:rsidR="00C533A3">
        <w:t xml:space="preserve">ever, after system adjustments were made in late April 2024, </w:t>
      </w:r>
      <w:r w:rsidR="00436C87">
        <w:t>the</w:t>
      </w:r>
      <w:r w:rsidR="008D5E64">
        <w:t xml:space="preserve"> </w:t>
      </w:r>
      <w:r w:rsidR="00BA366E">
        <w:t>TOC</w:t>
      </w:r>
      <w:r w:rsidR="00431C1A">
        <w:t xml:space="preserve"> concentration shows a </w:t>
      </w:r>
      <w:r w:rsidR="00BA366E">
        <w:t>sharp increase</w:t>
      </w:r>
      <w:r w:rsidR="00B100D0">
        <w:t xml:space="preserve">, reaching the </w:t>
      </w:r>
      <w:r w:rsidR="00431C1A">
        <w:t>ideal TOC range</w:t>
      </w:r>
      <w:r w:rsidR="00B100D0">
        <w:t xml:space="preserve"> for the first time</w:t>
      </w:r>
      <w:r w:rsidR="00431C1A">
        <w:t xml:space="preserve">. </w:t>
      </w:r>
      <w:r w:rsidR="00436C87">
        <w:t xml:space="preserve">As a result, the </w:t>
      </w:r>
      <w:r w:rsidR="00105525">
        <w:t xml:space="preserve">total molar </w:t>
      </w:r>
      <w:r w:rsidR="00F1107C">
        <w:t xml:space="preserve">concentrations </w:t>
      </w:r>
      <w:r w:rsidR="00105525">
        <w:t>declined to an all-time low</w:t>
      </w:r>
      <w:r w:rsidR="007C3AF8">
        <w:t>,</w:t>
      </w:r>
      <w:r w:rsidR="00105525">
        <w:t xml:space="preserve"> with </w:t>
      </w:r>
      <w:r w:rsidR="00EC0C96">
        <w:t>PCE concentration</w:t>
      </w:r>
      <w:r w:rsidR="00FB3099">
        <w:t xml:space="preserve">s </w:t>
      </w:r>
      <w:r w:rsidR="005C044D">
        <w:t xml:space="preserve">decreasing </w:t>
      </w:r>
      <w:r w:rsidR="00FB3099">
        <w:t>from 1,600</w:t>
      </w:r>
      <w:r w:rsidR="00FB3099" w:rsidRPr="00FB3099">
        <w:rPr>
          <w:rFonts w:cs="Calibri"/>
          <w:spacing w:val="2"/>
        </w:rPr>
        <w:t xml:space="preserve"> </w:t>
      </w:r>
      <w:r w:rsidR="00FB3099" w:rsidRPr="00CE0104">
        <w:rPr>
          <w:rFonts w:cs="Calibri"/>
          <w:spacing w:val="2"/>
        </w:rPr>
        <w:t>µg</w:t>
      </w:r>
      <w:r w:rsidR="00FB3099" w:rsidRPr="00CE0104">
        <w:rPr>
          <w:spacing w:val="2"/>
        </w:rPr>
        <w:t>/L</w:t>
      </w:r>
      <w:r w:rsidR="00FB3099">
        <w:rPr>
          <w:spacing w:val="2"/>
        </w:rPr>
        <w:t xml:space="preserve"> in April 2024 to 2.2</w:t>
      </w:r>
      <w:r w:rsidR="00FB3099" w:rsidRPr="00FB3099">
        <w:rPr>
          <w:rFonts w:cs="Calibri"/>
          <w:spacing w:val="2"/>
        </w:rPr>
        <w:t xml:space="preserve"> </w:t>
      </w:r>
      <w:r w:rsidR="00FB3099" w:rsidRPr="00CE0104">
        <w:rPr>
          <w:rFonts w:cs="Calibri"/>
          <w:spacing w:val="2"/>
        </w:rPr>
        <w:t>µg</w:t>
      </w:r>
      <w:r w:rsidR="00FB3099" w:rsidRPr="00CE0104">
        <w:rPr>
          <w:spacing w:val="2"/>
        </w:rPr>
        <w:t>/L</w:t>
      </w:r>
      <w:r w:rsidR="00FB3099">
        <w:rPr>
          <w:spacing w:val="2"/>
        </w:rPr>
        <w:t xml:space="preserve"> in September 2024</w:t>
      </w:r>
      <w:r w:rsidR="001D213A">
        <w:rPr>
          <w:spacing w:val="2"/>
        </w:rPr>
        <w:t xml:space="preserve"> for MW-7</w:t>
      </w:r>
      <w:r w:rsidR="00FB3099">
        <w:rPr>
          <w:spacing w:val="2"/>
        </w:rPr>
        <w:t xml:space="preserve">. </w:t>
      </w:r>
      <w:r w:rsidR="00151923">
        <w:rPr>
          <w:spacing w:val="2"/>
        </w:rPr>
        <w:t xml:space="preserve">In addition, Figure 17 </w:t>
      </w:r>
      <w:r w:rsidR="00AB2234">
        <w:rPr>
          <w:spacing w:val="2"/>
        </w:rPr>
        <w:t xml:space="preserve">shows that </w:t>
      </w:r>
      <w:r w:rsidR="003B633B" w:rsidRPr="003B633B">
        <w:rPr>
          <w:spacing w:val="2"/>
        </w:rPr>
        <w:t xml:space="preserve">anaerobic biodegradation of chlorinated compounds </w:t>
      </w:r>
      <w:r w:rsidR="005C044D">
        <w:rPr>
          <w:spacing w:val="2"/>
        </w:rPr>
        <w:t xml:space="preserve">is occurring </w:t>
      </w:r>
      <w:r w:rsidR="00566883">
        <w:rPr>
          <w:spacing w:val="2"/>
        </w:rPr>
        <w:t xml:space="preserve">due </w:t>
      </w:r>
      <w:r w:rsidR="00350F63">
        <w:rPr>
          <w:spacing w:val="2"/>
        </w:rPr>
        <w:t xml:space="preserve">to </w:t>
      </w:r>
      <w:r w:rsidR="00566883">
        <w:rPr>
          <w:spacing w:val="2"/>
        </w:rPr>
        <w:t xml:space="preserve">the </w:t>
      </w:r>
      <w:r w:rsidR="002C7BA7">
        <w:rPr>
          <w:spacing w:val="2"/>
        </w:rPr>
        <w:t xml:space="preserve">total molar </w:t>
      </w:r>
      <w:r w:rsidR="00602B37">
        <w:rPr>
          <w:spacing w:val="2"/>
        </w:rPr>
        <w:t xml:space="preserve">composition </w:t>
      </w:r>
      <w:r w:rsidR="006F0E1F">
        <w:rPr>
          <w:spacing w:val="2"/>
        </w:rPr>
        <w:t>consisting of</w:t>
      </w:r>
      <w:r w:rsidR="002C7BA7">
        <w:rPr>
          <w:spacing w:val="2"/>
        </w:rPr>
        <w:t xml:space="preserve"> a </w:t>
      </w:r>
      <w:r w:rsidR="00566883">
        <w:rPr>
          <w:spacing w:val="2"/>
        </w:rPr>
        <w:t xml:space="preserve">larger </w:t>
      </w:r>
      <w:r w:rsidR="00D97C5A">
        <w:rPr>
          <w:spacing w:val="2"/>
        </w:rPr>
        <w:t>percentage</w:t>
      </w:r>
      <w:r w:rsidR="00566883">
        <w:rPr>
          <w:spacing w:val="2"/>
        </w:rPr>
        <w:t xml:space="preserve"> of DCE and </w:t>
      </w:r>
      <w:r w:rsidR="00B56A6D">
        <w:rPr>
          <w:spacing w:val="2"/>
        </w:rPr>
        <w:t>VC</w:t>
      </w:r>
      <w:r w:rsidR="006F0E1F">
        <w:rPr>
          <w:spacing w:val="2"/>
        </w:rPr>
        <w:t>,</w:t>
      </w:r>
      <w:r w:rsidR="00566883">
        <w:rPr>
          <w:spacing w:val="2"/>
        </w:rPr>
        <w:t xml:space="preserve"> </w:t>
      </w:r>
      <w:r w:rsidR="006F0E1F">
        <w:rPr>
          <w:spacing w:val="2"/>
        </w:rPr>
        <w:t xml:space="preserve">as </w:t>
      </w:r>
      <w:r w:rsidR="00350F63">
        <w:rPr>
          <w:spacing w:val="2"/>
        </w:rPr>
        <w:t>shown during the September 2024 event.</w:t>
      </w:r>
      <w:r w:rsidR="00D97C5A">
        <w:rPr>
          <w:spacing w:val="2"/>
        </w:rPr>
        <w:t xml:space="preserve"> Despite the increase in DCE and </w:t>
      </w:r>
      <w:r w:rsidR="00B56A6D">
        <w:rPr>
          <w:spacing w:val="2"/>
        </w:rPr>
        <w:t>VC</w:t>
      </w:r>
      <w:r w:rsidR="00D97C5A">
        <w:rPr>
          <w:spacing w:val="2"/>
        </w:rPr>
        <w:t xml:space="preserve"> concentrations, the total molar </w:t>
      </w:r>
      <w:r w:rsidR="00C34276">
        <w:rPr>
          <w:spacing w:val="2"/>
        </w:rPr>
        <w:t xml:space="preserve">concentration </w:t>
      </w:r>
      <w:r w:rsidR="00D97C5A">
        <w:rPr>
          <w:spacing w:val="2"/>
        </w:rPr>
        <w:t>has declined</w:t>
      </w:r>
      <w:r w:rsidR="0057466E">
        <w:rPr>
          <w:spacing w:val="2"/>
        </w:rPr>
        <w:t xml:space="preserve"> significantly</w:t>
      </w:r>
      <w:r w:rsidR="004A5F14">
        <w:rPr>
          <w:spacing w:val="2"/>
        </w:rPr>
        <w:t xml:space="preserve"> and ethene </w:t>
      </w:r>
      <w:r w:rsidR="00775751">
        <w:rPr>
          <w:spacing w:val="2"/>
        </w:rPr>
        <w:t>concentrations are detected (Table 1)</w:t>
      </w:r>
      <w:r w:rsidR="0057466E">
        <w:rPr>
          <w:spacing w:val="2"/>
        </w:rPr>
        <w:t xml:space="preserve">, which indicates that </w:t>
      </w:r>
      <w:r w:rsidR="00B56A6D">
        <w:rPr>
          <w:spacing w:val="2"/>
        </w:rPr>
        <w:t>VC</w:t>
      </w:r>
      <w:r w:rsidR="0057466E">
        <w:rPr>
          <w:spacing w:val="2"/>
        </w:rPr>
        <w:t xml:space="preserve"> is being </w:t>
      </w:r>
      <w:r w:rsidR="00076287">
        <w:rPr>
          <w:spacing w:val="2"/>
        </w:rPr>
        <w:t xml:space="preserve">dechlorinated </w:t>
      </w:r>
      <w:r w:rsidR="00076287" w:rsidRPr="00076287">
        <w:rPr>
          <w:spacing w:val="2"/>
        </w:rPr>
        <w:t>to the final degradation product,</w:t>
      </w:r>
      <w:r w:rsidR="004A5F14">
        <w:rPr>
          <w:spacing w:val="2"/>
        </w:rPr>
        <w:t xml:space="preserve"> </w:t>
      </w:r>
      <w:r w:rsidR="00076287" w:rsidRPr="00076287">
        <w:rPr>
          <w:spacing w:val="2"/>
        </w:rPr>
        <w:t>ethene</w:t>
      </w:r>
      <w:r w:rsidR="00076287">
        <w:rPr>
          <w:spacing w:val="2"/>
        </w:rPr>
        <w:t>.</w:t>
      </w:r>
      <w:r w:rsidR="00566883">
        <w:rPr>
          <w:spacing w:val="2"/>
        </w:rPr>
        <w:t xml:space="preserve"> </w:t>
      </w:r>
      <w:r w:rsidR="00D83B04">
        <w:t>T</w:t>
      </w:r>
      <w:r w:rsidR="00431C1A">
        <w:t>he conditions in th</w:t>
      </w:r>
      <w:r w:rsidR="00D83B04">
        <w:t>is</w:t>
      </w:r>
      <w:r w:rsidR="00431C1A">
        <w:t xml:space="preserve"> well are overall as they should be with low DO</w:t>
      </w:r>
      <w:r w:rsidR="004617F2">
        <w:t>,</w:t>
      </w:r>
      <w:r w:rsidR="00431C1A">
        <w:t xml:space="preserve"> negative ORP</w:t>
      </w:r>
      <w:r w:rsidR="004617F2">
        <w:t>, and increasing TOC</w:t>
      </w:r>
      <w:r w:rsidR="00431C1A">
        <w:t>. Given these conditions</w:t>
      </w:r>
      <w:r w:rsidR="00C34276">
        <w:t>,</w:t>
      </w:r>
      <w:r w:rsidR="00431C1A">
        <w:t xml:space="preserve"> it is expected that the total molecular concentration of the </w:t>
      </w:r>
      <w:r w:rsidR="00775751">
        <w:t>C</w:t>
      </w:r>
      <w:r w:rsidR="00431C1A">
        <w:t xml:space="preserve">VOCs will continue to </w:t>
      </w:r>
      <w:r w:rsidR="00E16211">
        <w:t xml:space="preserve">biodegrade </w:t>
      </w:r>
      <w:r w:rsidR="003701C6">
        <w:t>to ethene</w:t>
      </w:r>
      <w:r w:rsidR="00431C1A">
        <w:t xml:space="preserve">. </w:t>
      </w:r>
    </w:p>
    <w:p w14:paraId="562FF869" w14:textId="1E605652" w:rsidR="00431C1A" w:rsidRDefault="00A36ED8" w:rsidP="00755F21">
      <w:r>
        <w:t xml:space="preserve">TOC and </w:t>
      </w:r>
      <w:r w:rsidR="007718B7">
        <w:t xml:space="preserve">total molar data for </w:t>
      </w:r>
      <w:r>
        <w:t xml:space="preserve">MW-4R </w:t>
      </w:r>
      <w:r w:rsidR="007718B7">
        <w:t xml:space="preserve">show similar results </w:t>
      </w:r>
      <w:r w:rsidR="007718B7" w:rsidRPr="00E11DE2">
        <w:t xml:space="preserve">in </w:t>
      </w:r>
      <w:r w:rsidR="004617F2" w:rsidRPr="00DF7ACE">
        <w:t xml:space="preserve">Figure </w:t>
      </w:r>
      <w:r w:rsidR="001A6872">
        <w:t>1</w:t>
      </w:r>
      <w:r w:rsidR="005A34B9">
        <w:t>8</w:t>
      </w:r>
      <w:r w:rsidR="007718B7">
        <w:t xml:space="preserve">. </w:t>
      </w:r>
      <w:r w:rsidR="00A172CA">
        <w:t>T</w:t>
      </w:r>
      <w:r w:rsidR="004617F2">
        <w:t xml:space="preserve">he total molecular concentration shows a </w:t>
      </w:r>
      <w:r w:rsidR="008C0509">
        <w:t xml:space="preserve">gradual decline in total mass </w:t>
      </w:r>
      <w:r w:rsidR="007821CB">
        <w:t>from 2019 to 2021, with a</w:t>
      </w:r>
      <w:r w:rsidR="009C1AF4">
        <w:t xml:space="preserve"> slight</w:t>
      </w:r>
      <w:r w:rsidR="007821CB">
        <w:t xml:space="preserve"> rebound in total molar </w:t>
      </w:r>
      <w:r w:rsidR="003701C6">
        <w:t>concentration</w:t>
      </w:r>
      <w:r w:rsidR="00462334">
        <w:t xml:space="preserve"> </w:t>
      </w:r>
      <w:r w:rsidR="007821CB">
        <w:t>in 2022 related to the system being offline</w:t>
      </w:r>
      <w:r w:rsidR="00136C55">
        <w:t xml:space="preserve"> during construction</w:t>
      </w:r>
      <w:r w:rsidR="007821CB">
        <w:t xml:space="preserve">. </w:t>
      </w:r>
      <w:r w:rsidR="009C1AF4">
        <w:t xml:space="preserve">However, a significant </w:t>
      </w:r>
      <w:r w:rsidR="004617F2">
        <w:t xml:space="preserve">decline in total </w:t>
      </w:r>
      <w:r w:rsidR="00394ED1">
        <w:t>C</w:t>
      </w:r>
      <w:r w:rsidR="004617F2">
        <w:t>VOC</w:t>
      </w:r>
      <w:r w:rsidR="00394ED1">
        <w:t xml:space="preserve"> molar mass </w:t>
      </w:r>
      <w:r w:rsidR="00A368F8">
        <w:t xml:space="preserve">shown for </w:t>
      </w:r>
      <w:r w:rsidR="001F2896">
        <w:t xml:space="preserve">the </w:t>
      </w:r>
      <w:r w:rsidR="00462334">
        <w:t xml:space="preserve">September 2024 </w:t>
      </w:r>
      <w:r w:rsidR="001F2896">
        <w:t>sampling event</w:t>
      </w:r>
      <w:r w:rsidR="00610B21">
        <w:t>, reaching an all-time low</w:t>
      </w:r>
      <w:r w:rsidR="004617F2">
        <w:t xml:space="preserve">. </w:t>
      </w:r>
      <w:r w:rsidR="00A368F8">
        <w:t>Th</w:t>
      </w:r>
      <w:r w:rsidR="00AF2A68">
        <w:t>e</w:t>
      </w:r>
      <w:r w:rsidR="00A368F8">
        <w:t xml:space="preserve"> decline in total molar </w:t>
      </w:r>
      <w:r w:rsidR="00462334">
        <w:t xml:space="preserve">concentration </w:t>
      </w:r>
      <w:r w:rsidR="00F4131F">
        <w:t xml:space="preserve">coincides with </w:t>
      </w:r>
      <w:r w:rsidR="004617F2">
        <w:t xml:space="preserve">a sharp increase </w:t>
      </w:r>
      <w:r w:rsidR="0033229D">
        <w:t>of</w:t>
      </w:r>
      <w:r w:rsidR="00F4131F">
        <w:t xml:space="preserve"> TOC concentration</w:t>
      </w:r>
      <w:r w:rsidR="0033229D">
        <w:t>s,</w:t>
      </w:r>
      <w:r w:rsidR="00F4131F">
        <w:t xml:space="preserve"> </w:t>
      </w:r>
      <w:r w:rsidR="004617F2">
        <w:t>since the April sampling event</w:t>
      </w:r>
      <w:r w:rsidR="0033229D">
        <w:t>,</w:t>
      </w:r>
      <w:r w:rsidR="00F4131F">
        <w:t xml:space="preserve"> which </w:t>
      </w:r>
      <w:r w:rsidR="0033229D">
        <w:t>are</w:t>
      </w:r>
      <w:r w:rsidR="00F4131F">
        <w:t xml:space="preserve"> </w:t>
      </w:r>
      <w:r w:rsidR="00AF2A68">
        <w:t xml:space="preserve">slightly higher but meet </w:t>
      </w:r>
      <w:r w:rsidR="004617F2">
        <w:t xml:space="preserve">the ideal TOC range for the first time. </w:t>
      </w:r>
      <w:r w:rsidR="00065E8F">
        <w:t>Similar to MW-7,</w:t>
      </w:r>
      <w:r w:rsidR="00950082">
        <w:rPr>
          <w:spacing w:val="2"/>
        </w:rPr>
        <w:t xml:space="preserve"> </w:t>
      </w:r>
      <w:r w:rsidR="00BF00E7">
        <w:rPr>
          <w:spacing w:val="2"/>
        </w:rPr>
        <w:t>F</w:t>
      </w:r>
      <w:r w:rsidR="00950082">
        <w:rPr>
          <w:spacing w:val="2"/>
        </w:rPr>
        <w:t xml:space="preserve">igure 18 shows that </w:t>
      </w:r>
      <w:r w:rsidR="00950082" w:rsidRPr="003B633B">
        <w:rPr>
          <w:spacing w:val="2"/>
        </w:rPr>
        <w:t xml:space="preserve">anaerobic biodegradation of chlorinated compounds </w:t>
      </w:r>
      <w:r w:rsidR="00950082">
        <w:rPr>
          <w:spacing w:val="2"/>
        </w:rPr>
        <w:t xml:space="preserve">is occurring due to the larger percentage of DCE and </w:t>
      </w:r>
      <w:r w:rsidR="00B56A6D">
        <w:rPr>
          <w:spacing w:val="2"/>
        </w:rPr>
        <w:t>VC</w:t>
      </w:r>
      <w:r w:rsidR="00950082">
        <w:rPr>
          <w:spacing w:val="2"/>
        </w:rPr>
        <w:t xml:space="preserve"> shown during the September 2024 event.</w:t>
      </w:r>
      <w:r w:rsidR="00950082">
        <w:t xml:space="preserve"> </w:t>
      </w:r>
      <w:r w:rsidR="00065E8F">
        <w:t xml:space="preserve">Furthermore, </w:t>
      </w:r>
      <w:r w:rsidR="00AD4E07">
        <w:t xml:space="preserve">the detection of ethene </w:t>
      </w:r>
      <w:r w:rsidR="005B06A6">
        <w:t xml:space="preserve">in MW-4R indicate </w:t>
      </w:r>
      <w:r w:rsidR="005B06A6">
        <w:rPr>
          <w:spacing w:val="2"/>
        </w:rPr>
        <w:t xml:space="preserve">that </w:t>
      </w:r>
      <w:r w:rsidR="00B56A6D">
        <w:rPr>
          <w:spacing w:val="2"/>
        </w:rPr>
        <w:t>VC</w:t>
      </w:r>
      <w:r w:rsidR="005B06A6">
        <w:rPr>
          <w:spacing w:val="2"/>
        </w:rPr>
        <w:t xml:space="preserve"> is being dechlorinated</w:t>
      </w:r>
      <w:r w:rsidR="00D545D4">
        <w:rPr>
          <w:spacing w:val="2"/>
        </w:rPr>
        <w:t xml:space="preserve">. </w:t>
      </w:r>
      <w:r w:rsidR="00D83B04">
        <w:t>T</w:t>
      </w:r>
      <w:r w:rsidR="00431C1A">
        <w:t>he conditions in th</w:t>
      </w:r>
      <w:r w:rsidR="00D83B04">
        <w:t>is</w:t>
      </w:r>
      <w:r w:rsidR="00431C1A">
        <w:t xml:space="preserve"> well are overall as they should be with low DO</w:t>
      </w:r>
      <w:r w:rsidR="004617F2">
        <w:t>,</w:t>
      </w:r>
      <w:r w:rsidR="00431C1A">
        <w:t xml:space="preserve"> negative ORP</w:t>
      </w:r>
      <w:r w:rsidR="004617F2">
        <w:t>, and increasing TOC</w:t>
      </w:r>
      <w:r w:rsidR="00431C1A">
        <w:t>. Given these conditions</w:t>
      </w:r>
      <w:r w:rsidR="00BF00E7">
        <w:t>,</w:t>
      </w:r>
      <w:r w:rsidR="00431C1A">
        <w:t xml:space="preserve"> it is expected that the total molecular concentration of the VOCs will continue to </w:t>
      </w:r>
      <w:r w:rsidR="00E16211">
        <w:t>biodegrade to ethene</w:t>
      </w:r>
      <w:r w:rsidR="00431C1A">
        <w:t xml:space="preserve">.  </w:t>
      </w:r>
    </w:p>
    <w:p w14:paraId="10130ECD" w14:textId="19DF7F9A" w:rsidR="001253E3" w:rsidRDefault="001253E3" w:rsidP="001253E3">
      <w:pPr>
        <w:pStyle w:val="Heading3"/>
      </w:pPr>
      <w:r w:rsidRPr="00B60FA8">
        <w:t>Intermediate Aquifer</w:t>
      </w:r>
      <w:r>
        <w:t xml:space="preserve"> </w:t>
      </w:r>
    </w:p>
    <w:p w14:paraId="2FDC7C57" w14:textId="1E8BA8B6" w:rsidR="00303217" w:rsidRDefault="00C72ED5" w:rsidP="00303217">
      <w:r>
        <w:t>Compared with</w:t>
      </w:r>
      <w:r w:rsidR="004440A2">
        <w:t xml:space="preserve"> the shallow aquifer, the intermediate aquifer has fewer injection and extraction wells </w:t>
      </w:r>
      <w:r w:rsidR="003950FA">
        <w:t xml:space="preserve">that are more spread out from each other and nearby monitoring. </w:t>
      </w:r>
      <w:r w:rsidR="007D6F6D">
        <w:t>Because of</w:t>
      </w:r>
      <w:r w:rsidR="003950FA">
        <w:t xml:space="preserve"> these factors, there has been </w:t>
      </w:r>
      <w:r w:rsidR="00CF13D8">
        <w:t xml:space="preserve">slower plume degradation within this aquifer. </w:t>
      </w:r>
      <w:r w:rsidR="00F72524">
        <w:t xml:space="preserve">Generally, the </w:t>
      </w:r>
      <w:r w:rsidR="006F1570">
        <w:t xml:space="preserve">water quality conditions are </w:t>
      </w:r>
      <w:r w:rsidR="00FD477F">
        <w:t>supportive of anerobic dechlorination, with negative ORP and low DO</w:t>
      </w:r>
      <w:r w:rsidR="00FA7274">
        <w:t xml:space="preserve">, but require </w:t>
      </w:r>
      <w:r w:rsidR="00FA7274">
        <w:lastRenderedPageBreak/>
        <w:t xml:space="preserve">higher concentrations of TOC to increase the rate of </w:t>
      </w:r>
      <w:r w:rsidR="008A406C">
        <w:t xml:space="preserve">breakdown. </w:t>
      </w:r>
      <w:r w:rsidR="00D62038">
        <w:t xml:space="preserve">TOC concentrations in intermediate wells remain </w:t>
      </w:r>
      <w:r w:rsidR="00165836">
        <w:t>fairly stable over the last couple of years and have not shown the same increase in concentration as the shallow aquifer wells. In particular</w:t>
      </w:r>
      <w:r w:rsidR="008A0993">
        <w:t>,</w:t>
      </w:r>
      <w:r w:rsidR="00165836">
        <w:t xml:space="preserve"> </w:t>
      </w:r>
      <w:r w:rsidR="000E11ED">
        <w:t>HZ-MW-1</w:t>
      </w:r>
      <w:r w:rsidR="00F0335A">
        <w:t>5D</w:t>
      </w:r>
      <w:r w:rsidR="00165836">
        <w:t xml:space="preserve"> </w:t>
      </w:r>
      <w:r w:rsidR="008157B3">
        <w:t>has consistently contained the highest concentration of CVOCs</w:t>
      </w:r>
      <w:r w:rsidR="00F63D6C">
        <w:t>,</w:t>
      </w:r>
      <w:r w:rsidR="00163DC8">
        <w:t xml:space="preserve"> and while those concentrations are decreasing</w:t>
      </w:r>
      <w:r w:rsidR="00FA6917">
        <w:t xml:space="preserve">, there is more progress to be made. </w:t>
      </w:r>
      <w:r w:rsidR="00F63D6C">
        <w:t>Proposed</w:t>
      </w:r>
      <w:r w:rsidR="00FA6917">
        <w:t xml:space="preserve"> optimization </w:t>
      </w:r>
      <w:r w:rsidR="00F63D6C">
        <w:t xml:space="preserve">steps </w:t>
      </w:r>
      <w:r w:rsidR="00FA6917">
        <w:t xml:space="preserve">to address this hot spot </w:t>
      </w:r>
      <w:r w:rsidR="00F63D6C">
        <w:t>are</w:t>
      </w:r>
      <w:r w:rsidR="00FA6917">
        <w:t xml:space="preserve"> de</w:t>
      </w:r>
      <w:r w:rsidR="00C35949">
        <w:t xml:space="preserve">scribed in further detail below. </w:t>
      </w:r>
    </w:p>
    <w:p w14:paraId="2CB6AE1A" w14:textId="1D632FC1" w:rsidR="00D65D75" w:rsidRPr="00D65D75" w:rsidRDefault="00EC58CE" w:rsidP="00DF7ACE">
      <w:r>
        <w:t>B</w:t>
      </w:r>
      <w:r w:rsidR="00C35949">
        <w:t>etween the April and September monitoring events</w:t>
      </w:r>
      <w:r>
        <w:t>, it was determined</w:t>
      </w:r>
      <w:r w:rsidR="00C35949">
        <w:t xml:space="preserve"> </w:t>
      </w:r>
      <w:r w:rsidR="00D65D75" w:rsidRPr="00DF7ACE">
        <w:t>t</w:t>
      </w:r>
      <w:r w:rsidR="00C35949">
        <w:t>hat</w:t>
      </w:r>
      <w:r w:rsidR="00D65D75" w:rsidRPr="00DF7ACE">
        <w:t xml:space="preserve"> </w:t>
      </w:r>
      <w:r w:rsidR="000018F7">
        <w:t xml:space="preserve">well </w:t>
      </w:r>
      <w:r w:rsidR="00D65D75" w:rsidRPr="00DF7ACE">
        <w:t>S-MW-3R</w:t>
      </w:r>
      <w:r w:rsidR="00D65D75">
        <w:t>R</w:t>
      </w:r>
      <w:r w:rsidR="000018F7">
        <w:t xml:space="preserve"> had been damaged and was no longer </w:t>
      </w:r>
      <w:r>
        <w:t>screened across</w:t>
      </w:r>
      <w:r w:rsidR="000018F7">
        <w:t xml:space="preserve"> the intermediate aquifer. </w:t>
      </w:r>
      <w:r w:rsidR="0056740E">
        <w:t>The depth of the well was consistently measured as 19 feet</w:t>
      </w:r>
      <w:r w:rsidR="007B5A21">
        <w:t xml:space="preserve">; however, the </w:t>
      </w:r>
      <w:r w:rsidR="0056740E">
        <w:t xml:space="preserve">boring log for this well </w:t>
      </w:r>
      <w:r w:rsidR="007B5A21">
        <w:t xml:space="preserve">indicates that </w:t>
      </w:r>
      <w:r w:rsidR="0056740E">
        <w:t xml:space="preserve">the total depth </w:t>
      </w:r>
      <w:r w:rsidR="00B72A82">
        <w:t>was down to</w:t>
      </w:r>
      <w:r w:rsidR="0056740E" w:rsidDel="00B72A82">
        <w:t xml:space="preserve"> </w:t>
      </w:r>
      <w:r w:rsidR="0056740E">
        <w:t xml:space="preserve">39 </w:t>
      </w:r>
      <w:r w:rsidR="0056740E" w:rsidRPr="00EA0C2D">
        <w:t xml:space="preserve">feet. </w:t>
      </w:r>
      <w:r w:rsidR="00C23B79" w:rsidRPr="00EA0C2D">
        <w:t>It is unknown exactly when this well was cut off from its intended depth and aquifer</w:t>
      </w:r>
      <w:r w:rsidR="00C150F5" w:rsidRPr="00EA0C2D">
        <w:t xml:space="preserve">, but </w:t>
      </w:r>
      <w:r w:rsidR="005D7A6B">
        <w:t xml:space="preserve">it is likely that </w:t>
      </w:r>
      <w:r w:rsidR="00C150F5" w:rsidRPr="00EA0C2D">
        <w:t xml:space="preserve">the </w:t>
      </w:r>
      <w:r w:rsidR="005D7A6B">
        <w:t xml:space="preserve">groundwater results collected during the </w:t>
      </w:r>
      <w:r w:rsidR="00C150F5" w:rsidRPr="00EA0C2D">
        <w:t>April monitoring event time are not representative of the intermediate aquifer.</w:t>
      </w:r>
      <w:r w:rsidR="00C23B79" w:rsidRPr="00EA0C2D">
        <w:t xml:space="preserve"> </w:t>
      </w:r>
      <w:r w:rsidR="001F5B0B" w:rsidRPr="00EA0C2D">
        <w:t xml:space="preserve">Prior to the September monitoring event, </w:t>
      </w:r>
      <w:r w:rsidR="004E095E" w:rsidRPr="00EA0C2D">
        <w:t>this well was redrilled and replaced with S-MW-</w:t>
      </w:r>
      <w:r w:rsidR="004E095E">
        <w:t xml:space="preserve">3RRR nearby, maintaining the original angle under the building of </w:t>
      </w:r>
      <w:r w:rsidR="00C23B79">
        <w:t xml:space="preserve">30 degrees from vertical and </w:t>
      </w:r>
      <w:r w:rsidR="005D7A6B">
        <w:t xml:space="preserve">installed at a </w:t>
      </w:r>
      <w:r w:rsidR="00C23B79">
        <w:t>depth of 39 feet with a 15</w:t>
      </w:r>
      <w:r w:rsidR="00EA0C2D">
        <w:t>-</w:t>
      </w:r>
      <w:r w:rsidR="00C23B79">
        <w:t xml:space="preserve">foot screen. </w:t>
      </w:r>
    </w:p>
    <w:p w14:paraId="2A1DC74C" w14:textId="060576FD" w:rsidR="001253E3" w:rsidRDefault="001253E3" w:rsidP="001253E3">
      <w:pPr>
        <w:pStyle w:val="Heading3"/>
      </w:pPr>
      <w:r>
        <w:t>Deep Aquifer</w:t>
      </w:r>
    </w:p>
    <w:p w14:paraId="088F1E96" w14:textId="0F6BD040" w:rsidR="00CA6DF1" w:rsidRDefault="00CA6DF1" w:rsidP="00F526F7">
      <w:r>
        <w:t>A slight decrease in concentrations was observed in MW-39 which remains the only deep well</w:t>
      </w:r>
      <w:r w:rsidR="00AC7C2A">
        <w:t xml:space="preserve"> with concentrations above CULs for PCE and TCE</w:t>
      </w:r>
      <w:r w:rsidR="003670DF">
        <w:t xml:space="preserve">. MW-34 only exceeds the </w:t>
      </w:r>
      <w:r w:rsidR="00B56A6D">
        <w:t>VC</w:t>
      </w:r>
      <w:r w:rsidR="00E306C4">
        <w:t xml:space="preserve"> CUL by less than an order of magnitude, but concentrations have also continued to trend downward</w:t>
      </w:r>
      <w:r w:rsidR="009A5687">
        <w:t>. The remaining deep well, MW-29, was only sampled once in 2024 due to construction activities blocking access during the April sampling event</w:t>
      </w:r>
      <w:r w:rsidR="00CA10AC">
        <w:t>,</w:t>
      </w:r>
      <w:r w:rsidR="009A5687">
        <w:t xml:space="preserve"> </w:t>
      </w:r>
      <w:r w:rsidR="004F35F3">
        <w:t xml:space="preserve">but </w:t>
      </w:r>
      <w:r w:rsidR="005824E2">
        <w:t xml:space="preserve">CVOC </w:t>
      </w:r>
      <w:r w:rsidR="00192E96">
        <w:t xml:space="preserve">results at MW-29 were </w:t>
      </w:r>
      <w:r w:rsidR="005824E2">
        <w:t xml:space="preserve">less than </w:t>
      </w:r>
      <w:r w:rsidR="006761FC">
        <w:t xml:space="preserve">their respected </w:t>
      </w:r>
      <w:r w:rsidR="005824E2">
        <w:t>PQLs</w:t>
      </w:r>
      <w:r w:rsidR="004F35F3">
        <w:t>.</w:t>
      </w:r>
    </w:p>
    <w:p w14:paraId="7DA3F9D2" w14:textId="698BA68D" w:rsidR="00BA0F84" w:rsidRPr="00F526F7" w:rsidRDefault="00371082" w:rsidP="00F526F7">
      <w:r>
        <w:t>There are no injection or extraction wells in the deep aquifer to apply CarBstrate</w:t>
      </w:r>
      <w:r w:rsidR="0009310F">
        <w:rPr>
          <w:rFonts w:cs="Calibri"/>
        </w:rPr>
        <w:t xml:space="preserve"> to the </w:t>
      </w:r>
      <w:r w:rsidR="006E4CFE">
        <w:rPr>
          <w:rFonts w:cs="Calibri"/>
        </w:rPr>
        <w:t>a</w:t>
      </w:r>
      <w:r w:rsidR="0009310F">
        <w:rPr>
          <w:rFonts w:cs="Calibri"/>
        </w:rPr>
        <w:t>ffected areas via the treatment system</w:t>
      </w:r>
      <w:r w:rsidR="00CA6DF1">
        <w:rPr>
          <w:rFonts w:cs="Calibri"/>
        </w:rPr>
        <w:t>, but the recommendations below outline potential options for these locations.</w:t>
      </w:r>
    </w:p>
    <w:p w14:paraId="2728AA11" w14:textId="2BC94CB1" w:rsidR="00450A1F" w:rsidRPr="00450A1F" w:rsidRDefault="00450A1F" w:rsidP="00450A1F">
      <w:pPr>
        <w:pStyle w:val="Heading3"/>
      </w:pPr>
      <w:r>
        <w:t>Recommendations</w:t>
      </w:r>
    </w:p>
    <w:p w14:paraId="5BECB63D" w14:textId="5060DD42" w:rsidR="004C219A" w:rsidRDefault="00214723" w:rsidP="004C219A">
      <w:r>
        <w:t xml:space="preserve">The current system operation appears to be </w:t>
      </w:r>
      <w:r w:rsidR="00086001">
        <w:t xml:space="preserve">effective in addressing the </w:t>
      </w:r>
      <w:r w:rsidR="0071542B">
        <w:t xml:space="preserve">area with the greatest CVOC concentrations </w:t>
      </w:r>
      <w:r w:rsidR="00B643A5">
        <w:t>in the shallow aquifer</w:t>
      </w:r>
      <w:r w:rsidR="004F3AF9">
        <w:t>,</w:t>
      </w:r>
      <w:r w:rsidR="00652D47">
        <w:t xml:space="preserve"> and it is re</w:t>
      </w:r>
      <w:r w:rsidR="00F71E2B">
        <w:t>commended that this operation continue</w:t>
      </w:r>
      <w:r w:rsidR="00B92E51">
        <w:t>s</w:t>
      </w:r>
      <w:r w:rsidR="00CF2559">
        <w:t xml:space="preserve"> to </w:t>
      </w:r>
      <w:r w:rsidR="00802B65">
        <w:t xml:space="preserve">achieve dechlorination of DCE and </w:t>
      </w:r>
      <w:r w:rsidR="00B56A6D">
        <w:t>VC</w:t>
      </w:r>
      <w:r w:rsidR="00CF2559">
        <w:t xml:space="preserve"> </w:t>
      </w:r>
      <w:r w:rsidR="00802B65">
        <w:t>within this area</w:t>
      </w:r>
      <w:r w:rsidR="00B92E51">
        <w:t xml:space="preserve">. To address the remaining </w:t>
      </w:r>
      <w:r w:rsidR="00635953">
        <w:t>areas of contamination, the following options have been</w:t>
      </w:r>
      <w:r w:rsidR="002F156F">
        <w:t xml:space="preserve"> compiled and can be implemented individually or in combination</w:t>
      </w:r>
      <w:r w:rsidR="00E36DA4">
        <w:t xml:space="preserve"> without impacting the </w:t>
      </w:r>
      <w:r w:rsidR="007D7A59">
        <w:t xml:space="preserve">success of the </w:t>
      </w:r>
      <w:r w:rsidR="00E36DA4">
        <w:t>current operations</w:t>
      </w:r>
      <w:r w:rsidR="002F156F">
        <w:t xml:space="preserve">. </w:t>
      </w:r>
    </w:p>
    <w:p w14:paraId="3D8CE14F" w14:textId="043D12CA" w:rsidR="00B30CFA" w:rsidRDefault="00983F4B" w:rsidP="004C219A">
      <w:r>
        <w:t xml:space="preserve">On a weekly </w:t>
      </w:r>
      <w:r w:rsidR="0016710F">
        <w:t xml:space="preserve">or </w:t>
      </w:r>
      <w:r w:rsidR="00DE2AB1">
        <w:t xml:space="preserve">every 2 weeks </w:t>
      </w:r>
      <w:r>
        <w:t xml:space="preserve">schedule, an additional batch of CarBstrate </w:t>
      </w:r>
      <w:r w:rsidR="00843483">
        <w:t xml:space="preserve">can be prepared in the mixing tank inside the remediation shed for use in targeted injections at </w:t>
      </w:r>
      <w:r w:rsidR="00FC270C">
        <w:t xml:space="preserve">Injection Well </w:t>
      </w:r>
      <w:r w:rsidR="00843483">
        <w:t xml:space="preserve">22i, to address </w:t>
      </w:r>
      <w:r w:rsidR="00286FA7">
        <w:t xml:space="preserve">the hotspot at MW-40, and </w:t>
      </w:r>
      <w:r w:rsidR="008372CD">
        <w:t xml:space="preserve">at </w:t>
      </w:r>
      <w:r w:rsidR="00FC270C">
        <w:t xml:space="preserve">Injection Well </w:t>
      </w:r>
      <w:r w:rsidR="00286FA7">
        <w:t xml:space="preserve">18iR, to address </w:t>
      </w:r>
      <w:r w:rsidR="00637B85">
        <w:t xml:space="preserve">CVOC concentrations in </w:t>
      </w:r>
      <w:r w:rsidR="00286FA7">
        <w:t>MW-27</w:t>
      </w:r>
      <w:r w:rsidR="00627FF6">
        <w:t xml:space="preserve">. Two </w:t>
      </w:r>
      <w:r w:rsidR="00416C69">
        <w:t>50-pound</w:t>
      </w:r>
      <w:r w:rsidR="00627FF6">
        <w:t xml:space="preserve"> bags would be mixed with about 150 gallons of water and </w:t>
      </w:r>
      <w:r w:rsidR="00D9462E">
        <w:t xml:space="preserve">slowly metered </w:t>
      </w:r>
      <w:r w:rsidR="00CB57CA">
        <w:t xml:space="preserve">directly </w:t>
      </w:r>
      <w:r w:rsidR="00D9462E">
        <w:t>into the two wells over a couple of hours</w:t>
      </w:r>
      <w:r w:rsidR="00CB57CA">
        <w:t xml:space="preserve">. </w:t>
      </w:r>
      <w:r w:rsidR="0023310F">
        <w:t xml:space="preserve">MW-40 already shows agreeable conditions </w:t>
      </w:r>
      <w:r w:rsidR="00400272">
        <w:t xml:space="preserve">(DO less than </w:t>
      </w:r>
      <w:r w:rsidR="009F038D">
        <w:t>1 mg/L and negative ORP)</w:t>
      </w:r>
      <w:r w:rsidR="0023310F">
        <w:t xml:space="preserve"> </w:t>
      </w:r>
      <w:r w:rsidR="007F36E3">
        <w:t xml:space="preserve">for anaerobic degradation </w:t>
      </w:r>
      <w:r w:rsidR="00B265D3">
        <w:t xml:space="preserve">and will benefit from the </w:t>
      </w:r>
      <w:r w:rsidR="00B265D3">
        <w:lastRenderedPageBreak/>
        <w:t>supplemental TOC injections</w:t>
      </w:r>
      <w:r w:rsidR="00217586">
        <w:t>. MW-27 does not currently have desired reducing conditions</w:t>
      </w:r>
      <w:r w:rsidR="00000700">
        <w:t xml:space="preserve"> (ORP is positive)</w:t>
      </w:r>
      <w:r w:rsidR="00416C69">
        <w:t xml:space="preserve">, but can be monitored </w:t>
      </w:r>
      <w:r w:rsidR="00A13F15">
        <w:t>and sampled on a routine basis after injections commence in this areas to ensure improving conditions are taking place.</w:t>
      </w:r>
      <w:r w:rsidR="00A0429E">
        <w:t xml:space="preserve"> </w:t>
      </w:r>
      <w:r w:rsidR="00000700">
        <w:t xml:space="preserve">The </w:t>
      </w:r>
      <w:r w:rsidR="00FC4363">
        <w:t xml:space="preserve">CarBstrate injections in </w:t>
      </w:r>
      <w:r w:rsidR="00FC270C">
        <w:t xml:space="preserve">Injection Well </w:t>
      </w:r>
      <w:r w:rsidR="00FC4363">
        <w:t>18iR will likely assist in achieving negative ORP at MW-27</w:t>
      </w:r>
      <w:r w:rsidR="00AA69BD">
        <w:t xml:space="preserve">. </w:t>
      </w:r>
      <w:r w:rsidR="00A0429E">
        <w:t>This addition would be the simplest to implement during weekly O&amp;</w:t>
      </w:r>
      <w:r w:rsidR="00B30CFA">
        <w:t>M.</w:t>
      </w:r>
    </w:p>
    <w:p w14:paraId="2C5065BE" w14:textId="3116222A" w:rsidR="00F94370" w:rsidRDefault="00095ACC" w:rsidP="004C219A">
      <w:r>
        <w:t>Because of</w:t>
      </w:r>
      <w:r w:rsidR="00177356">
        <w:t xml:space="preserve"> the construction of the building, no additional injection or extraction wells can be added at this point</w:t>
      </w:r>
      <w:r w:rsidR="008A4154">
        <w:t>,</w:t>
      </w:r>
      <w:r w:rsidR="00177356">
        <w:t xml:space="preserve"> and the limited configuration of the bioremediation recirculation sys</w:t>
      </w:r>
      <w:r w:rsidR="0039075A">
        <w:t xml:space="preserve">tem can only reach so much of the site. To address remaining hotspots, other options </w:t>
      </w:r>
      <w:r w:rsidR="009E5739">
        <w:t>have been brainstormed with the treatment system subcontractor, ETEC</w:t>
      </w:r>
      <w:r w:rsidR="00C72ED5">
        <w:t>, Inc</w:t>
      </w:r>
      <w:r w:rsidR="00431C38">
        <w:t xml:space="preserve">. </w:t>
      </w:r>
      <w:r w:rsidR="00B74E2B">
        <w:t xml:space="preserve">There are three well locations that are not </w:t>
      </w:r>
      <w:r w:rsidR="00AA041B">
        <w:t xml:space="preserve">strategically placed close to an injection well </w:t>
      </w:r>
      <w:r w:rsidR="00A66C23">
        <w:t xml:space="preserve">or extraction well </w:t>
      </w:r>
      <w:r w:rsidR="00AA041B">
        <w:t xml:space="preserve">in the associated aquifer: S-MW-5R, </w:t>
      </w:r>
      <w:r w:rsidR="00F94370">
        <w:t>HZ-MW-15D</w:t>
      </w:r>
      <w:r w:rsidR="00A66C23">
        <w:t>,</w:t>
      </w:r>
      <w:r w:rsidR="00F94370">
        <w:t xml:space="preserve"> and MW-39.</w:t>
      </w:r>
    </w:p>
    <w:p w14:paraId="7AC775F4" w14:textId="0711B4A6" w:rsidR="001805AB" w:rsidRDefault="00F94370" w:rsidP="004C219A">
      <w:r>
        <w:t xml:space="preserve">S-MW-5R is </w:t>
      </w:r>
      <w:r w:rsidR="008006B7">
        <w:t>screened in the shallow aquifer</w:t>
      </w:r>
      <w:r w:rsidR="00A66E86">
        <w:t xml:space="preserve"> and located inside the northern perimeter of the building in a room that appears to be a loading bay</w:t>
      </w:r>
      <w:r w:rsidR="00A6096F">
        <w:t>. There are no injection or extraction wells in the vicinity of this well</w:t>
      </w:r>
      <w:r w:rsidR="006962CC">
        <w:t>;</w:t>
      </w:r>
      <w:r w:rsidR="00A6096F">
        <w:t xml:space="preserve"> </w:t>
      </w:r>
      <w:r w:rsidR="002674B6">
        <w:t xml:space="preserve">the concentrations </w:t>
      </w:r>
      <w:r w:rsidR="003E4FBB">
        <w:t>in this well appear to be stagnant</w:t>
      </w:r>
      <w:r w:rsidR="006962CC">
        <w:t>,</w:t>
      </w:r>
      <w:r w:rsidR="00C47D64">
        <w:t xml:space="preserve"> and TOC </w:t>
      </w:r>
      <w:r w:rsidR="008427D4">
        <w:t>concentrations are low or not detected.</w:t>
      </w:r>
      <w:r w:rsidR="003E4FBB">
        <w:t xml:space="preserve"> A solution </w:t>
      </w:r>
      <w:r w:rsidR="00CE0E4E">
        <w:t xml:space="preserve">to address </w:t>
      </w:r>
      <w:r w:rsidR="002E3E7A">
        <w:t>contamination at this location</w:t>
      </w:r>
      <w:r w:rsidR="00A6199A">
        <w:t xml:space="preserve"> is to gravity feed a </w:t>
      </w:r>
      <w:r w:rsidR="00CF760B">
        <w:t>55-gallon</w:t>
      </w:r>
      <w:r w:rsidR="00F60284">
        <w:t xml:space="preserve"> batch of CarBstrate into the well</w:t>
      </w:r>
      <w:r w:rsidR="001805AB">
        <w:t xml:space="preserve"> over the course of several hours</w:t>
      </w:r>
      <w:r w:rsidR="00991BA3">
        <w:t xml:space="preserve"> after each semiannual groundwater monitoring event</w:t>
      </w:r>
      <w:r w:rsidR="001805AB">
        <w:t>.</w:t>
      </w:r>
    </w:p>
    <w:p w14:paraId="784D4405" w14:textId="2F75F01E" w:rsidR="00240196" w:rsidRDefault="001805AB" w:rsidP="004C219A">
      <w:r>
        <w:t>HZ-MW-15D is screened in the intermediate aquifer and located inside the public garage level</w:t>
      </w:r>
      <w:r w:rsidR="000A4D11">
        <w:t xml:space="preserve"> near the north</w:t>
      </w:r>
      <w:r w:rsidR="006962CC">
        <w:t>-</w:t>
      </w:r>
      <w:r w:rsidR="000A4D11">
        <w:t xml:space="preserve">center of the building. </w:t>
      </w:r>
      <w:r w:rsidR="008D24FB">
        <w:t xml:space="preserve">Despite the </w:t>
      </w:r>
      <w:r w:rsidR="000A4D11">
        <w:t xml:space="preserve">nearby </w:t>
      </w:r>
      <w:r w:rsidR="008D24FB">
        <w:t xml:space="preserve">active </w:t>
      </w:r>
      <w:r w:rsidR="000A4D11">
        <w:t>injection well and extraction well on the opposite side</w:t>
      </w:r>
      <w:r w:rsidR="00E85FF9">
        <w:t>s of HZ-MW-15D</w:t>
      </w:r>
      <w:r w:rsidR="00ED28D6">
        <w:t xml:space="preserve">, the radius of influence may not be great enough </w:t>
      </w:r>
      <w:r w:rsidR="003509D7">
        <w:t>to prop</w:t>
      </w:r>
      <w:r w:rsidR="00C36916">
        <w:t xml:space="preserve">erly impact the well. </w:t>
      </w:r>
      <w:r w:rsidR="00CF760B">
        <w:t xml:space="preserve">A slight decrease in concentration has been observed, but </w:t>
      </w:r>
      <w:r w:rsidR="00AE722A">
        <w:t xml:space="preserve">a gravity feed of CarBstrate as described above </w:t>
      </w:r>
      <w:r w:rsidR="00947D12">
        <w:t xml:space="preserve">conducted twice annually may </w:t>
      </w:r>
      <w:r w:rsidR="00C47711">
        <w:t xml:space="preserve">further assist in </w:t>
      </w:r>
      <w:r w:rsidR="00947D12">
        <w:t>the anaerobic degradation in this location.</w:t>
      </w:r>
    </w:p>
    <w:p w14:paraId="1C02BC82" w14:textId="3F0488C2" w:rsidR="00947D12" w:rsidRDefault="00902F2F" w:rsidP="004C219A">
      <w:r>
        <w:t>MW-39 is screened in the deep aquifer and located in the north bound lane of 98</w:t>
      </w:r>
      <w:r w:rsidRPr="00902F2F">
        <w:rPr>
          <w:vertAlign w:val="superscript"/>
        </w:rPr>
        <w:t>th</w:t>
      </w:r>
      <w:r>
        <w:t xml:space="preserve"> Ave</w:t>
      </w:r>
      <w:r w:rsidR="00095ACC">
        <w:t>nue</w:t>
      </w:r>
      <w:r>
        <w:t xml:space="preserve"> on the west side of the </w:t>
      </w:r>
      <w:r w:rsidR="00A50E31">
        <w:t>building. While there is an adjacent injection well</w:t>
      </w:r>
      <w:r w:rsidR="00CC5B06">
        <w:t xml:space="preserve"> </w:t>
      </w:r>
      <w:r w:rsidR="00854E14">
        <w:t>(</w:t>
      </w:r>
      <w:r w:rsidR="00CC5B06">
        <w:t>22i</w:t>
      </w:r>
      <w:r w:rsidR="00854E14">
        <w:t>)</w:t>
      </w:r>
      <w:r w:rsidR="00CC5B06">
        <w:t>,</w:t>
      </w:r>
      <w:r w:rsidR="00A50E31">
        <w:t xml:space="preserve"> it is screened in the shallow aquifer</w:t>
      </w:r>
      <w:r w:rsidR="008D21C4">
        <w:t>,</w:t>
      </w:r>
      <w:r w:rsidR="00A50E31">
        <w:t xml:space="preserve"> and </w:t>
      </w:r>
      <w:r w:rsidR="00CC5B06">
        <w:t xml:space="preserve">the injections </w:t>
      </w:r>
      <w:r w:rsidR="00A50E31">
        <w:t xml:space="preserve">do not </w:t>
      </w:r>
      <w:r w:rsidR="00854E14">
        <w:t xml:space="preserve">affect TOC concentrations within </w:t>
      </w:r>
      <w:r w:rsidR="00A50E31">
        <w:t xml:space="preserve">the </w:t>
      </w:r>
      <w:r w:rsidR="00967C5D">
        <w:t xml:space="preserve">intermediate or </w:t>
      </w:r>
      <w:r w:rsidR="00A50E31">
        <w:t xml:space="preserve">deep aquifers. </w:t>
      </w:r>
      <w:r w:rsidR="004C669B">
        <w:t xml:space="preserve">As described above, this is a </w:t>
      </w:r>
      <w:r w:rsidR="00601267">
        <w:t>good candidate</w:t>
      </w:r>
      <w:r w:rsidR="004C669B">
        <w:t xml:space="preserve"> for CarBstrate being </w:t>
      </w:r>
      <w:r w:rsidR="00601267">
        <w:t>gravity fed into the well</w:t>
      </w:r>
      <w:r w:rsidR="008D21C4">
        <w:t>,</w:t>
      </w:r>
      <w:r w:rsidR="005A54F9">
        <w:t xml:space="preserve"> </w:t>
      </w:r>
      <w:r w:rsidR="00684791">
        <w:t xml:space="preserve">as it already shows </w:t>
      </w:r>
      <w:r w:rsidR="002B4E70">
        <w:t>reducing conditions</w:t>
      </w:r>
      <w:r w:rsidR="00C47711">
        <w:t xml:space="preserve"> with low DO and negative ORP</w:t>
      </w:r>
      <w:r w:rsidR="002B4E70">
        <w:t xml:space="preserve">. </w:t>
      </w:r>
      <w:r w:rsidR="00487E80" w:rsidRPr="00487E80">
        <w:t>Because</w:t>
      </w:r>
      <w:r w:rsidR="002B4E70">
        <w:t xml:space="preserve"> this well is in the roadway</w:t>
      </w:r>
      <w:r w:rsidR="007B1273">
        <w:t>, the CarBstrate mixture could be added w</w:t>
      </w:r>
      <w:r w:rsidR="005A54F9">
        <w:t xml:space="preserve">hile the road is closed </w:t>
      </w:r>
      <w:r w:rsidR="00684791">
        <w:t>for</w:t>
      </w:r>
      <w:r w:rsidR="005A54F9">
        <w:t xml:space="preserve"> semiannual groundwater monitoring</w:t>
      </w:r>
      <w:r w:rsidR="007B1273">
        <w:t xml:space="preserve"> and after the well has been sampled</w:t>
      </w:r>
      <w:r w:rsidR="00684791">
        <w:t xml:space="preserve">. </w:t>
      </w:r>
    </w:p>
    <w:p w14:paraId="748B82B9" w14:textId="60FADFA5" w:rsidR="00186697" w:rsidRDefault="00186697" w:rsidP="004C219A">
      <w:r>
        <w:t xml:space="preserve">Lastly, one </w:t>
      </w:r>
      <w:r w:rsidR="00A52C23">
        <w:t>intermediate well, MW-20R</w:t>
      </w:r>
      <w:r w:rsidR="00C47711">
        <w:t>,</w:t>
      </w:r>
      <w:r w:rsidR="00A52C23">
        <w:t xml:space="preserve"> has recently shown an increase in </w:t>
      </w:r>
      <w:r w:rsidR="00093395">
        <w:t>PCE</w:t>
      </w:r>
      <w:r w:rsidR="00CC162E">
        <w:t xml:space="preserve"> </w:t>
      </w:r>
      <w:r w:rsidR="00A52C23">
        <w:t>concentration</w:t>
      </w:r>
      <w:r w:rsidR="005B224F">
        <w:t xml:space="preserve">. There are two nearby injection wells that can be turned on if needed </w:t>
      </w:r>
      <w:r w:rsidR="00487E80">
        <w:t>later</w:t>
      </w:r>
      <w:r w:rsidR="005B224F">
        <w:t xml:space="preserve"> once the shallow aquifer has been more fully addressed. </w:t>
      </w:r>
    </w:p>
    <w:p w14:paraId="396EAC84" w14:textId="4488030E" w:rsidR="00387431" w:rsidRPr="001656D5" w:rsidRDefault="00387431" w:rsidP="004C219A">
      <w:pPr>
        <w:rPr>
          <w:spacing w:val="-2"/>
        </w:rPr>
      </w:pPr>
      <w:r w:rsidRPr="001656D5">
        <w:rPr>
          <w:spacing w:val="-2"/>
        </w:rPr>
        <w:t xml:space="preserve">The three pillars of </w:t>
      </w:r>
      <w:r w:rsidR="0059370B" w:rsidRPr="001656D5">
        <w:rPr>
          <w:spacing w:val="-2"/>
        </w:rPr>
        <w:t>Interstate Technology &amp; Regulatory Council</w:t>
      </w:r>
      <w:r w:rsidRPr="001656D5">
        <w:rPr>
          <w:spacing w:val="-2"/>
        </w:rPr>
        <w:t xml:space="preserve"> guidance </w:t>
      </w:r>
      <w:r w:rsidR="0037720C" w:rsidRPr="001656D5">
        <w:rPr>
          <w:spacing w:val="-2"/>
        </w:rPr>
        <w:t xml:space="preserve">on Optimizing Injection Strategies and In Situ Remediation </w:t>
      </w:r>
      <w:r w:rsidR="00DC4F8E" w:rsidRPr="001656D5">
        <w:rPr>
          <w:spacing w:val="-2"/>
        </w:rPr>
        <w:t>(202</w:t>
      </w:r>
      <w:r w:rsidR="00087686" w:rsidRPr="001656D5">
        <w:rPr>
          <w:spacing w:val="-2"/>
        </w:rPr>
        <w:t>2</w:t>
      </w:r>
      <w:r w:rsidR="00DC4F8E" w:rsidRPr="001656D5">
        <w:rPr>
          <w:spacing w:val="-2"/>
        </w:rPr>
        <w:t xml:space="preserve">) </w:t>
      </w:r>
      <w:r w:rsidRPr="001656D5">
        <w:rPr>
          <w:spacing w:val="-2"/>
        </w:rPr>
        <w:t>are dose, delivery</w:t>
      </w:r>
      <w:r w:rsidR="007D7DA7" w:rsidRPr="001656D5">
        <w:rPr>
          <w:spacing w:val="-2"/>
        </w:rPr>
        <w:t>,</w:t>
      </w:r>
      <w:r w:rsidRPr="001656D5">
        <w:rPr>
          <w:spacing w:val="-2"/>
        </w:rPr>
        <w:t xml:space="preserve"> and amendment. </w:t>
      </w:r>
      <w:r w:rsidR="0054071B" w:rsidRPr="001656D5">
        <w:rPr>
          <w:spacing w:val="-2"/>
        </w:rPr>
        <w:t>At this site, the amendment appears to be effective under the optimized operation</w:t>
      </w:r>
      <w:r w:rsidR="00B20700" w:rsidRPr="001656D5">
        <w:rPr>
          <w:spacing w:val="-2"/>
        </w:rPr>
        <w:t>,</w:t>
      </w:r>
      <w:r w:rsidR="0054071B" w:rsidRPr="001656D5">
        <w:rPr>
          <w:spacing w:val="-2"/>
        </w:rPr>
        <w:t xml:space="preserve"> which includes an increased </w:t>
      </w:r>
      <w:r w:rsidR="0054071B" w:rsidRPr="001656D5">
        <w:rPr>
          <w:spacing w:val="-2"/>
        </w:rPr>
        <w:lastRenderedPageBreak/>
        <w:t xml:space="preserve">dose </w:t>
      </w:r>
      <w:r w:rsidR="001C6AAE" w:rsidRPr="001656D5">
        <w:rPr>
          <w:spacing w:val="-2"/>
        </w:rPr>
        <w:t>to a focused delivery area. The above recommendations would increase dosage</w:t>
      </w:r>
      <w:r w:rsidR="00FA7147" w:rsidRPr="001656D5">
        <w:rPr>
          <w:spacing w:val="-2"/>
        </w:rPr>
        <w:t xml:space="preserve"> and improve delivery of the amendment in the areas that continue to have concentrations exceeding the CULs</w:t>
      </w:r>
      <w:r w:rsidR="008C4838" w:rsidRPr="001656D5">
        <w:rPr>
          <w:spacing w:val="-2"/>
        </w:rPr>
        <w:t>.</w:t>
      </w:r>
    </w:p>
    <w:p w14:paraId="006A60F5" w14:textId="5DE1597C" w:rsidR="00CD13E9" w:rsidRDefault="00CD13E9" w:rsidP="004C219A">
      <w:r>
        <w:t xml:space="preserve">The above recommendations were discussed with Ecology </w:t>
      </w:r>
      <w:r w:rsidR="000E1AAD">
        <w:t xml:space="preserve">and the City </w:t>
      </w:r>
      <w:r>
        <w:t>on November 13, 2024</w:t>
      </w:r>
      <w:r w:rsidR="000E1AAD">
        <w:t xml:space="preserve">. It was agreed that the current </w:t>
      </w:r>
      <w:r w:rsidR="005908F7">
        <w:t>optimization changes to the system are effective</w:t>
      </w:r>
      <w:r w:rsidR="00CE06C7">
        <w:t>,</w:t>
      </w:r>
      <w:r w:rsidR="005908F7">
        <w:t xml:space="preserve"> and </w:t>
      </w:r>
      <w:r w:rsidR="00EA4BDA">
        <w:t xml:space="preserve">these </w:t>
      </w:r>
      <w:r w:rsidR="005908F7">
        <w:t>recommendations will likely be effective</w:t>
      </w:r>
      <w:r w:rsidR="00CE06C7">
        <w:t xml:space="preserve"> as well. These additional </w:t>
      </w:r>
      <w:r w:rsidR="00D848F4">
        <w:t xml:space="preserve">optimization </w:t>
      </w:r>
      <w:r w:rsidR="00CE06C7">
        <w:t xml:space="preserve">recommendations will </w:t>
      </w:r>
      <w:r w:rsidR="00D848F4">
        <w:t>be initiated in April 2025 in coordination with the City and ETEC</w:t>
      </w:r>
      <w:r w:rsidR="00C72ED5">
        <w:t>, Inc</w:t>
      </w:r>
      <w:r w:rsidR="00D848F4">
        <w:t xml:space="preserve">. </w:t>
      </w:r>
    </w:p>
    <w:p w14:paraId="74456AB1" w14:textId="353B2BF8" w:rsidR="00B96942" w:rsidRDefault="00B96942" w:rsidP="00B96942">
      <w:r>
        <w:t xml:space="preserve">Floyd|Snider will continue to perform semiannual groundwater monitoring and weekly operations and maintenance, which will be </w:t>
      </w:r>
      <w:r w:rsidR="00105C23">
        <w:t>documented in an annual groundwater memorandum</w:t>
      </w:r>
      <w:r>
        <w:t xml:space="preserve">. </w:t>
      </w:r>
    </w:p>
    <w:p w14:paraId="261AF001" w14:textId="1999AE6B" w:rsidR="00B96942" w:rsidRDefault="00087686" w:rsidP="00087686">
      <w:pPr>
        <w:pStyle w:val="Heading2"/>
      </w:pPr>
      <w:r>
        <w:t>References</w:t>
      </w:r>
    </w:p>
    <w:p w14:paraId="2A89126A" w14:textId="258529BE" w:rsidR="00314D6B" w:rsidRDefault="00314D6B" w:rsidP="005365F6">
      <w:pPr>
        <w:pStyle w:val="Ref"/>
      </w:pPr>
      <w:r>
        <w:t xml:space="preserve">HWA Geosciences Inc. 2015. </w:t>
      </w:r>
      <w:r w:rsidRPr="00D3543D">
        <w:rPr>
          <w:i/>
          <w:iCs/>
        </w:rPr>
        <w:t xml:space="preserve">Remedial Investigation </w:t>
      </w:r>
      <w:r w:rsidR="00777150" w:rsidRPr="00D3543D">
        <w:rPr>
          <w:i/>
          <w:iCs/>
        </w:rPr>
        <w:t xml:space="preserve">/ </w:t>
      </w:r>
      <w:r w:rsidRPr="00D3543D">
        <w:rPr>
          <w:i/>
          <w:iCs/>
        </w:rPr>
        <w:t>Feasibility Study Work Plan (Rev. 1), Bothell Service Center Site</w:t>
      </w:r>
      <w:r w:rsidR="00777150" w:rsidRPr="00D3543D">
        <w:rPr>
          <w:i/>
          <w:iCs/>
        </w:rPr>
        <w:t>,</w:t>
      </w:r>
      <w:r w:rsidRPr="00D3543D">
        <w:rPr>
          <w:i/>
          <w:iCs/>
        </w:rPr>
        <w:t xml:space="preserve"> Bothell, Washington</w:t>
      </w:r>
      <w:r w:rsidR="00777150">
        <w:t>. Prepared for the City of Bothell. 10 August.</w:t>
      </w:r>
    </w:p>
    <w:p w14:paraId="18F6A113" w14:textId="3CC3470A" w:rsidR="00087686" w:rsidRDefault="00087686" w:rsidP="005365F6">
      <w:pPr>
        <w:pStyle w:val="Ref"/>
      </w:pPr>
      <w:r w:rsidRPr="00087686">
        <w:t>Interstate Technology &amp; Regulatory Council). 202</w:t>
      </w:r>
      <w:r w:rsidR="007F218D">
        <w:t>2</w:t>
      </w:r>
      <w:r w:rsidRPr="00087686">
        <w:t>. </w:t>
      </w:r>
      <w:r w:rsidRPr="00087686">
        <w:rPr>
          <w:i/>
          <w:iCs/>
        </w:rPr>
        <w:t xml:space="preserve">Optimizing Injection Strategies and In </w:t>
      </w:r>
      <w:r w:rsidR="007F218D">
        <w:rPr>
          <w:i/>
          <w:iCs/>
        </w:rPr>
        <w:t>S</w:t>
      </w:r>
      <w:r w:rsidRPr="00087686">
        <w:rPr>
          <w:i/>
          <w:iCs/>
        </w:rPr>
        <w:t>itu Remediation Performance.</w:t>
      </w:r>
      <w:r w:rsidRPr="00087686">
        <w:t xml:space="preserve"> OIS-ISRP-1. </w:t>
      </w:r>
      <w:r w:rsidR="007F218D">
        <w:t xml:space="preserve">Originally </w:t>
      </w:r>
      <w:r w:rsidR="005365F6">
        <w:t>published February 2020. Revised 21 July 2022.</w:t>
      </w:r>
    </w:p>
    <w:p w14:paraId="5D1F8498" w14:textId="35CEB689" w:rsidR="00150B86" w:rsidRPr="00087686" w:rsidRDefault="00150B86" w:rsidP="005365F6">
      <w:pPr>
        <w:pStyle w:val="Ref"/>
      </w:pPr>
      <w:r>
        <w:t>U.S. Environ</w:t>
      </w:r>
      <w:r w:rsidR="008B733B">
        <w:t>mental Protection Agency</w:t>
      </w:r>
      <w:r w:rsidR="008B733B" w:rsidRPr="008B733B">
        <w:rPr>
          <w:rFonts w:cs="Calibri"/>
          <w:color w:val="000000"/>
          <w:sz w:val="23"/>
          <w:szCs w:val="23"/>
        </w:rPr>
        <w:t xml:space="preserve"> </w:t>
      </w:r>
      <w:r w:rsidR="008B733B">
        <w:t>(USEPA)</w:t>
      </w:r>
      <w:r w:rsidR="008B733B" w:rsidRPr="008B733B">
        <w:t xml:space="preserve">. </w:t>
      </w:r>
      <w:r w:rsidR="008B733B">
        <w:t>2023</w:t>
      </w:r>
      <w:r w:rsidR="008B733B" w:rsidRPr="008B733B">
        <w:t>. “</w:t>
      </w:r>
      <w:r w:rsidR="009B519D">
        <w:t>Bioremediation: A</w:t>
      </w:r>
      <w:r w:rsidR="00FA37E9">
        <w:t>naerobic Bioremediation (Direct)</w:t>
      </w:r>
      <w:r w:rsidR="008B733B" w:rsidRPr="008B733B">
        <w:t xml:space="preserve">.” Last accessed </w:t>
      </w:r>
      <w:r w:rsidR="00A7634B">
        <w:t>March 5, 2025</w:t>
      </w:r>
      <w:r w:rsidR="008B733B" w:rsidRPr="008B733B">
        <w:t xml:space="preserve">. </w:t>
      </w:r>
      <w:r w:rsidR="00CB3741" w:rsidRPr="00CB3741">
        <w:t>http://clu-in.org/</w:t>
      </w:r>
      <w:r w:rsidR="006517CB">
        <w:br/>
      </w:r>
      <w:r w:rsidR="00CB3741" w:rsidRPr="00CB3741">
        <w:t>techfocus/default.focus/sec/bioremediation/cat/anaerobic_bioremediation_(direct)/</w:t>
      </w:r>
      <w:r w:rsidR="008B733B" w:rsidRPr="008B733B">
        <w:t>.</w:t>
      </w:r>
    </w:p>
    <w:p w14:paraId="37F9079C" w14:textId="77777777" w:rsidR="003708BB" w:rsidRDefault="003708BB" w:rsidP="001656D5">
      <w:pPr>
        <w:pStyle w:val="Heading2"/>
        <w:keepNext w:val="0"/>
      </w:pPr>
      <w:r>
        <w:t>List of Attachments</w:t>
      </w:r>
    </w:p>
    <w:p w14:paraId="0DCC1DAD" w14:textId="5223D08F" w:rsidR="003708BB" w:rsidRDefault="003708BB" w:rsidP="001656D5">
      <w:pPr>
        <w:pStyle w:val="TOCList"/>
        <w:keepNext w:val="0"/>
      </w:pPr>
      <w:r w:rsidRPr="00F92A2F">
        <w:t xml:space="preserve">Table </w:t>
      </w:r>
      <w:r>
        <w:t>1</w:t>
      </w:r>
      <w:r w:rsidRPr="00F92A2F">
        <w:tab/>
      </w:r>
      <w:r>
        <w:t xml:space="preserve">Shallow Aquifer Data </w:t>
      </w:r>
    </w:p>
    <w:p w14:paraId="6A9B38AE" w14:textId="418DCB47" w:rsidR="003708BB" w:rsidRDefault="003708BB" w:rsidP="001656D5">
      <w:pPr>
        <w:pStyle w:val="TOCList"/>
        <w:keepNext w:val="0"/>
      </w:pPr>
      <w:r>
        <w:t>Table 2</w:t>
      </w:r>
      <w:r>
        <w:tab/>
        <w:t>Intermediate Aquifer Data</w:t>
      </w:r>
    </w:p>
    <w:p w14:paraId="5FDA6C50" w14:textId="351ECE7A" w:rsidR="003708BB" w:rsidRDefault="003708BB" w:rsidP="001656D5">
      <w:pPr>
        <w:pStyle w:val="TOCList"/>
        <w:keepNext w:val="0"/>
      </w:pPr>
      <w:r>
        <w:t>Table 3</w:t>
      </w:r>
      <w:r>
        <w:tab/>
        <w:t>Deep Aquifer Data</w:t>
      </w:r>
    </w:p>
    <w:p w14:paraId="597A11A0" w14:textId="70719D57" w:rsidR="003708BB" w:rsidRDefault="003708BB" w:rsidP="001656D5">
      <w:pPr>
        <w:pStyle w:val="TOCList"/>
        <w:keepNext w:val="0"/>
      </w:pPr>
      <w:r>
        <w:t>Table 4</w:t>
      </w:r>
      <w:r>
        <w:tab/>
        <w:t>All Wells: GW Elevations and Field Parameters</w:t>
      </w:r>
    </w:p>
    <w:p w14:paraId="3B031BCA" w14:textId="77777777" w:rsidR="003708BB" w:rsidRDefault="003708BB" w:rsidP="001656D5">
      <w:pPr>
        <w:pStyle w:val="TOCList"/>
        <w:keepNext w:val="0"/>
      </w:pPr>
      <w:r>
        <w:t>Figure 1</w:t>
      </w:r>
      <w:r>
        <w:tab/>
        <w:t xml:space="preserve">Vicinity Map </w:t>
      </w:r>
    </w:p>
    <w:p w14:paraId="014DE71C" w14:textId="77777777" w:rsidR="003708BB" w:rsidRDefault="003708BB" w:rsidP="001656D5">
      <w:pPr>
        <w:pStyle w:val="TOCList"/>
        <w:keepNext w:val="0"/>
      </w:pPr>
      <w:r>
        <w:t>Figure 2</w:t>
      </w:r>
      <w:r>
        <w:tab/>
        <w:t xml:space="preserve">Site Map </w:t>
      </w:r>
    </w:p>
    <w:p w14:paraId="24A7BEAB" w14:textId="264A5BF4" w:rsidR="003708BB" w:rsidRDefault="003708BB" w:rsidP="001656D5">
      <w:pPr>
        <w:pStyle w:val="TOCList"/>
        <w:keepNext w:val="0"/>
      </w:pPr>
      <w:r>
        <w:t>Figure 3</w:t>
      </w:r>
      <w:r>
        <w:tab/>
        <w:t>Shallow Aquifer Zone Wells (5–25 ft bgs)</w:t>
      </w:r>
    </w:p>
    <w:p w14:paraId="524A6104" w14:textId="51196609" w:rsidR="003708BB" w:rsidRDefault="003708BB" w:rsidP="001656D5">
      <w:pPr>
        <w:pStyle w:val="TOCList"/>
        <w:keepNext w:val="0"/>
      </w:pPr>
      <w:r>
        <w:t>Figure 4</w:t>
      </w:r>
      <w:r>
        <w:tab/>
        <w:t>Intermediate Aquifer Zone Wells (25–35 ft bgs)</w:t>
      </w:r>
    </w:p>
    <w:p w14:paraId="0A78B2F5" w14:textId="74DA2528" w:rsidR="003708BB" w:rsidRDefault="003708BB" w:rsidP="001656D5">
      <w:pPr>
        <w:pStyle w:val="TOCList"/>
        <w:keepNext w:val="0"/>
      </w:pPr>
      <w:r>
        <w:t>Figure 5</w:t>
      </w:r>
      <w:r>
        <w:tab/>
        <w:t>Deep Aquifer Zone Wells (35–55 ft bgs)</w:t>
      </w:r>
    </w:p>
    <w:p w14:paraId="53760A5D" w14:textId="3AB29E1C" w:rsidR="003708BB" w:rsidRDefault="003708BB" w:rsidP="001656D5">
      <w:pPr>
        <w:pStyle w:val="TOCList"/>
        <w:keepNext w:val="0"/>
      </w:pPr>
      <w:r>
        <w:t>Figure 6a</w:t>
      </w:r>
      <w:r>
        <w:tab/>
      </w:r>
      <w:r w:rsidR="00633E44" w:rsidRPr="00633E44">
        <w:t>Groundwater Elevation &amp; Contour Map Shallow Aquifer Zone Wells (5–25 ft bgs) April 8, 2024 (System On)</w:t>
      </w:r>
      <w:r>
        <w:t xml:space="preserve"> </w:t>
      </w:r>
    </w:p>
    <w:p w14:paraId="54EA1F56" w14:textId="77777777" w:rsidR="00D74B0F" w:rsidRDefault="003708BB" w:rsidP="001656D5">
      <w:pPr>
        <w:pStyle w:val="TOCList"/>
        <w:keepNext w:val="0"/>
      </w:pPr>
      <w:r>
        <w:t>Figure 6b</w:t>
      </w:r>
      <w:r>
        <w:tab/>
      </w:r>
      <w:r w:rsidR="009B72A3" w:rsidRPr="009B72A3">
        <w:t>Groundwater Elevation &amp; Contour Map Intermediate Aquifer Zone Wells (25–35 ft bgs) April 8, 2024 (System On)</w:t>
      </w:r>
    </w:p>
    <w:p w14:paraId="124C9936" w14:textId="700D9A6C" w:rsidR="003708BB" w:rsidRDefault="003708BB" w:rsidP="001656D5">
      <w:pPr>
        <w:pStyle w:val="TOCList"/>
        <w:keepNext w:val="0"/>
      </w:pPr>
      <w:r>
        <w:lastRenderedPageBreak/>
        <w:t>Figure 6c</w:t>
      </w:r>
      <w:r>
        <w:tab/>
      </w:r>
      <w:r w:rsidR="009752CA" w:rsidRPr="009752CA">
        <w:t>Groundwater Elevation &amp; Contour Map Shallow Aquifer Zone Wells (5–25 ft bgs) April 11, 2024 (System On)</w:t>
      </w:r>
      <w:r>
        <w:t xml:space="preserve"> </w:t>
      </w:r>
    </w:p>
    <w:p w14:paraId="1F9E6EC8" w14:textId="62439171" w:rsidR="003708BB" w:rsidRDefault="003708BB" w:rsidP="001656D5">
      <w:pPr>
        <w:pStyle w:val="TOCList"/>
        <w:keepNext w:val="0"/>
      </w:pPr>
      <w:r>
        <w:t>Figure 6d</w:t>
      </w:r>
      <w:r>
        <w:tab/>
      </w:r>
      <w:r w:rsidR="00644AA5" w:rsidRPr="00644AA5">
        <w:rPr>
          <w:spacing w:val="-2"/>
        </w:rPr>
        <w:t>Groundwater Elevation &amp; Contour Map Intermediate Aquifer Zone Wells (25–35 ft bgs) April 11, 2024 (System On)</w:t>
      </w:r>
    </w:p>
    <w:p w14:paraId="1C0CB10C" w14:textId="5E66D277" w:rsidR="003708BB" w:rsidRDefault="003708BB" w:rsidP="001656D5">
      <w:pPr>
        <w:pStyle w:val="TOCList"/>
        <w:keepNext w:val="0"/>
      </w:pPr>
      <w:r>
        <w:t xml:space="preserve">Figure 7a </w:t>
      </w:r>
      <w:r>
        <w:tab/>
        <w:t xml:space="preserve">April 2024 PCE </w:t>
      </w:r>
      <w:r w:rsidR="00293928" w:rsidRPr="00293928">
        <w:t xml:space="preserve">Isocontours and Concentrations </w:t>
      </w:r>
      <w:r>
        <w:t>Shallow Aquifer Zone Wells (5</w:t>
      </w:r>
      <w:r w:rsidR="00B73443">
        <w:noBreakHyphen/>
      </w:r>
      <w:r>
        <w:t>25</w:t>
      </w:r>
      <w:r w:rsidR="006259B4">
        <w:t> </w:t>
      </w:r>
      <w:r>
        <w:t>ft bgs)</w:t>
      </w:r>
    </w:p>
    <w:p w14:paraId="2DF0CA4A" w14:textId="606BD1FE" w:rsidR="003708BB" w:rsidRDefault="003708BB" w:rsidP="001656D5">
      <w:pPr>
        <w:pStyle w:val="TOCList"/>
        <w:keepNext w:val="0"/>
      </w:pPr>
      <w:r>
        <w:t>Figure 7b</w:t>
      </w:r>
      <w:r>
        <w:tab/>
        <w:t xml:space="preserve">April 2024 PCE </w:t>
      </w:r>
      <w:r w:rsidR="00C85A79" w:rsidRPr="00C85A79">
        <w:t xml:space="preserve">Isocontours and Concentrations </w:t>
      </w:r>
      <w:r>
        <w:t>Intermediate Aquifer Zone Wells (25–35 ft bgs)</w:t>
      </w:r>
    </w:p>
    <w:p w14:paraId="098D43D1" w14:textId="6E769C6F" w:rsidR="003708BB" w:rsidRDefault="003708BB" w:rsidP="001656D5">
      <w:pPr>
        <w:pStyle w:val="TOCList"/>
        <w:keepNext w:val="0"/>
      </w:pPr>
      <w:r>
        <w:t>Figure 7c</w:t>
      </w:r>
      <w:r>
        <w:tab/>
        <w:t xml:space="preserve">April 2024 PCE </w:t>
      </w:r>
      <w:r w:rsidR="00C85A79" w:rsidRPr="00C85A79">
        <w:t xml:space="preserve">Isocontours and Concentrations </w:t>
      </w:r>
      <w:r>
        <w:t>Deep Aquifer Zone Wells (35–55</w:t>
      </w:r>
      <w:r w:rsidR="00E24C93">
        <w:t> </w:t>
      </w:r>
      <w:r>
        <w:t>ft bgs)</w:t>
      </w:r>
    </w:p>
    <w:p w14:paraId="0B6F4E9E" w14:textId="285E9343" w:rsidR="003708BB" w:rsidRDefault="003708BB" w:rsidP="001656D5">
      <w:pPr>
        <w:pStyle w:val="TOCList"/>
        <w:keepNext w:val="0"/>
      </w:pPr>
      <w:r>
        <w:t>Figure 8a</w:t>
      </w:r>
      <w:r>
        <w:tab/>
        <w:t xml:space="preserve">April 2024 TCE </w:t>
      </w:r>
      <w:r w:rsidR="00646093" w:rsidRPr="00646093">
        <w:t xml:space="preserve">Isocontours and Concentrations </w:t>
      </w:r>
      <w:r>
        <w:t>Shallow Aquifer Zone Wells (5</w:t>
      </w:r>
      <w:r w:rsidR="00B73443">
        <w:noBreakHyphen/>
      </w:r>
      <w:r>
        <w:t xml:space="preserve">25 </w:t>
      </w:r>
      <w:r w:rsidR="00E24C93">
        <w:t> </w:t>
      </w:r>
      <w:r>
        <w:t>ft bgs)</w:t>
      </w:r>
    </w:p>
    <w:p w14:paraId="4827C4E3" w14:textId="56F253BC" w:rsidR="003708BB" w:rsidRDefault="003708BB" w:rsidP="001656D5">
      <w:pPr>
        <w:pStyle w:val="TOCList"/>
        <w:keepNext w:val="0"/>
      </w:pPr>
      <w:r>
        <w:t>Figure 8b</w:t>
      </w:r>
      <w:r>
        <w:tab/>
        <w:t xml:space="preserve">April 2024 TCE </w:t>
      </w:r>
      <w:r w:rsidR="00646093" w:rsidRPr="00646093">
        <w:t xml:space="preserve">Isocontours and Concentrations </w:t>
      </w:r>
      <w:r>
        <w:t>Intermediate Aquifer Zone Wells (25–35 ft bgs)</w:t>
      </w:r>
    </w:p>
    <w:p w14:paraId="38B908DD" w14:textId="7FACDC6A" w:rsidR="003708BB" w:rsidRDefault="003708BB" w:rsidP="001656D5">
      <w:pPr>
        <w:pStyle w:val="TOCList"/>
        <w:keepNext w:val="0"/>
      </w:pPr>
      <w:r>
        <w:t>Figure 8c</w:t>
      </w:r>
      <w:r>
        <w:tab/>
        <w:t xml:space="preserve">April 2024 TCE </w:t>
      </w:r>
      <w:r w:rsidR="00B92B41" w:rsidRPr="00B92B41">
        <w:t xml:space="preserve">Isocontours and Concentrations </w:t>
      </w:r>
      <w:r>
        <w:t>Deep Aquifer Zone Wells (35–55</w:t>
      </w:r>
      <w:r w:rsidR="00E24C93">
        <w:t> </w:t>
      </w:r>
      <w:r>
        <w:t>ft bgs)</w:t>
      </w:r>
    </w:p>
    <w:p w14:paraId="2D95DC4E" w14:textId="3E9A086A" w:rsidR="003708BB" w:rsidRDefault="003708BB" w:rsidP="001656D5">
      <w:pPr>
        <w:pStyle w:val="TOCList"/>
        <w:keepNext w:val="0"/>
      </w:pPr>
      <w:r>
        <w:t>Figure 9a</w:t>
      </w:r>
      <w:r>
        <w:tab/>
        <w:t>April 2024</w:t>
      </w:r>
      <w:r w:rsidRPr="00EA51B2">
        <w:rPr>
          <w:i/>
        </w:rPr>
        <w:t xml:space="preserve"> </w:t>
      </w:r>
      <w:r w:rsidR="00B92B41" w:rsidRPr="00EA51B2">
        <w:rPr>
          <w:i/>
          <w:iCs/>
        </w:rPr>
        <w:t>cis</w:t>
      </w:r>
      <w:r w:rsidR="00B92B41" w:rsidRPr="00B92B41">
        <w:t>-1,2-DCE Isocontours and Concentrations</w:t>
      </w:r>
      <w:r>
        <w:t xml:space="preserve"> Shallow Aquifer Zone Wells (5–25 ft bgs)</w:t>
      </w:r>
    </w:p>
    <w:p w14:paraId="693163E4" w14:textId="15B86CE0" w:rsidR="003708BB" w:rsidRDefault="003708BB" w:rsidP="001656D5">
      <w:pPr>
        <w:pStyle w:val="TOCList"/>
        <w:keepNext w:val="0"/>
      </w:pPr>
      <w:r>
        <w:t>Figure 9b</w:t>
      </w:r>
      <w:r>
        <w:tab/>
        <w:t xml:space="preserve">April 2024 </w:t>
      </w:r>
      <w:r w:rsidR="00C376C2" w:rsidRPr="00EA51B2">
        <w:rPr>
          <w:i/>
          <w:iCs/>
        </w:rPr>
        <w:t>cis</w:t>
      </w:r>
      <w:r w:rsidR="00C376C2" w:rsidRPr="00C376C2">
        <w:t>-1,2-DCE Isocontours and Concentrations</w:t>
      </w:r>
      <w:r>
        <w:t xml:space="preserve"> Intermediate Aquifer Zone Wells (25–35 ft bgs)</w:t>
      </w:r>
    </w:p>
    <w:p w14:paraId="66C6714D" w14:textId="77777777" w:rsidR="00CF5604" w:rsidRDefault="003708BB" w:rsidP="001656D5">
      <w:pPr>
        <w:pStyle w:val="TOCList"/>
        <w:keepNext w:val="0"/>
      </w:pPr>
      <w:r>
        <w:t>Figure 9c</w:t>
      </w:r>
      <w:r>
        <w:tab/>
      </w:r>
      <w:r w:rsidR="00AF44C5" w:rsidRPr="00AF44C5">
        <w:t xml:space="preserve">April 2024 </w:t>
      </w:r>
      <w:r w:rsidR="00AF44C5" w:rsidRPr="00AF44C5">
        <w:rPr>
          <w:i/>
          <w:iCs/>
        </w:rPr>
        <w:t>cis</w:t>
      </w:r>
      <w:r w:rsidR="00AF44C5" w:rsidRPr="00AF44C5">
        <w:t>-1,2-DCE Isocontours and Concentrations Shallow Aquifer Zone Wells (5–25 ft bgs)</w:t>
      </w:r>
    </w:p>
    <w:p w14:paraId="2AFD6F15" w14:textId="77777777" w:rsidR="00CF5604" w:rsidRDefault="003708BB" w:rsidP="001656D5">
      <w:pPr>
        <w:pStyle w:val="TOCList"/>
        <w:keepNext w:val="0"/>
      </w:pPr>
      <w:r>
        <w:t>Figure 10a</w:t>
      </w:r>
      <w:r>
        <w:tab/>
      </w:r>
      <w:r w:rsidR="00AF44C5" w:rsidRPr="00AF44C5">
        <w:t>April 2024 Vinyl Chloride Isocontours and Concentrations Shallow Aquifer Zone Wells (5–25 ft bgs)</w:t>
      </w:r>
    </w:p>
    <w:p w14:paraId="66D24101" w14:textId="67AB02E9" w:rsidR="003708BB" w:rsidRDefault="003708BB" w:rsidP="001656D5">
      <w:pPr>
        <w:pStyle w:val="TOCList"/>
        <w:keepNext w:val="0"/>
      </w:pPr>
      <w:r>
        <w:t>Figure 10b</w:t>
      </w:r>
      <w:r>
        <w:tab/>
        <w:t xml:space="preserve">April 2024 Vinyl Chloride </w:t>
      </w:r>
      <w:r w:rsidR="00961CBB" w:rsidRPr="00961CBB">
        <w:t xml:space="preserve">Isocontours and Concentrations </w:t>
      </w:r>
      <w:r>
        <w:t>Intermediate Aquifer Zone Wells (25–35 ft bgs)</w:t>
      </w:r>
    </w:p>
    <w:p w14:paraId="2B149E67" w14:textId="48E2FAD8" w:rsidR="003708BB" w:rsidRDefault="003708BB" w:rsidP="001656D5">
      <w:pPr>
        <w:pStyle w:val="TOCList"/>
        <w:keepNext w:val="0"/>
      </w:pPr>
      <w:r>
        <w:t>Figure 10c</w:t>
      </w:r>
      <w:r>
        <w:tab/>
        <w:t xml:space="preserve">April 2024 Vinyl Chloride </w:t>
      </w:r>
      <w:r w:rsidR="00961CBB" w:rsidRPr="00961CBB">
        <w:t xml:space="preserve">Isocontours and Concentrations </w:t>
      </w:r>
      <w:r>
        <w:t>Deep Aquifer Zone Wells (35–55 ft bgs)</w:t>
      </w:r>
    </w:p>
    <w:p w14:paraId="510DA37E" w14:textId="1B98242A" w:rsidR="003708BB" w:rsidRDefault="003708BB" w:rsidP="001656D5">
      <w:pPr>
        <w:pStyle w:val="TOCList"/>
        <w:keepNext w:val="0"/>
      </w:pPr>
      <w:r>
        <w:t>Figure 11a</w:t>
      </w:r>
      <w:r>
        <w:tab/>
      </w:r>
      <w:r w:rsidR="00B219F1" w:rsidRPr="00B219F1">
        <w:t>Groundwater Elevation &amp; Contour Map Shallow Aquifer Zone Wells (5</w:t>
      </w:r>
      <w:r w:rsidR="000A37E6">
        <w:t>–</w:t>
      </w:r>
      <w:r w:rsidR="00B219F1" w:rsidRPr="00B219F1">
        <w:t>25 ft bgs) September 23, 2024 (System On)</w:t>
      </w:r>
      <w:r>
        <w:t xml:space="preserve"> </w:t>
      </w:r>
    </w:p>
    <w:p w14:paraId="1345FCF5" w14:textId="385910EC" w:rsidR="003708BB" w:rsidRDefault="003708BB" w:rsidP="001656D5">
      <w:pPr>
        <w:pStyle w:val="TOCList"/>
        <w:keepNext w:val="0"/>
      </w:pPr>
      <w:r>
        <w:t>Figure 11b</w:t>
      </w:r>
      <w:r>
        <w:tab/>
      </w:r>
      <w:r w:rsidR="00B219F1" w:rsidRPr="00B219F1">
        <w:t>Groundwater Elevation &amp; Contour Map Intermediate Aquifer Zone Wells (25</w:t>
      </w:r>
      <w:r w:rsidR="000A37E6">
        <w:t>–</w:t>
      </w:r>
      <w:r w:rsidR="00B219F1" w:rsidRPr="00B219F1">
        <w:t>35 ft bgs) September 23, 2024 (System On)</w:t>
      </w:r>
    </w:p>
    <w:p w14:paraId="7F05F0DB" w14:textId="630442C9" w:rsidR="003708BB" w:rsidRDefault="003708BB" w:rsidP="001656D5">
      <w:pPr>
        <w:pStyle w:val="TOCList"/>
        <w:keepNext w:val="0"/>
      </w:pPr>
      <w:r>
        <w:t>Figure 11c</w:t>
      </w:r>
      <w:r>
        <w:tab/>
      </w:r>
      <w:r w:rsidR="003B4589" w:rsidRPr="003B4589">
        <w:t>Groundwater Elevation &amp; Contour Map Deep Aquifer Zone Wells (35</w:t>
      </w:r>
      <w:r w:rsidR="000A37E6">
        <w:t>–</w:t>
      </w:r>
      <w:r w:rsidR="003B4589" w:rsidRPr="003B4589">
        <w:t>55 ft bgs) September 23, 2024 (System On)</w:t>
      </w:r>
      <w:r>
        <w:t xml:space="preserve"> </w:t>
      </w:r>
    </w:p>
    <w:p w14:paraId="21F6080F" w14:textId="4F4BDD8C" w:rsidR="003708BB" w:rsidRDefault="003708BB" w:rsidP="001656D5">
      <w:pPr>
        <w:pStyle w:val="TOCList"/>
        <w:keepNext w:val="0"/>
      </w:pPr>
      <w:r>
        <w:lastRenderedPageBreak/>
        <w:t>Figure 12a</w:t>
      </w:r>
      <w:r>
        <w:tab/>
        <w:t xml:space="preserve">September 2024 PCE </w:t>
      </w:r>
      <w:r w:rsidR="00A16F53" w:rsidRPr="00A16F53">
        <w:t xml:space="preserve">Isocontours and Concentrations </w:t>
      </w:r>
      <w:r>
        <w:t>Shallow Aquifer Zone Wells (5–25 ft bgs)</w:t>
      </w:r>
    </w:p>
    <w:p w14:paraId="769FDCB8" w14:textId="38F6AAF3" w:rsidR="003708BB" w:rsidRDefault="003708BB" w:rsidP="001656D5">
      <w:pPr>
        <w:pStyle w:val="TOCList"/>
        <w:keepNext w:val="0"/>
      </w:pPr>
      <w:r>
        <w:t>Figure 12b</w:t>
      </w:r>
      <w:r>
        <w:tab/>
        <w:t xml:space="preserve">September 2024 PCE </w:t>
      </w:r>
      <w:r w:rsidR="00A16F53" w:rsidRPr="00A16F53">
        <w:t xml:space="preserve">Isocontours and Concentrations </w:t>
      </w:r>
      <w:r>
        <w:t>Intermediate Aquifer Zone Wells (25–35 ft bgs)</w:t>
      </w:r>
    </w:p>
    <w:p w14:paraId="6DE384AA" w14:textId="55161EEF" w:rsidR="003708BB" w:rsidRDefault="003708BB" w:rsidP="001656D5">
      <w:pPr>
        <w:pStyle w:val="TOCList"/>
        <w:keepNext w:val="0"/>
      </w:pPr>
      <w:r>
        <w:t>Figure 12c</w:t>
      </w:r>
      <w:r>
        <w:tab/>
        <w:t xml:space="preserve">September 2024 PCE </w:t>
      </w:r>
      <w:r w:rsidR="00FC7D97" w:rsidRPr="00FC7D97">
        <w:t xml:space="preserve">Isocontours and Concentrations </w:t>
      </w:r>
      <w:r>
        <w:t>Deep Aquifer Zone Wells (35–55 ft bgs)</w:t>
      </w:r>
    </w:p>
    <w:p w14:paraId="4C65577B" w14:textId="6C145859" w:rsidR="003708BB" w:rsidRDefault="003708BB" w:rsidP="001656D5">
      <w:pPr>
        <w:pStyle w:val="TOCList"/>
        <w:keepNext w:val="0"/>
      </w:pPr>
      <w:r>
        <w:t>Figure 13a</w:t>
      </w:r>
      <w:r>
        <w:tab/>
        <w:t xml:space="preserve">September 2024 TCE </w:t>
      </w:r>
      <w:r w:rsidR="00FC7D97" w:rsidRPr="00FC7D97">
        <w:t xml:space="preserve">Isocontours and Concentrations </w:t>
      </w:r>
      <w:r>
        <w:t>Shallow Aquifer Zone Wells (5–25 ft bgs)</w:t>
      </w:r>
    </w:p>
    <w:p w14:paraId="66D9EEE9" w14:textId="31C43DA1" w:rsidR="003708BB" w:rsidRDefault="003708BB" w:rsidP="001656D5">
      <w:pPr>
        <w:pStyle w:val="TOCList"/>
        <w:keepNext w:val="0"/>
      </w:pPr>
      <w:r>
        <w:t>Figure 13b</w:t>
      </w:r>
      <w:r>
        <w:tab/>
        <w:t xml:space="preserve">September 2024 TCE </w:t>
      </w:r>
      <w:r w:rsidR="001E3EB1" w:rsidRPr="001E3EB1">
        <w:t xml:space="preserve">Isocontours and Concentrations </w:t>
      </w:r>
      <w:r>
        <w:t>Intermediate Aquifer Zone Wells (25–35 ft bgs)</w:t>
      </w:r>
    </w:p>
    <w:p w14:paraId="37D1E81B" w14:textId="77777777" w:rsidR="00CF5604" w:rsidRDefault="003708BB" w:rsidP="001656D5">
      <w:pPr>
        <w:pStyle w:val="TOCList"/>
        <w:keepNext w:val="0"/>
      </w:pPr>
      <w:r>
        <w:t>Figure 13c</w:t>
      </w:r>
      <w:r>
        <w:tab/>
      </w:r>
      <w:r w:rsidR="001E3EB1" w:rsidRPr="001E3EB1">
        <w:t>September 2024 TCE Isocontours and Concentrations Deep Aquifer Zone Wells (35–55 ft bgs)</w:t>
      </w:r>
    </w:p>
    <w:p w14:paraId="4CAAFE77" w14:textId="18EEA71B" w:rsidR="003708BB" w:rsidRDefault="003708BB" w:rsidP="001656D5">
      <w:pPr>
        <w:pStyle w:val="TOCList"/>
        <w:keepNext w:val="0"/>
      </w:pPr>
      <w:r>
        <w:t>Figure 14a</w:t>
      </w:r>
      <w:r>
        <w:tab/>
        <w:t xml:space="preserve">September 2024 </w:t>
      </w:r>
      <w:r w:rsidR="00C55DA3" w:rsidRPr="00C55DA3">
        <w:rPr>
          <w:i/>
          <w:iCs/>
        </w:rPr>
        <w:t>cis</w:t>
      </w:r>
      <w:r w:rsidR="00C55DA3" w:rsidRPr="00C55DA3">
        <w:t>-1,2-DCE Isocontours and Concentrations</w:t>
      </w:r>
      <w:r>
        <w:t xml:space="preserve"> Shallow Aquifer Zone Wells (5</w:t>
      </w:r>
      <w:r w:rsidR="00B73443">
        <w:t>–</w:t>
      </w:r>
      <w:r>
        <w:t>25 ft bgs)</w:t>
      </w:r>
    </w:p>
    <w:p w14:paraId="56F0FC09" w14:textId="21B197B0" w:rsidR="003708BB" w:rsidRDefault="003708BB" w:rsidP="001656D5">
      <w:pPr>
        <w:pStyle w:val="TOCList"/>
        <w:keepNext w:val="0"/>
      </w:pPr>
      <w:r>
        <w:t>Figure 14b</w:t>
      </w:r>
      <w:r>
        <w:tab/>
        <w:t xml:space="preserve">September 2024 </w:t>
      </w:r>
      <w:r w:rsidR="00C55DA3" w:rsidRPr="00C55DA3">
        <w:rPr>
          <w:i/>
          <w:iCs/>
        </w:rPr>
        <w:t>cis</w:t>
      </w:r>
      <w:r w:rsidR="00C55DA3" w:rsidRPr="00C55DA3">
        <w:t>-1,2-DCE Isocontours and Concentrations</w:t>
      </w:r>
      <w:r>
        <w:t xml:space="preserve"> Intermediate Aquifer Zone Wells (25–35 ft bgs)</w:t>
      </w:r>
    </w:p>
    <w:p w14:paraId="7601D92E" w14:textId="0EE66086" w:rsidR="003708BB" w:rsidRDefault="003708BB" w:rsidP="001656D5">
      <w:pPr>
        <w:pStyle w:val="TOCList"/>
        <w:keepNext w:val="0"/>
      </w:pPr>
      <w:r>
        <w:t>Figure 14c</w:t>
      </w:r>
      <w:r>
        <w:tab/>
        <w:t xml:space="preserve">September 2024 </w:t>
      </w:r>
      <w:r w:rsidR="00F47FA5" w:rsidRPr="00F47FA5">
        <w:rPr>
          <w:i/>
          <w:iCs/>
        </w:rPr>
        <w:t>cis</w:t>
      </w:r>
      <w:r w:rsidR="00F47FA5" w:rsidRPr="00F47FA5">
        <w:t>-1,2-</w:t>
      </w:r>
      <w:r>
        <w:t xml:space="preserve">DCE </w:t>
      </w:r>
      <w:r w:rsidR="00F47FA5" w:rsidRPr="00F47FA5">
        <w:t xml:space="preserve">Isocontours and Concentrations </w:t>
      </w:r>
      <w:r>
        <w:t>Deep Aquifer Zone Wells (35–55 ft bgs)</w:t>
      </w:r>
    </w:p>
    <w:p w14:paraId="3FF5B9D7" w14:textId="4B9F7C8B" w:rsidR="003708BB" w:rsidRDefault="003708BB" w:rsidP="001656D5">
      <w:pPr>
        <w:pStyle w:val="TOCList"/>
        <w:keepNext w:val="0"/>
      </w:pPr>
      <w:r>
        <w:t>Figure 15a</w:t>
      </w:r>
      <w:r>
        <w:tab/>
        <w:t xml:space="preserve">September 2024 Vinyl Chloride </w:t>
      </w:r>
      <w:r w:rsidR="00190424" w:rsidRPr="00190424">
        <w:t xml:space="preserve">Isocontours and Concentrations </w:t>
      </w:r>
      <w:r>
        <w:t xml:space="preserve">Shallow Aquifer Zone Wells (5–25 </w:t>
      </w:r>
      <w:r w:rsidR="00190424" w:rsidRPr="00190424">
        <w:t xml:space="preserve">ft </w:t>
      </w:r>
      <w:r>
        <w:t>bgs)</w:t>
      </w:r>
    </w:p>
    <w:p w14:paraId="50E737F5" w14:textId="2CE8B3D0" w:rsidR="003708BB" w:rsidRDefault="003708BB" w:rsidP="001656D5">
      <w:pPr>
        <w:pStyle w:val="TOCList"/>
        <w:keepNext w:val="0"/>
      </w:pPr>
      <w:r>
        <w:t>Figure 15b</w:t>
      </w:r>
      <w:r>
        <w:tab/>
        <w:t xml:space="preserve">September 2024 Vinyl Chloride </w:t>
      </w:r>
      <w:r w:rsidR="00124B03" w:rsidRPr="00124B03">
        <w:t xml:space="preserve">Isocontours and Concentrations </w:t>
      </w:r>
      <w:r>
        <w:t>Intermediate Aquifer Zone Wells (25–35 ft bgs)</w:t>
      </w:r>
    </w:p>
    <w:p w14:paraId="1CCE8FD5" w14:textId="77777777" w:rsidR="00D74B0F" w:rsidRDefault="003708BB" w:rsidP="001656D5">
      <w:pPr>
        <w:pStyle w:val="TOCList"/>
        <w:keepNext w:val="0"/>
      </w:pPr>
      <w:r>
        <w:t>Figure 15c</w:t>
      </w:r>
      <w:r>
        <w:tab/>
      </w:r>
      <w:r w:rsidR="008D1F11" w:rsidRPr="008D1F11">
        <w:t>September 2024 Vinyl Chloride Isocontours and Concentrations Deep Aquifer Zone Wells (35–55 ft bgs)</w:t>
      </w:r>
    </w:p>
    <w:p w14:paraId="1C5730C0" w14:textId="2CFA63AC" w:rsidR="003708BB" w:rsidRDefault="003708BB" w:rsidP="001656D5">
      <w:pPr>
        <w:pStyle w:val="TOCList"/>
        <w:keepNext w:val="0"/>
      </w:pPr>
      <w:r>
        <w:t>Figure 16</w:t>
      </w:r>
      <w:r>
        <w:tab/>
        <w:t>MW-6 Molar Composition</w:t>
      </w:r>
    </w:p>
    <w:p w14:paraId="57F605C6" w14:textId="2A1482AA" w:rsidR="003708BB" w:rsidRDefault="003708BB" w:rsidP="001656D5">
      <w:pPr>
        <w:pStyle w:val="TOCList"/>
        <w:keepNext w:val="0"/>
      </w:pPr>
      <w:r>
        <w:t>Figure 17</w:t>
      </w:r>
      <w:r>
        <w:tab/>
        <w:t>MW-7 Molar Composition</w:t>
      </w:r>
    </w:p>
    <w:p w14:paraId="14485679" w14:textId="6D99520D" w:rsidR="003708BB" w:rsidRDefault="003708BB" w:rsidP="001656D5">
      <w:pPr>
        <w:pStyle w:val="TOCList"/>
        <w:keepNext w:val="0"/>
      </w:pPr>
      <w:r>
        <w:t>Figure 18</w:t>
      </w:r>
      <w:r>
        <w:tab/>
        <w:t>MW-4R Molar Composition</w:t>
      </w:r>
    </w:p>
    <w:p w14:paraId="362A15C2" w14:textId="77777777" w:rsidR="003708BB" w:rsidRDefault="003708BB" w:rsidP="001656D5">
      <w:pPr>
        <w:pStyle w:val="TOCList"/>
        <w:keepNext w:val="0"/>
      </w:pPr>
      <w:r>
        <w:t>Attachment 1</w:t>
      </w:r>
      <w:r>
        <w:tab/>
        <w:t xml:space="preserve">Groundwater Sampling Field Forms and O&amp;M Forms </w:t>
      </w:r>
    </w:p>
    <w:p w14:paraId="079176FE" w14:textId="77777777" w:rsidR="003708BB" w:rsidRDefault="003708BB" w:rsidP="001656D5">
      <w:pPr>
        <w:pStyle w:val="TOCList"/>
        <w:keepNext w:val="0"/>
      </w:pPr>
      <w:r>
        <w:t>Attachment 2</w:t>
      </w:r>
      <w:r>
        <w:tab/>
        <w:t>Laboratory Analytical Report and Data Validation Memorandum</w:t>
      </w:r>
    </w:p>
    <w:p w14:paraId="728E94A2" w14:textId="6FB1E6E0" w:rsidR="003708BB" w:rsidRDefault="003708BB" w:rsidP="001656D5">
      <w:pPr>
        <w:pStyle w:val="TOCList"/>
        <w:keepNext w:val="0"/>
      </w:pPr>
      <w:r>
        <w:t>Attachment 3</w:t>
      </w:r>
      <w:r>
        <w:tab/>
        <w:t>Groundwater Sampling Low-Flow Standard Guideline</w:t>
      </w:r>
    </w:p>
    <w:p w14:paraId="62E90B0D" w14:textId="1F371382" w:rsidR="003708BB" w:rsidRDefault="003708BB" w:rsidP="001656D5">
      <w:pPr>
        <w:pStyle w:val="TOCList"/>
        <w:keepNext w:val="0"/>
      </w:pPr>
      <w:r>
        <w:t>Attachment 4</w:t>
      </w:r>
      <w:r>
        <w:tab/>
        <w:t>Historical Site Data from Kane Environmental</w:t>
      </w:r>
    </w:p>
    <w:p w14:paraId="2159E9D6" w14:textId="69F81618" w:rsidR="003708BB" w:rsidRDefault="003708BB" w:rsidP="001656D5">
      <w:pPr>
        <w:pStyle w:val="TOCList"/>
        <w:keepNext w:val="0"/>
      </w:pPr>
      <w:r>
        <w:t>Attachment 5</w:t>
      </w:r>
      <w:r>
        <w:tab/>
        <w:t>2024 Microbial Insights Report</w:t>
      </w:r>
    </w:p>
    <w:p w14:paraId="116C70BD" w14:textId="630D1FF7" w:rsidR="003708BB" w:rsidRDefault="003708BB" w:rsidP="001656D5">
      <w:pPr>
        <w:pStyle w:val="TOCList"/>
        <w:keepNext w:val="0"/>
      </w:pPr>
      <w:r>
        <w:t>Attachment 6</w:t>
      </w:r>
      <w:r>
        <w:tab/>
        <w:t xml:space="preserve">Data Validation </w:t>
      </w:r>
      <w:r w:rsidR="00223888">
        <w:t>Summaries</w:t>
      </w:r>
    </w:p>
    <w:p w14:paraId="2A7C3463" w14:textId="12C03E24" w:rsidR="003708BB" w:rsidRDefault="009345AB" w:rsidP="001656D5">
      <w:pPr>
        <w:pStyle w:val="TOCList"/>
        <w:keepNext w:val="0"/>
      </w:pPr>
      <w:r>
        <w:t>Attachment 7</w:t>
      </w:r>
      <w:r>
        <w:tab/>
      </w:r>
      <w:r w:rsidR="00B049B3" w:rsidRPr="00B049B3">
        <w:t>Quality Assurance Project Plan </w:t>
      </w:r>
    </w:p>
    <w:sectPr w:rsidR="003708BB" w:rsidSect="007A5A49">
      <w:headerReference w:type="default"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C85C0" w14:textId="77777777" w:rsidR="00DC54C0" w:rsidRDefault="00DC54C0" w:rsidP="00E73D08">
      <w:pPr>
        <w:spacing w:after="0"/>
      </w:pPr>
      <w:r>
        <w:separator/>
      </w:r>
    </w:p>
  </w:endnote>
  <w:endnote w:type="continuationSeparator" w:id="0">
    <w:p w14:paraId="6D0C9967" w14:textId="77777777" w:rsidR="00DC54C0" w:rsidRDefault="00DC54C0" w:rsidP="00E73D08">
      <w:pPr>
        <w:spacing w:after="0"/>
      </w:pPr>
      <w:r>
        <w:continuationSeparator/>
      </w:r>
    </w:p>
  </w:endnote>
  <w:endnote w:type="continuationNotice" w:id="1">
    <w:p w14:paraId="3C2BA335" w14:textId="77777777" w:rsidR="00DC54C0" w:rsidRDefault="00DC54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kerSigne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Optima LT Pro">
    <w:altName w:val="Calibri"/>
    <w:panose1 w:val="00000000000000000000"/>
    <w:charset w:val="00"/>
    <w:family w:val="swiss"/>
    <w:notTrueType/>
    <w:pitch w:val="variable"/>
    <w:sig w:usb0="A00000A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jc w:val="center"/>
      <w:tblBorders>
        <w:top w:val="single" w:sz="24" w:space="0" w:color="808080"/>
      </w:tblBorders>
      <w:tblLayout w:type="fixed"/>
      <w:tblLook w:val="0000" w:firstRow="0" w:lastRow="0" w:firstColumn="0" w:lastColumn="0" w:noHBand="0" w:noVBand="0"/>
    </w:tblPr>
    <w:tblGrid>
      <w:gridCol w:w="3192"/>
      <w:gridCol w:w="3192"/>
      <w:gridCol w:w="3192"/>
    </w:tblGrid>
    <w:tr w:rsidR="007C2922" w14:paraId="24E5E217" w14:textId="77777777">
      <w:trPr>
        <w:jc w:val="center"/>
      </w:trPr>
      <w:tc>
        <w:tcPr>
          <w:tcW w:w="3192" w:type="dxa"/>
        </w:tcPr>
        <w:p w14:paraId="20B6A20A" w14:textId="77777777" w:rsidR="007C2922" w:rsidRDefault="007C2922" w:rsidP="007C2922">
          <w:pPr>
            <w:pStyle w:val="FooterLeftTop"/>
          </w:pPr>
        </w:p>
      </w:tc>
      <w:tc>
        <w:tcPr>
          <w:tcW w:w="3192" w:type="dxa"/>
        </w:tcPr>
        <w:p w14:paraId="19730EE9" w14:textId="77777777" w:rsidR="007C2922" w:rsidRDefault="007C2922" w:rsidP="007C2922">
          <w:pPr>
            <w:pStyle w:val="FooterMiddle"/>
          </w:pPr>
        </w:p>
      </w:tc>
      <w:tc>
        <w:tcPr>
          <w:tcW w:w="3192" w:type="dxa"/>
        </w:tcPr>
        <w:p w14:paraId="6E0FB9BD" w14:textId="0F1C6927" w:rsidR="007C2922" w:rsidRDefault="00356FCF" w:rsidP="007C2922">
          <w:pPr>
            <w:pStyle w:val="FooterRightTop"/>
          </w:pPr>
          <w:r>
            <w:t>2024 Annual Groundwater Monitoring</w:t>
          </w:r>
        </w:p>
        <w:p w14:paraId="6C55713B" w14:textId="496A7029" w:rsidR="007C2922" w:rsidRDefault="007C2922" w:rsidP="007C2922">
          <w:pPr>
            <w:pStyle w:val="FooterRightBottom"/>
          </w:pPr>
          <w:r>
            <w:t xml:space="preserve">Page </w:t>
          </w:r>
          <w:r>
            <w:fldChar w:fldCharType="begin"/>
          </w:r>
          <w:r>
            <w:instrText xml:space="preserve"> PAGE </w:instrText>
          </w:r>
          <w:r>
            <w:fldChar w:fldCharType="separate"/>
          </w:r>
          <w:r>
            <w:rPr>
              <w:noProof/>
            </w:rPr>
            <w:t>2</w:t>
          </w:r>
          <w:r>
            <w:rPr>
              <w:noProof/>
            </w:rPr>
            <w:fldChar w:fldCharType="end"/>
          </w:r>
          <w:r>
            <w:t xml:space="preserve"> of </w:t>
          </w:r>
          <w:r>
            <w:rPr>
              <w:noProof/>
            </w:rPr>
            <w:fldChar w:fldCharType="begin"/>
          </w:r>
          <w:r>
            <w:rPr>
              <w:noProof/>
            </w:rPr>
            <w:instrText xml:space="preserve"> SECTIONPAGES   \* MERGEFORMAT </w:instrText>
          </w:r>
          <w:r>
            <w:rPr>
              <w:noProof/>
            </w:rPr>
            <w:fldChar w:fldCharType="separate"/>
          </w:r>
          <w:r w:rsidR="00687A72">
            <w:rPr>
              <w:noProof/>
            </w:rPr>
            <w:t>24</w:t>
          </w:r>
          <w:r>
            <w:rPr>
              <w:noProof/>
            </w:rPr>
            <w:fldChar w:fldCharType="end"/>
          </w:r>
          <w:r>
            <w:rPr>
              <w:noProof/>
            </w:rPr>
            <w:t xml:space="preserve"> </w:t>
          </w:r>
        </w:p>
      </w:tc>
    </w:tr>
  </w:tbl>
  <w:p w14:paraId="0DE30445" w14:textId="77777777" w:rsidR="007C2922" w:rsidRDefault="007C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jc w:val="center"/>
      <w:tblLayout w:type="fixed"/>
      <w:tblLook w:val="0000" w:firstRow="0" w:lastRow="0" w:firstColumn="0" w:lastColumn="0" w:noHBand="0" w:noVBand="0"/>
    </w:tblPr>
    <w:tblGrid>
      <w:gridCol w:w="3192"/>
      <w:gridCol w:w="3192"/>
      <w:gridCol w:w="3192"/>
    </w:tblGrid>
    <w:tr w:rsidR="00E17D53" w14:paraId="627638FE" w14:textId="77777777">
      <w:trPr>
        <w:jc w:val="center"/>
      </w:trPr>
      <w:tc>
        <w:tcPr>
          <w:tcW w:w="3192" w:type="dxa"/>
        </w:tcPr>
        <w:p w14:paraId="750B56E8" w14:textId="77777777" w:rsidR="00E17D53" w:rsidRDefault="00E17D53" w:rsidP="00E17D53">
          <w:pPr>
            <w:pStyle w:val="FooterLeftTop"/>
          </w:pPr>
        </w:p>
      </w:tc>
      <w:tc>
        <w:tcPr>
          <w:tcW w:w="3192" w:type="dxa"/>
        </w:tcPr>
        <w:p w14:paraId="4F11E676" w14:textId="6A2FE8DD" w:rsidR="00E17D53" w:rsidRDefault="00E17D53" w:rsidP="00E17D53">
          <w:pPr>
            <w:pStyle w:val="FooterRightTop"/>
            <w:jc w:val="center"/>
          </w:pPr>
          <w:r>
            <w:t xml:space="preserve">Page </w:t>
          </w:r>
          <w:r>
            <w:fldChar w:fldCharType="begin"/>
          </w:r>
          <w:r>
            <w:instrText xml:space="preserve"> PAGE </w:instrText>
          </w:r>
          <w:r>
            <w:fldChar w:fldCharType="separate"/>
          </w:r>
          <w:r>
            <w:t>1</w:t>
          </w:r>
          <w:r>
            <w:rPr>
              <w:noProof/>
            </w:rPr>
            <w:fldChar w:fldCharType="end"/>
          </w:r>
          <w:r>
            <w:t xml:space="preserve"> of </w:t>
          </w:r>
          <w:r>
            <w:rPr>
              <w:noProof/>
            </w:rPr>
            <w:fldChar w:fldCharType="begin"/>
          </w:r>
          <w:r>
            <w:rPr>
              <w:noProof/>
            </w:rPr>
            <w:instrText xml:space="preserve"> SECTIONPAGES   \* MERGEFORMAT </w:instrText>
          </w:r>
          <w:r>
            <w:rPr>
              <w:noProof/>
            </w:rPr>
            <w:fldChar w:fldCharType="separate"/>
          </w:r>
          <w:r w:rsidR="00687A72">
            <w:rPr>
              <w:noProof/>
            </w:rPr>
            <w:t>24</w:t>
          </w:r>
          <w:r>
            <w:rPr>
              <w:noProof/>
            </w:rPr>
            <w:fldChar w:fldCharType="end"/>
          </w:r>
        </w:p>
      </w:tc>
      <w:tc>
        <w:tcPr>
          <w:tcW w:w="3192" w:type="dxa"/>
        </w:tcPr>
        <w:p w14:paraId="7CC31128" w14:textId="21DB3597" w:rsidR="00E17D53" w:rsidRDefault="00E17D53" w:rsidP="00E17D53">
          <w:pPr>
            <w:pStyle w:val="FooterRightTop"/>
          </w:pPr>
        </w:p>
      </w:tc>
    </w:tr>
  </w:tbl>
  <w:p w14:paraId="4160E52C" w14:textId="71A3A118" w:rsidR="00E17D53" w:rsidRDefault="006B528A">
    <w:pPr>
      <w:pStyle w:val="Footer"/>
    </w:pPr>
    <w:r w:rsidRPr="006B528A">
      <w:rPr>
        <w:noProof/>
      </w:rPr>
      <w:drawing>
        <wp:anchor distT="0" distB="0" distL="114300" distR="114300" simplePos="0" relativeHeight="251658240" behindDoc="0" locked="0" layoutInCell="1" allowOverlap="1" wp14:anchorId="26BE02F6" wp14:editId="1A88663F">
          <wp:simplePos x="0" y="0"/>
          <wp:positionH relativeFrom="column">
            <wp:posOffset>5986792</wp:posOffset>
          </wp:positionH>
          <wp:positionV relativeFrom="paragraph">
            <wp:posOffset>-651402</wp:posOffset>
          </wp:positionV>
          <wp:extent cx="419735" cy="685165"/>
          <wp:effectExtent l="0" t="0" r="0" b="635"/>
          <wp:wrapNone/>
          <wp:docPr id="1108630694" name="Picture 110863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orp_logo_2019-0426_FS Gray-01.png"/>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419735" cy="6851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3AB9" w14:textId="77777777" w:rsidR="00DC54C0" w:rsidRDefault="00DC54C0" w:rsidP="00E73D08">
      <w:pPr>
        <w:spacing w:after="0"/>
      </w:pPr>
      <w:r>
        <w:separator/>
      </w:r>
    </w:p>
  </w:footnote>
  <w:footnote w:type="continuationSeparator" w:id="0">
    <w:p w14:paraId="6759E927" w14:textId="77777777" w:rsidR="00DC54C0" w:rsidRDefault="00DC54C0" w:rsidP="00E73D08">
      <w:pPr>
        <w:spacing w:after="0"/>
      </w:pPr>
      <w:r>
        <w:continuationSeparator/>
      </w:r>
    </w:p>
  </w:footnote>
  <w:footnote w:type="continuationNotice" w:id="1">
    <w:p w14:paraId="18D48BE1" w14:textId="77777777" w:rsidR="00DC54C0" w:rsidRDefault="00DC54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6" w:type="dxa"/>
      <w:jc w:val="center"/>
      <w:tblBorders>
        <w:bottom w:val="single" w:sz="24" w:space="0" w:color="808080"/>
      </w:tblBorders>
      <w:tblLayout w:type="fixed"/>
      <w:tblLook w:val="0000" w:firstRow="0" w:lastRow="0" w:firstColumn="0" w:lastColumn="0" w:noHBand="0" w:noVBand="0"/>
    </w:tblPr>
    <w:tblGrid>
      <w:gridCol w:w="4824"/>
      <w:gridCol w:w="4752"/>
    </w:tblGrid>
    <w:tr w:rsidR="00417E76" w14:paraId="3DAAE3FB" w14:textId="77777777">
      <w:trPr>
        <w:cantSplit/>
        <w:trHeight w:hRule="exact" w:val="950"/>
        <w:jc w:val="center"/>
      </w:trPr>
      <w:tc>
        <w:tcPr>
          <w:tcW w:w="4860" w:type="dxa"/>
          <w:vAlign w:val="bottom"/>
        </w:tcPr>
        <w:p w14:paraId="6F433F24" w14:textId="3EFA7CF3" w:rsidR="00417E76" w:rsidRDefault="00B043A9" w:rsidP="00417E76">
          <w:pPr>
            <w:pStyle w:val="LetterHLeftTop"/>
          </w:pPr>
          <w:r>
            <w:t>Sunny Becker, Ecology</w:t>
          </w:r>
        </w:p>
        <w:p w14:paraId="01DA3FAB" w14:textId="6BA1415E" w:rsidR="00417E76" w:rsidRDefault="00B043A9" w:rsidP="00417E76">
          <w:pPr>
            <w:pStyle w:val="LetterHLeftBottom"/>
          </w:pPr>
          <w:r>
            <w:t>March 14, 2025</w:t>
          </w:r>
        </w:p>
      </w:tc>
      <w:tc>
        <w:tcPr>
          <w:tcW w:w="4788" w:type="dxa"/>
          <w:vAlign w:val="bottom"/>
        </w:tcPr>
        <w:p w14:paraId="2CC932B4" w14:textId="77777777" w:rsidR="00417E76" w:rsidRPr="00874B6F" w:rsidRDefault="00417E76" w:rsidP="00417E76">
          <w:pPr>
            <w:pStyle w:val="LetterHRight"/>
          </w:pPr>
          <w:r>
            <w:rPr>
              <w:noProof/>
            </w:rPr>
            <w:drawing>
              <wp:inline distT="0" distB="0" distL="0" distR="0" wp14:anchorId="5FF8F4B1" wp14:editId="6CD00257">
                <wp:extent cx="1892808" cy="218240"/>
                <wp:effectExtent l="0" t="0" r="0" b="0"/>
                <wp:docPr id="700624359" name="Picture 70062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 Tagline Black and White 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2808" cy="218240"/>
                        </a:xfrm>
                        <a:prstGeom prst="rect">
                          <a:avLst/>
                        </a:prstGeom>
                      </pic:spPr>
                    </pic:pic>
                  </a:graphicData>
                </a:graphic>
              </wp:inline>
            </w:drawing>
          </w:r>
        </w:p>
      </w:tc>
    </w:tr>
  </w:tbl>
  <w:p w14:paraId="7AF8D5F9" w14:textId="77777777" w:rsidR="00E17D53" w:rsidRDefault="00E17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576" w:type="dxa"/>
      <w:jc w:val="center"/>
      <w:tblBorders>
        <w:top w:val="none" w:sz="0" w:space="0" w:color="auto"/>
        <w:left w:val="none" w:sz="0" w:space="0" w:color="auto"/>
        <w:bottom w:val="single" w:sz="24" w:space="0" w:color="808080"/>
        <w:right w:val="none" w:sz="0" w:space="0" w:color="auto"/>
        <w:insideH w:val="none" w:sz="0" w:space="0" w:color="auto"/>
        <w:insideV w:val="none" w:sz="0" w:space="0" w:color="auto"/>
      </w:tblBorders>
      <w:tblLook w:val="01E0" w:firstRow="1" w:lastRow="1" w:firstColumn="1" w:lastColumn="1" w:noHBand="0" w:noVBand="0"/>
    </w:tblPr>
    <w:tblGrid>
      <w:gridCol w:w="5003"/>
      <w:gridCol w:w="4573"/>
    </w:tblGrid>
    <w:tr w:rsidR="00832C4F" w:rsidRPr="00832C4F" w14:paraId="63968F9D" w14:textId="77777777">
      <w:trPr>
        <w:cantSplit/>
        <w:jc w:val="center"/>
      </w:trPr>
      <w:tc>
        <w:tcPr>
          <w:tcW w:w="5010" w:type="dxa"/>
          <w:vAlign w:val="bottom"/>
        </w:tcPr>
        <w:p w14:paraId="1E5B86FD" w14:textId="77777777" w:rsidR="00832C4F" w:rsidRPr="00832C4F" w:rsidRDefault="00832C4F" w:rsidP="00832C4F">
          <w:pPr>
            <w:tabs>
              <w:tab w:val="center" w:pos="4320"/>
              <w:tab w:val="right" w:pos="8640"/>
            </w:tabs>
            <w:spacing w:after="0"/>
            <w:ind w:left="-72"/>
            <w:jc w:val="left"/>
          </w:pPr>
          <w:r w:rsidRPr="00832C4F">
            <w:rPr>
              <w:noProof/>
            </w:rPr>
            <w:drawing>
              <wp:inline distT="0" distB="0" distL="0" distR="0" wp14:anchorId="22107525" wp14:editId="6C6AD0A0">
                <wp:extent cx="2852928" cy="541934"/>
                <wp:effectExtent l="0" t="0" r="0" b="0"/>
                <wp:docPr id="219265771" name="Picture 21926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Large 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2928" cy="541934"/>
                        </a:xfrm>
                        <a:prstGeom prst="rect">
                          <a:avLst/>
                        </a:prstGeom>
                      </pic:spPr>
                    </pic:pic>
                  </a:graphicData>
                </a:graphic>
              </wp:inline>
            </w:drawing>
          </w:r>
        </w:p>
      </w:tc>
      <w:tc>
        <w:tcPr>
          <w:tcW w:w="4638" w:type="dxa"/>
          <w:vAlign w:val="bottom"/>
        </w:tcPr>
        <w:p w14:paraId="385658B9" w14:textId="77777777" w:rsidR="00832C4F" w:rsidRPr="00832C4F" w:rsidRDefault="00832C4F" w:rsidP="00832C4F">
          <w:pPr>
            <w:tabs>
              <w:tab w:val="center" w:pos="4320"/>
              <w:tab w:val="right" w:pos="8640"/>
            </w:tabs>
            <w:spacing w:after="40" w:line="220" w:lineRule="exact"/>
            <w:ind w:right="-72"/>
            <w:jc w:val="right"/>
            <w:rPr>
              <w:rFonts w:ascii="Optima LT Pro" w:hAnsi="Optima LT Pro"/>
              <w:color w:val="808080"/>
              <w:sz w:val="18"/>
              <w:szCs w:val="16"/>
            </w:rPr>
          </w:pPr>
          <w:r w:rsidRPr="00832C4F">
            <w:rPr>
              <w:rFonts w:ascii="Optima LT Pro" w:hAnsi="Optima LT Pro"/>
              <w:color w:val="808080"/>
              <w:sz w:val="18"/>
              <w:szCs w:val="16"/>
            </w:rPr>
            <w:t>Two Union Square</w:t>
          </w:r>
          <w:r w:rsidRPr="00832C4F">
            <w:rPr>
              <w:rFonts w:ascii="Optima LT Pro" w:hAnsi="Optima LT Pro"/>
              <w:color w:val="808080"/>
              <w:sz w:val="18"/>
              <w:szCs w:val="16"/>
            </w:rPr>
            <w:br/>
            <w:t>601 Union Street, Suite 600</w:t>
          </w:r>
          <w:r w:rsidRPr="00832C4F">
            <w:rPr>
              <w:rFonts w:ascii="Optima LT Pro" w:hAnsi="Optima LT Pro"/>
              <w:color w:val="808080"/>
              <w:sz w:val="18"/>
              <w:szCs w:val="16"/>
            </w:rPr>
            <w:br/>
            <w:t>Seattle, WA 98101</w:t>
          </w:r>
          <w:r w:rsidRPr="00832C4F">
            <w:rPr>
              <w:rFonts w:ascii="Optima LT Pro" w:hAnsi="Optima LT Pro"/>
              <w:color w:val="808080"/>
              <w:sz w:val="18"/>
              <w:szCs w:val="16"/>
            </w:rPr>
            <w:br/>
            <w:t>tel: 206.292.2078  fax: 206.682.7867</w:t>
          </w:r>
        </w:p>
      </w:tc>
    </w:tr>
  </w:tbl>
  <w:p w14:paraId="469F0761" w14:textId="77777777" w:rsidR="0083615F" w:rsidRDefault="00836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7B8"/>
    <w:multiLevelType w:val="hybridMultilevel"/>
    <w:tmpl w:val="8F9CC27A"/>
    <w:lvl w:ilvl="0" w:tplc="5D64308E">
      <w:start w:val="1"/>
      <w:numFmt w:val="bullet"/>
      <w:pStyle w:val="BulletMargi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55FD2"/>
    <w:multiLevelType w:val="hybridMultilevel"/>
    <w:tmpl w:val="1BC82280"/>
    <w:lvl w:ilvl="0" w:tplc="F6C22C40">
      <w:start w:val="1"/>
      <w:numFmt w:val="bullet"/>
      <w:pStyle w:val="Bullet2"/>
      <w:lvlText w:val="o"/>
      <w:lvlJc w:val="left"/>
      <w:pPr>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E2CEC"/>
    <w:multiLevelType w:val="hybridMultilevel"/>
    <w:tmpl w:val="1B981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51A42"/>
    <w:multiLevelType w:val="hybridMultilevel"/>
    <w:tmpl w:val="27287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33ABC"/>
    <w:multiLevelType w:val="hybridMultilevel"/>
    <w:tmpl w:val="DC8C9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E4E7F"/>
    <w:multiLevelType w:val="hybridMultilevel"/>
    <w:tmpl w:val="11DC6BE6"/>
    <w:lvl w:ilvl="0" w:tplc="4748EA68">
      <w:start w:val="1"/>
      <w:numFmt w:val="decimal"/>
      <w:pStyle w:val="NumberList"/>
      <w:lvlText w:val="%1."/>
      <w:lvlJc w:val="left"/>
      <w:pPr>
        <w:tabs>
          <w:tab w:val="num" w:pos="1080"/>
        </w:tabs>
        <w:ind w:left="1080" w:hanging="360"/>
      </w:pPr>
      <w:rPr>
        <w:rFonts w:hint="default"/>
      </w:rPr>
    </w:lvl>
    <w:lvl w:ilvl="1" w:tplc="04090019">
      <w:start w:val="1"/>
      <w:numFmt w:val="upperLetter"/>
      <w:lvlText w:val="%2."/>
      <w:lvlJc w:val="left"/>
      <w:pPr>
        <w:tabs>
          <w:tab w:val="num" w:pos="1440"/>
        </w:tabs>
        <w:ind w:left="1440" w:hanging="360"/>
      </w:pPr>
      <w:rPr>
        <w:rFonts w:hint="default"/>
      </w:rPr>
    </w:lvl>
    <w:lvl w:ilvl="2" w:tplc="0409001B">
      <w:start w:val="1"/>
      <w:numFmt w:val="lowerRoman"/>
      <w:lvlText w:val="%3."/>
      <w:lvlJc w:val="right"/>
      <w:pPr>
        <w:ind w:left="1872" w:hanging="216"/>
      </w:pPr>
      <w:rPr>
        <w:rFonts w:hint="default"/>
      </w:rPr>
    </w:lvl>
    <w:lvl w:ilvl="3" w:tplc="0409000F">
      <w:start w:val="1"/>
      <w:numFmt w:val="lowerLetter"/>
      <w:lvlText w:val="%4."/>
      <w:lvlJc w:val="left"/>
      <w:pPr>
        <w:tabs>
          <w:tab w:val="num" w:pos="18720"/>
        </w:tabs>
        <w:ind w:left="2232" w:hanging="360"/>
      </w:pPr>
      <w:rPr>
        <w:rFonts w:hint="default"/>
      </w:rPr>
    </w:lvl>
    <w:lvl w:ilvl="4" w:tplc="04090019">
      <w:start w:val="1"/>
      <w:numFmt w:val="decimal"/>
      <w:lvlText w:val="%5."/>
      <w:lvlJc w:val="left"/>
      <w:pPr>
        <w:tabs>
          <w:tab w:val="num" w:pos="3600"/>
        </w:tabs>
        <w:ind w:left="2592" w:hanging="360"/>
      </w:pPr>
      <w:rPr>
        <w:rFonts w:hint="default"/>
      </w:rPr>
    </w:lvl>
    <w:lvl w:ilvl="5" w:tplc="0409001B">
      <w:start w:val="1"/>
      <w:numFmt w:val="upperLetter"/>
      <w:lvlText w:val="%6."/>
      <w:lvlJc w:val="left"/>
      <w:pPr>
        <w:tabs>
          <w:tab w:val="num" w:pos="4320"/>
        </w:tabs>
        <w:ind w:left="2952" w:hanging="360"/>
      </w:pPr>
      <w:rPr>
        <w:rFonts w:hint="default"/>
      </w:rPr>
    </w:lvl>
    <w:lvl w:ilvl="6" w:tplc="0409000F">
      <w:start w:val="1"/>
      <w:numFmt w:val="lowerRoman"/>
      <w:lvlText w:val="%7."/>
      <w:lvlJc w:val="right"/>
      <w:pPr>
        <w:tabs>
          <w:tab w:val="num" w:pos="5040"/>
        </w:tabs>
        <w:ind w:left="3384" w:hanging="216"/>
      </w:pPr>
      <w:rPr>
        <w:rFonts w:hint="default"/>
      </w:rPr>
    </w:lvl>
    <w:lvl w:ilvl="7" w:tplc="04090019">
      <w:start w:val="1"/>
      <w:numFmt w:val="lowerLetter"/>
      <w:lvlText w:val="%8."/>
      <w:lvlJc w:val="left"/>
      <w:pPr>
        <w:tabs>
          <w:tab w:val="num" w:pos="5760"/>
        </w:tabs>
        <w:ind w:left="3744" w:hanging="360"/>
      </w:pPr>
      <w:rPr>
        <w:rFonts w:hint="default"/>
      </w:rPr>
    </w:lvl>
    <w:lvl w:ilvl="8" w:tplc="0409001B">
      <w:start w:val="1"/>
      <w:numFmt w:val="decimal"/>
      <w:lvlText w:val="%9."/>
      <w:lvlJc w:val="left"/>
      <w:pPr>
        <w:tabs>
          <w:tab w:val="num" w:pos="6390"/>
        </w:tabs>
        <w:ind w:left="4104" w:hanging="360"/>
      </w:pPr>
      <w:rPr>
        <w:rFonts w:hint="default"/>
      </w:rPr>
    </w:lvl>
  </w:abstractNum>
  <w:abstractNum w:abstractNumId="6" w15:restartNumberingAfterBreak="0">
    <w:nsid w:val="17B07695"/>
    <w:multiLevelType w:val="hybridMultilevel"/>
    <w:tmpl w:val="4BE03196"/>
    <w:lvl w:ilvl="0" w:tplc="D82CBBB0">
      <w:start w:val="1"/>
      <w:numFmt w:val="bullet"/>
      <w:pStyle w:val="Bullet2Las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60901"/>
    <w:multiLevelType w:val="hybridMultilevel"/>
    <w:tmpl w:val="49AC9DE0"/>
    <w:lvl w:ilvl="0" w:tplc="2698DEF6">
      <w:start w:val="1"/>
      <w:numFmt w:val="bullet"/>
      <w:pStyle w:val="Bullet3"/>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D1B50"/>
    <w:multiLevelType w:val="hybridMultilevel"/>
    <w:tmpl w:val="1626F50C"/>
    <w:lvl w:ilvl="0" w:tplc="BE1606E8">
      <w:start w:val="1"/>
      <w:numFmt w:val="bullet"/>
      <w:pStyle w:val="CheckedLis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8603A7"/>
    <w:multiLevelType w:val="hybridMultilevel"/>
    <w:tmpl w:val="46C46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74F04"/>
    <w:multiLevelType w:val="hybridMultilevel"/>
    <w:tmpl w:val="384A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F1368"/>
    <w:multiLevelType w:val="hybridMultilevel"/>
    <w:tmpl w:val="4EF6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84CA0"/>
    <w:multiLevelType w:val="hybridMultilevel"/>
    <w:tmpl w:val="D44C157C"/>
    <w:lvl w:ilvl="0" w:tplc="11AEBE6A">
      <w:start w:val="1"/>
      <w:numFmt w:val="bullet"/>
      <w:pStyle w:val="CheckLis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A01D44"/>
    <w:multiLevelType w:val="hybridMultilevel"/>
    <w:tmpl w:val="FFFAE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A4E0C"/>
    <w:multiLevelType w:val="multilevel"/>
    <w:tmpl w:val="37B6C3E6"/>
    <w:lvl w:ilvl="0">
      <w:start w:val="1"/>
      <w:numFmt w:val="decimal"/>
      <w:lvlText w:val="%1.0"/>
      <w:lvlJc w:val="center"/>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C4E1851"/>
    <w:multiLevelType w:val="hybridMultilevel"/>
    <w:tmpl w:val="D19CF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EF21F8"/>
    <w:multiLevelType w:val="hybridMultilevel"/>
    <w:tmpl w:val="CD6E9106"/>
    <w:lvl w:ilvl="0" w:tplc="EE6A1D20">
      <w:start w:val="1"/>
      <w:numFmt w:val="bullet"/>
      <w:pStyle w:val="Bullet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FC09C4"/>
    <w:multiLevelType w:val="hybridMultilevel"/>
    <w:tmpl w:val="969A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F5497"/>
    <w:multiLevelType w:val="hybridMultilevel"/>
    <w:tmpl w:val="E3FCDB7E"/>
    <w:lvl w:ilvl="0" w:tplc="30BC23B2">
      <w:start w:val="1"/>
      <w:numFmt w:val="bullet"/>
      <w:pStyle w:val="Bullet3Las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00FAD"/>
    <w:multiLevelType w:val="singleLevel"/>
    <w:tmpl w:val="10AE4EC8"/>
    <w:lvl w:ilvl="0">
      <w:start w:val="1"/>
      <w:numFmt w:val="bullet"/>
      <w:lvlText w:val=""/>
      <w:lvlJc w:val="left"/>
      <w:pPr>
        <w:tabs>
          <w:tab w:val="num" w:pos="0"/>
        </w:tabs>
        <w:ind w:left="1080" w:hanging="360"/>
      </w:pPr>
      <w:rPr>
        <w:rFonts w:ascii="Wingdings" w:hAnsi="Wingdings" w:hint="default"/>
      </w:rPr>
    </w:lvl>
  </w:abstractNum>
  <w:abstractNum w:abstractNumId="20" w15:restartNumberingAfterBreak="0">
    <w:nsid w:val="750802E7"/>
    <w:multiLevelType w:val="hybridMultilevel"/>
    <w:tmpl w:val="2892B856"/>
    <w:lvl w:ilvl="0" w:tplc="5CCEE5CA">
      <w:start w:val="1"/>
      <w:numFmt w:val="bullet"/>
      <w:pStyle w:val="BulletMarginLa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224E8C"/>
    <w:multiLevelType w:val="singleLevel"/>
    <w:tmpl w:val="D55E361A"/>
    <w:lvl w:ilvl="0">
      <w:start w:val="1"/>
      <w:numFmt w:val="bullet"/>
      <w:lvlText w:val=""/>
      <w:lvlJc w:val="left"/>
      <w:pPr>
        <w:tabs>
          <w:tab w:val="num" w:pos="0"/>
        </w:tabs>
        <w:ind w:left="1080" w:hanging="360"/>
      </w:pPr>
      <w:rPr>
        <w:rFonts w:ascii="Wingdings" w:hAnsi="Wingdings" w:hint="default"/>
      </w:rPr>
    </w:lvl>
  </w:abstractNum>
  <w:abstractNum w:abstractNumId="22" w15:restartNumberingAfterBreak="0">
    <w:nsid w:val="7A9E53F0"/>
    <w:multiLevelType w:val="hybridMultilevel"/>
    <w:tmpl w:val="DBC6E5BC"/>
    <w:lvl w:ilvl="0" w:tplc="F50686A8">
      <w:start w:val="1"/>
      <w:numFmt w:val="bullet"/>
      <w:lvlText w:val=""/>
      <w:lvlJc w:val="left"/>
      <w:pPr>
        <w:ind w:left="1080" w:hanging="360"/>
      </w:pPr>
      <w:rPr>
        <w:rFonts w:ascii="Symbol" w:hAnsi="Symbol"/>
      </w:rPr>
    </w:lvl>
    <w:lvl w:ilvl="1" w:tplc="6D96879E">
      <w:start w:val="1"/>
      <w:numFmt w:val="bullet"/>
      <w:lvlText w:val=""/>
      <w:lvlJc w:val="left"/>
      <w:pPr>
        <w:ind w:left="1080" w:hanging="360"/>
      </w:pPr>
      <w:rPr>
        <w:rFonts w:ascii="Symbol" w:hAnsi="Symbol"/>
      </w:rPr>
    </w:lvl>
    <w:lvl w:ilvl="2" w:tplc="2B08174C">
      <w:start w:val="1"/>
      <w:numFmt w:val="bullet"/>
      <w:lvlText w:val=""/>
      <w:lvlJc w:val="left"/>
      <w:pPr>
        <w:ind w:left="1080" w:hanging="360"/>
      </w:pPr>
      <w:rPr>
        <w:rFonts w:ascii="Symbol" w:hAnsi="Symbol"/>
      </w:rPr>
    </w:lvl>
    <w:lvl w:ilvl="3" w:tplc="41FA6E80">
      <w:start w:val="1"/>
      <w:numFmt w:val="bullet"/>
      <w:lvlText w:val=""/>
      <w:lvlJc w:val="left"/>
      <w:pPr>
        <w:ind w:left="1080" w:hanging="360"/>
      </w:pPr>
      <w:rPr>
        <w:rFonts w:ascii="Symbol" w:hAnsi="Symbol"/>
      </w:rPr>
    </w:lvl>
    <w:lvl w:ilvl="4" w:tplc="B65EE22E">
      <w:start w:val="1"/>
      <w:numFmt w:val="bullet"/>
      <w:lvlText w:val=""/>
      <w:lvlJc w:val="left"/>
      <w:pPr>
        <w:ind w:left="1080" w:hanging="360"/>
      </w:pPr>
      <w:rPr>
        <w:rFonts w:ascii="Symbol" w:hAnsi="Symbol"/>
      </w:rPr>
    </w:lvl>
    <w:lvl w:ilvl="5" w:tplc="B164C6DE">
      <w:start w:val="1"/>
      <w:numFmt w:val="bullet"/>
      <w:lvlText w:val=""/>
      <w:lvlJc w:val="left"/>
      <w:pPr>
        <w:ind w:left="1080" w:hanging="360"/>
      </w:pPr>
      <w:rPr>
        <w:rFonts w:ascii="Symbol" w:hAnsi="Symbol"/>
      </w:rPr>
    </w:lvl>
    <w:lvl w:ilvl="6" w:tplc="CB4E106C">
      <w:start w:val="1"/>
      <w:numFmt w:val="bullet"/>
      <w:lvlText w:val=""/>
      <w:lvlJc w:val="left"/>
      <w:pPr>
        <w:ind w:left="1080" w:hanging="360"/>
      </w:pPr>
      <w:rPr>
        <w:rFonts w:ascii="Symbol" w:hAnsi="Symbol"/>
      </w:rPr>
    </w:lvl>
    <w:lvl w:ilvl="7" w:tplc="7A66F9C2">
      <w:start w:val="1"/>
      <w:numFmt w:val="bullet"/>
      <w:lvlText w:val=""/>
      <w:lvlJc w:val="left"/>
      <w:pPr>
        <w:ind w:left="1080" w:hanging="360"/>
      </w:pPr>
      <w:rPr>
        <w:rFonts w:ascii="Symbol" w:hAnsi="Symbol"/>
      </w:rPr>
    </w:lvl>
    <w:lvl w:ilvl="8" w:tplc="45D09CE4">
      <w:start w:val="1"/>
      <w:numFmt w:val="bullet"/>
      <w:lvlText w:val=""/>
      <w:lvlJc w:val="left"/>
      <w:pPr>
        <w:ind w:left="1080" w:hanging="360"/>
      </w:pPr>
      <w:rPr>
        <w:rFonts w:ascii="Symbol" w:hAnsi="Symbol"/>
      </w:rPr>
    </w:lvl>
  </w:abstractNum>
  <w:abstractNum w:abstractNumId="23" w15:restartNumberingAfterBreak="0">
    <w:nsid w:val="7BBF22D3"/>
    <w:multiLevelType w:val="hybridMultilevel"/>
    <w:tmpl w:val="4CA83324"/>
    <w:lvl w:ilvl="0" w:tplc="76F04336">
      <w:start w:val="1"/>
      <w:numFmt w:val="bullet"/>
      <w:pStyle w:val="Bullet1La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3974213">
    <w:abstractNumId w:val="16"/>
  </w:num>
  <w:num w:numId="2" w16cid:durableId="1395275394">
    <w:abstractNumId w:val="23"/>
  </w:num>
  <w:num w:numId="3" w16cid:durableId="981616521">
    <w:abstractNumId w:val="1"/>
  </w:num>
  <w:num w:numId="4" w16cid:durableId="1760712340">
    <w:abstractNumId w:val="6"/>
  </w:num>
  <w:num w:numId="5" w16cid:durableId="163521941">
    <w:abstractNumId w:val="7"/>
  </w:num>
  <w:num w:numId="6" w16cid:durableId="1524049492">
    <w:abstractNumId w:val="18"/>
  </w:num>
  <w:num w:numId="7" w16cid:durableId="695544209">
    <w:abstractNumId w:val="0"/>
  </w:num>
  <w:num w:numId="8" w16cid:durableId="801388383">
    <w:abstractNumId w:val="20"/>
  </w:num>
  <w:num w:numId="9" w16cid:durableId="1360934008">
    <w:abstractNumId w:val="8"/>
  </w:num>
  <w:num w:numId="10" w16cid:durableId="574631985">
    <w:abstractNumId w:val="12"/>
  </w:num>
  <w:num w:numId="11" w16cid:durableId="511845025">
    <w:abstractNumId w:val="5"/>
  </w:num>
  <w:num w:numId="12" w16cid:durableId="541791189">
    <w:abstractNumId w:val="14"/>
  </w:num>
  <w:num w:numId="13" w16cid:durableId="1402874423">
    <w:abstractNumId w:val="14"/>
  </w:num>
  <w:num w:numId="14" w16cid:durableId="1043291883">
    <w:abstractNumId w:val="14"/>
  </w:num>
  <w:num w:numId="15" w16cid:durableId="2048778">
    <w:abstractNumId w:val="14"/>
  </w:num>
  <w:num w:numId="16" w16cid:durableId="1826974590">
    <w:abstractNumId w:val="5"/>
    <w:lvlOverride w:ilvl="0">
      <w:startOverride w:val="1"/>
    </w:lvlOverride>
  </w:num>
  <w:num w:numId="17" w16cid:durableId="1668941902">
    <w:abstractNumId w:val="0"/>
  </w:num>
  <w:num w:numId="18" w16cid:durableId="467866986">
    <w:abstractNumId w:val="9"/>
  </w:num>
  <w:num w:numId="19" w16cid:durableId="1705599220">
    <w:abstractNumId w:val="13"/>
  </w:num>
  <w:num w:numId="20" w16cid:durableId="1430613840">
    <w:abstractNumId w:val="3"/>
  </w:num>
  <w:num w:numId="21" w16cid:durableId="759720261">
    <w:abstractNumId w:val="11"/>
  </w:num>
  <w:num w:numId="22" w16cid:durableId="1235046126">
    <w:abstractNumId w:val="10"/>
  </w:num>
  <w:num w:numId="23" w16cid:durableId="475225724">
    <w:abstractNumId w:val="2"/>
  </w:num>
  <w:num w:numId="24" w16cid:durableId="1485394668">
    <w:abstractNumId w:val="17"/>
  </w:num>
  <w:num w:numId="25" w16cid:durableId="997921911">
    <w:abstractNumId w:val="22"/>
  </w:num>
  <w:num w:numId="26" w16cid:durableId="2113012925">
    <w:abstractNumId w:val="15"/>
  </w:num>
  <w:num w:numId="27" w16cid:durableId="1423064098">
    <w:abstractNumId w:val="4"/>
  </w:num>
  <w:num w:numId="28" w16cid:durableId="1909614754">
    <w:abstractNumId w:val="19"/>
  </w:num>
  <w:num w:numId="29" w16cid:durableId="21364865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04D"/>
    <w:rsid w:val="00000700"/>
    <w:rsid w:val="00001570"/>
    <w:rsid w:val="000018F7"/>
    <w:rsid w:val="00001F36"/>
    <w:rsid w:val="00003003"/>
    <w:rsid w:val="00004387"/>
    <w:rsid w:val="00005B28"/>
    <w:rsid w:val="00006A11"/>
    <w:rsid w:val="000076E6"/>
    <w:rsid w:val="00010A6F"/>
    <w:rsid w:val="00011102"/>
    <w:rsid w:val="00015E07"/>
    <w:rsid w:val="00016430"/>
    <w:rsid w:val="00017782"/>
    <w:rsid w:val="000207A2"/>
    <w:rsid w:val="00021E45"/>
    <w:rsid w:val="00021FB3"/>
    <w:rsid w:val="00023AD0"/>
    <w:rsid w:val="00024407"/>
    <w:rsid w:val="00024762"/>
    <w:rsid w:val="00024CFC"/>
    <w:rsid w:val="000255EB"/>
    <w:rsid w:val="000301E8"/>
    <w:rsid w:val="00030A8C"/>
    <w:rsid w:val="000311C2"/>
    <w:rsid w:val="00033548"/>
    <w:rsid w:val="00035AC5"/>
    <w:rsid w:val="00035F02"/>
    <w:rsid w:val="0003675B"/>
    <w:rsid w:val="000376AF"/>
    <w:rsid w:val="00037836"/>
    <w:rsid w:val="00043641"/>
    <w:rsid w:val="00043BF9"/>
    <w:rsid w:val="00045C61"/>
    <w:rsid w:val="000463F0"/>
    <w:rsid w:val="000468C1"/>
    <w:rsid w:val="00047348"/>
    <w:rsid w:val="00047EFB"/>
    <w:rsid w:val="00051171"/>
    <w:rsid w:val="0005194E"/>
    <w:rsid w:val="00052BAC"/>
    <w:rsid w:val="0005353C"/>
    <w:rsid w:val="000540B2"/>
    <w:rsid w:val="00054601"/>
    <w:rsid w:val="00055F25"/>
    <w:rsid w:val="000562F8"/>
    <w:rsid w:val="00056ABA"/>
    <w:rsid w:val="00056C33"/>
    <w:rsid w:val="00057A25"/>
    <w:rsid w:val="00060AB9"/>
    <w:rsid w:val="00061230"/>
    <w:rsid w:val="000617A8"/>
    <w:rsid w:val="00061FCB"/>
    <w:rsid w:val="00063702"/>
    <w:rsid w:val="000638F0"/>
    <w:rsid w:val="00063DA3"/>
    <w:rsid w:val="00065E8F"/>
    <w:rsid w:val="00066224"/>
    <w:rsid w:val="0007039A"/>
    <w:rsid w:val="00070C3B"/>
    <w:rsid w:val="00071507"/>
    <w:rsid w:val="00072CA1"/>
    <w:rsid w:val="00074012"/>
    <w:rsid w:val="00074100"/>
    <w:rsid w:val="00075C37"/>
    <w:rsid w:val="0007604E"/>
    <w:rsid w:val="00076093"/>
    <w:rsid w:val="00076287"/>
    <w:rsid w:val="00076684"/>
    <w:rsid w:val="00077900"/>
    <w:rsid w:val="0008002E"/>
    <w:rsid w:val="0008027A"/>
    <w:rsid w:val="00080830"/>
    <w:rsid w:val="00081038"/>
    <w:rsid w:val="00081BBD"/>
    <w:rsid w:val="00081C35"/>
    <w:rsid w:val="0008207E"/>
    <w:rsid w:val="00084014"/>
    <w:rsid w:val="00084B9A"/>
    <w:rsid w:val="0008508E"/>
    <w:rsid w:val="0008551F"/>
    <w:rsid w:val="00086001"/>
    <w:rsid w:val="00086DC3"/>
    <w:rsid w:val="00087686"/>
    <w:rsid w:val="0009016F"/>
    <w:rsid w:val="00090FDB"/>
    <w:rsid w:val="00092086"/>
    <w:rsid w:val="0009310F"/>
    <w:rsid w:val="00093395"/>
    <w:rsid w:val="000936CE"/>
    <w:rsid w:val="00093B43"/>
    <w:rsid w:val="000942EB"/>
    <w:rsid w:val="000948FF"/>
    <w:rsid w:val="00095ACC"/>
    <w:rsid w:val="00096715"/>
    <w:rsid w:val="000973C3"/>
    <w:rsid w:val="00097EB4"/>
    <w:rsid w:val="00097F68"/>
    <w:rsid w:val="000A0B99"/>
    <w:rsid w:val="000A1CA8"/>
    <w:rsid w:val="000A37E6"/>
    <w:rsid w:val="000A4D11"/>
    <w:rsid w:val="000A54A7"/>
    <w:rsid w:val="000A5FAD"/>
    <w:rsid w:val="000A608A"/>
    <w:rsid w:val="000A645E"/>
    <w:rsid w:val="000A65D0"/>
    <w:rsid w:val="000A685F"/>
    <w:rsid w:val="000A7879"/>
    <w:rsid w:val="000A79BC"/>
    <w:rsid w:val="000A7A6D"/>
    <w:rsid w:val="000B01CC"/>
    <w:rsid w:val="000B02A7"/>
    <w:rsid w:val="000B06A3"/>
    <w:rsid w:val="000B08C1"/>
    <w:rsid w:val="000B11CF"/>
    <w:rsid w:val="000B1B06"/>
    <w:rsid w:val="000B1D7B"/>
    <w:rsid w:val="000B2621"/>
    <w:rsid w:val="000B37A2"/>
    <w:rsid w:val="000B3A1B"/>
    <w:rsid w:val="000B4A2E"/>
    <w:rsid w:val="000B6CD8"/>
    <w:rsid w:val="000B73C8"/>
    <w:rsid w:val="000C1413"/>
    <w:rsid w:val="000C199B"/>
    <w:rsid w:val="000C1AB3"/>
    <w:rsid w:val="000C421E"/>
    <w:rsid w:val="000C519E"/>
    <w:rsid w:val="000C5B0F"/>
    <w:rsid w:val="000C5B22"/>
    <w:rsid w:val="000C60B5"/>
    <w:rsid w:val="000C680F"/>
    <w:rsid w:val="000C6851"/>
    <w:rsid w:val="000C6CC3"/>
    <w:rsid w:val="000D106E"/>
    <w:rsid w:val="000D20B5"/>
    <w:rsid w:val="000D2C6A"/>
    <w:rsid w:val="000D3170"/>
    <w:rsid w:val="000D3219"/>
    <w:rsid w:val="000D3347"/>
    <w:rsid w:val="000D3F49"/>
    <w:rsid w:val="000D4111"/>
    <w:rsid w:val="000D43CF"/>
    <w:rsid w:val="000D4401"/>
    <w:rsid w:val="000D4C56"/>
    <w:rsid w:val="000D4D8A"/>
    <w:rsid w:val="000D53C8"/>
    <w:rsid w:val="000D6485"/>
    <w:rsid w:val="000D6ABE"/>
    <w:rsid w:val="000D79B4"/>
    <w:rsid w:val="000E11ED"/>
    <w:rsid w:val="000E1AAD"/>
    <w:rsid w:val="000E2A16"/>
    <w:rsid w:val="000E37CF"/>
    <w:rsid w:val="000E5930"/>
    <w:rsid w:val="000E595A"/>
    <w:rsid w:val="000E5A43"/>
    <w:rsid w:val="000E6500"/>
    <w:rsid w:val="000E72A3"/>
    <w:rsid w:val="000F10ED"/>
    <w:rsid w:val="000F2DCA"/>
    <w:rsid w:val="000F522E"/>
    <w:rsid w:val="000F5B61"/>
    <w:rsid w:val="000F6374"/>
    <w:rsid w:val="000F6644"/>
    <w:rsid w:val="000F6A91"/>
    <w:rsid w:val="000F7118"/>
    <w:rsid w:val="000F7370"/>
    <w:rsid w:val="000F7A2E"/>
    <w:rsid w:val="000F7E50"/>
    <w:rsid w:val="00101393"/>
    <w:rsid w:val="00103285"/>
    <w:rsid w:val="0010350B"/>
    <w:rsid w:val="0010361A"/>
    <w:rsid w:val="00103D0B"/>
    <w:rsid w:val="00103FCB"/>
    <w:rsid w:val="001043BA"/>
    <w:rsid w:val="0010442A"/>
    <w:rsid w:val="001045F1"/>
    <w:rsid w:val="00105525"/>
    <w:rsid w:val="00105C23"/>
    <w:rsid w:val="0010675F"/>
    <w:rsid w:val="00107283"/>
    <w:rsid w:val="00107B07"/>
    <w:rsid w:val="00110574"/>
    <w:rsid w:val="0011159A"/>
    <w:rsid w:val="00111CB8"/>
    <w:rsid w:val="001133B8"/>
    <w:rsid w:val="00113F8E"/>
    <w:rsid w:val="00114290"/>
    <w:rsid w:val="001149EB"/>
    <w:rsid w:val="00114AA3"/>
    <w:rsid w:val="00115435"/>
    <w:rsid w:val="0011649A"/>
    <w:rsid w:val="00117B2F"/>
    <w:rsid w:val="00120677"/>
    <w:rsid w:val="00120B9A"/>
    <w:rsid w:val="001210DB"/>
    <w:rsid w:val="00122FE5"/>
    <w:rsid w:val="0012373D"/>
    <w:rsid w:val="001237B2"/>
    <w:rsid w:val="00124999"/>
    <w:rsid w:val="00124B03"/>
    <w:rsid w:val="00124F2D"/>
    <w:rsid w:val="00124F75"/>
    <w:rsid w:val="001253E3"/>
    <w:rsid w:val="00130727"/>
    <w:rsid w:val="001310E0"/>
    <w:rsid w:val="00131AAE"/>
    <w:rsid w:val="00132147"/>
    <w:rsid w:val="001327F2"/>
    <w:rsid w:val="00132AFB"/>
    <w:rsid w:val="001338DC"/>
    <w:rsid w:val="00135145"/>
    <w:rsid w:val="00136046"/>
    <w:rsid w:val="00136C55"/>
    <w:rsid w:val="00136E94"/>
    <w:rsid w:val="0013756F"/>
    <w:rsid w:val="00141D1C"/>
    <w:rsid w:val="001424B3"/>
    <w:rsid w:val="0014433C"/>
    <w:rsid w:val="001444E7"/>
    <w:rsid w:val="00144EFC"/>
    <w:rsid w:val="0014630C"/>
    <w:rsid w:val="0014640D"/>
    <w:rsid w:val="0014765B"/>
    <w:rsid w:val="00150B86"/>
    <w:rsid w:val="001518C8"/>
    <w:rsid w:val="00151923"/>
    <w:rsid w:val="00152ED1"/>
    <w:rsid w:val="00153145"/>
    <w:rsid w:val="00153EFE"/>
    <w:rsid w:val="001542E0"/>
    <w:rsid w:val="00154379"/>
    <w:rsid w:val="001560C5"/>
    <w:rsid w:val="00156332"/>
    <w:rsid w:val="0015645D"/>
    <w:rsid w:val="00156583"/>
    <w:rsid w:val="00156DA0"/>
    <w:rsid w:val="0015700D"/>
    <w:rsid w:val="001574CA"/>
    <w:rsid w:val="00157C28"/>
    <w:rsid w:val="001602A3"/>
    <w:rsid w:val="0016289A"/>
    <w:rsid w:val="00163292"/>
    <w:rsid w:val="001633A5"/>
    <w:rsid w:val="001637AD"/>
    <w:rsid w:val="00163C16"/>
    <w:rsid w:val="00163DC8"/>
    <w:rsid w:val="00164906"/>
    <w:rsid w:val="0016521F"/>
    <w:rsid w:val="001656D5"/>
    <w:rsid w:val="00165836"/>
    <w:rsid w:val="00165A8B"/>
    <w:rsid w:val="001661AF"/>
    <w:rsid w:val="00166F32"/>
    <w:rsid w:val="0016710F"/>
    <w:rsid w:val="001673FC"/>
    <w:rsid w:val="00167A5F"/>
    <w:rsid w:val="001706C2"/>
    <w:rsid w:val="00170EB8"/>
    <w:rsid w:val="001719F6"/>
    <w:rsid w:val="00171A05"/>
    <w:rsid w:val="00171BEA"/>
    <w:rsid w:val="00171F37"/>
    <w:rsid w:val="001721D6"/>
    <w:rsid w:val="001732C3"/>
    <w:rsid w:val="001743B2"/>
    <w:rsid w:val="00174A88"/>
    <w:rsid w:val="00174AFE"/>
    <w:rsid w:val="0017510C"/>
    <w:rsid w:val="00175AAD"/>
    <w:rsid w:val="001760BC"/>
    <w:rsid w:val="0017655E"/>
    <w:rsid w:val="00177356"/>
    <w:rsid w:val="00177E67"/>
    <w:rsid w:val="001805AB"/>
    <w:rsid w:val="00180CEF"/>
    <w:rsid w:val="00181AB2"/>
    <w:rsid w:val="00183503"/>
    <w:rsid w:val="00183DE9"/>
    <w:rsid w:val="00184472"/>
    <w:rsid w:val="00186697"/>
    <w:rsid w:val="0018674A"/>
    <w:rsid w:val="00190424"/>
    <w:rsid w:val="001908E5"/>
    <w:rsid w:val="001908FB"/>
    <w:rsid w:val="00192E96"/>
    <w:rsid w:val="00193298"/>
    <w:rsid w:val="00193651"/>
    <w:rsid w:val="00195A26"/>
    <w:rsid w:val="00197C31"/>
    <w:rsid w:val="001A011B"/>
    <w:rsid w:val="001A1087"/>
    <w:rsid w:val="001A1F87"/>
    <w:rsid w:val="001A384A"/>
    <w:rsid w:val="001A6872"/>
    <w:rsid w:val="001A6BE3"/>
    <w:rsid w:val="001B035F"/>
    <w:rsid w:val="001B1B9A"/>
    <w:rsid w:val="001B1C73"/>
    <w:rsid w:val="001B1E2E"/>
    <w:rsid w:val="001B20C3"/>
    <w:rsid w:val="001B2948"/>
    <w:rsid w:val="001B2B77"/>
    <w:rsid w:val="001B301A"/>
    <w:rsid w:val="001B3256"/>
    <w:rsid w:val="001B4D71"/>
    <w:rsid w:val="001B6CE0"/>
    <w:rsid w:val="001C0C1C"/>
    <w:rsid w:val="001C2303"/>
    <w:rsid w:val="001C235F"/>
    <w:rsid w:val="001C31BD"/>
    <w:rsid w:val="001C3950"/>
    <w:rsid w:val="001C411E"/>
    <w:rsid w:val="001C41FD"/>
    <w:rsid w:val="001C4B4D"/>
    <w:rsid w:val="001C4DB0"/>
    <w:rsid w:val="001C5DEE"/>
    <w:rsid w:val="001C634B"/>
    <w:rsid w:val="001C6AAE"/>
    <w:rsid w:val="001D0856"/>
    <w:rsid w:val="001D08BA"/>
    <w:rsid w:val="001D18A3"/>
    <w:rsid w:val="001D19CE"/>
    <w:rsid w:val="001D1CB5"/>
    <w:rsid w:val="001D213A"/>
    <w:rsid w:val="001D2641"/>
    <w:rsid w:val="001D29B5"/>
    <w:rsid w:val="001D2D8D"/>
    <w:rsid w:val="001D2FFA"/>
    <w:rsid w:val="001D3DCE"/>
    <w:rsid w:val="001D4096"/>
    <w:rsid w:val="001D4969"/>
    <w:rsid w:val="001D5CE4"/>
    <w:rsid w:val="001E1D8D"/>
    <w:rsid w:val="001E210C"/>
    <w:rsid w:val="001E3764"/>
    <w:rsid w:val="001E3EB1"/>
    <w:rsid w:val="001E4CB8"/>
    <w:rsid w:val="001E5408"/>
    <w:rsid w:val="001E54E9"/>
    <w:rsid w:val="001E7714"/>
    <w:rsid w:val="001E7C84"/>
    <w:rsid w:val="001F0969"/>
    <w:rsid w:val="001F0F0F"/>
    <w:rsid w:val="001F1E45"/>
    <w:rsid w:val="001F25A3"/>
    <w:rsid w:val="001F2896"/>
    <w:rsid w:val="001F28EB"/>
    <w:rsid w:val="001F2E2D"/>
    <w:rsid w:val="001F41C5"/>
    <w:rsid w:val="001F5B0B"/>
    <w:rsid w:val="001F5BAF"/>
    <w:rsid w:val="001F64CA"/>
    <w:rsid w:val="001F6D7F"/>
    <w:rsid w:val="001F6D99"/>
    <w:rsid w:val="001F7FA9"/>
    <w:rsid w:val="002014E7"/>
    <w:rsid w:val="00203545"/>
    <w:rsid w:val="00203A79"/>
    <w:rsid w:val="00203AA9"/>
    <w:rsid w:val="0020468E"/>
    <w:rsid w:val="002048CA"/>
    <w:rsid w:val="00205270"/>
    <w:rsid w:val="002059A9"/>
    <w:rsid w:val="00205D11"/>
    <w:rsid w:val="0021004D"/>
    <w:rsid w:val="0021122B"/>
    <w:rsid w:val="00212C42"/>
    <w:rsid w:val="00213AEF"/>
    <w:rsid w:val="002142EA"/>
    <w:rsid w:val="00214723"/>
    <w:rsid w:val="0021486B"/>
    <w:rsid w:val="00215B28"/>
    <w:rsid w:val="00216301"/>
    <w:rsid w:val="00216BF0"/>
    <w:rsid w:val="00216D6A"/>
    <w:rsid w:val="00217586"/>
    <w:rsid w:val="002204E0"/>
    <w:rsid w:val="00221BD8"/>
    <w:rsid w:val="00223159"/>
    <w:rsid w:val="00223888"/>
    <w:rsid w:val="00225C4A"/>
    <w:rsid w:val="002269E2"/>
    <w:rsid w:val="0022756A"/>
    <w:rsid w:val="00227A6E"/>
    <w:rsid w:val="00227D84"/>
    <w:rsid w:val="00230C0F"/>
    <w:rsid w:val="0023252A"/>
    <w:rsid w:val="0023310F"/>
    <w:rsid w:val="0023317B"/>
    <w:rsid w:val="00233672"/>
    <w:rsid w:val="00233EA8"/>
    <w:rsid w:val="002345FA"/>
    <w:rsid w:val="0023571D"/>
    <w:rsid w:val="002363DB"/>
    <w:rsid w:val="00237184"/>
    <w:rsid w:val="00237F8E"/>
    <w:rsid w:val="00240196"/>
    <w:rsid w:val="00240376"/>
    <w:rsid w:val="002440D8"/>
    <w:rsid w:val="00245B61"/>
    <w:rsid w:val="00250336"/>
    <w:rsid w:val="00251951"/>
    <w:rsid w:val="00251DF2"/>
    <w:rsid w:val="00251E54"/>
    <w:rsid w:val="002520C2"/>
    <w:rsid w:val="0025386D"/>
    <w:rsid w:val="002539AB"/>
    <w:rsid w:val="00253EF4"/>
    <w:rsid w:val="00253F27"/>
    <w:rsid w:val="00254C3C"/>
    <w:rsid w:val="00255113"/>
    <w:rsid w:val="00256557"/>
    <w:rsid w:val="00256672"/>
    <w:rsid w:val="00257CEC"/>
    <w:rsid w:val="0026392C"/>
    <w:rsid w:val="0026459E"/>
    <w:rsid w:val="00266605"/>
    <w:rsid w:val="0026661E"/>
    <w:rsid w:val="002674B6"/>
    <w:rsid w:val="0026761B"/>
    <w:rsid w:val="00267637"/>
    <w:rsid w:val="002702A4"/>
    <w:rsid w:val="002716B7"/>
    <w:rsid w:val="00271D17"/>
    <w:rsid w:val="0027231A"/>
    <w:rsid w:val="002724F9"/>
    <w:rsid w:val="002726C7"/>
    <w:rsid w:val="00272746"/>
    <w:rsid w:val="00272EBC"/>
    <w:rsid w:val="00280E89"/>
    <w:rsid w:val="00281856"/>
    <w:rsid w:val="00282503"/>
    <w:rsid w:val="00282946"/>
    <w:rsid w:val="00283C6B"/>
    <w:rsid w:val="00284C8A"/>
    <w:rsid w:val="00284D3F"/>
    <w:rsid w:val="00284D9D"/>
    <w:rsid w:val="00285042"/>
    <w:rsid w:val="00285863"/>
    <w:rsid w:val="00285870"/>
    <w:rsid w:val="00286851"/>
    <w:rsid w:val="00286A67"/>
    <w:rsid w:val="00286FA7"/>
    <w:rsid w:val="0028753C"/>
    <w:rsid w:val="00290703"/>
    <w:rsid w:val="0029100B"/>
    <w:rsid w:val="00291C8D"/>
    <w:rsid w:val="00292F49"/>
    <w:rsid w:val="00293928"/>
    <w:rsid w:val="00293D82"/>
    <w:rsid w:val="00296418"/>
    <w:rsid w:val="00296BF7"/>
    <w:rsid w:val="002973C9"/>
    <w:rsid w:val="002A000D"/>
    <w:rsid w:val="002A00A9"/>
    <w:rsid w:val="002A0508"/>
    <w:rsid w:val="002A1178"/>
    <w:rsid w:val="002A32EF"/>
    <w:rsid w:val="002A4B47"/>
    <w:rsid w:val="002A5C66"/>
    <w:rsid w:val="002A78C9"/>
    <w:rsid w:val="002B0F60"/>
    <w:rsid w:val="002B1619"/>
    <w:rsid w:val="002B2C9C"/>
    <w:rsid w:val="002B32F8"/>
    <w:rsid w:val="002B4E70"/>
    <w:rsid w:val="002B50A9"/>
    <w:rsid w:val="002B5277"/>
    <w:rsid w:val="002B5892"/>
    <w:rsid w:val="002B5901"/>
    <w:rsid w:val="002B5D76"/>
    <w:rsid w:val="002B69D6"/>
    <w:rsid w:val="002B6C12"/>
    <w:rsid w:val="002B73C4"/>
    <w:rsid w:val="002C01B0"/>
    <w:rsid w:val="002C0CDC"/>
    <w:rsid w:val="002C1310"/>
    <w:rsid w:val="002C3009"/>
    <w:rsid w:val="002C396B"/>
    <w:rsid w:val="002C39E2"/>
    <w:rsid w:val="002C3B92"/>
    <w:rsid w:val="002C4D41"/>
    <w:rsid w:val="002C51BD"/>
    <w:rsid w:val="002C54B2"/>
    <w:rsid w:val="002C57D0"/>
    <w:rsid w:val="002C5B73"/>
    <w:rsid w:val="002C6110"/>
    <w:rsid w:val="002C7B14"/>
    <w:rsid w:val="002C7BA7"/>
    <w:rsid w:val="002C7D73"/>
    <w:rsid w:val="002D111B"/>
    <w:rsid w:val="002D12B4"/>
    <w:rsid w:val="002D378A"/>
    <w:rsid w:val="002D3E48"/>
    <w:rsid w:val="002D4A55"/>
    <w:rsid w:val="002D54E6"/>
    <w:rsid w:val="002D7471"/>
    <w:rsid w:val="002D75AC"/>
    <w:rsid w:val="002E0160"/>
    <w:rsid w:val="002E100A"/>
    <w:rsid w:val="002E13A1"/>
    <w:rsid w:val="002E149F"/>
    <w:rsid w:val="002E2EB0"/>
    <w:rsid w:val="002E3E7A"/>
    <w:rsid w:val="002E5210"/>
    <w:rsid w:val="002E5376"/>
    <w:rsid w:val="002E6ED0"/>
    <w:rsid w:val="002E78C1"/>
    <w:rsid w:val="002E7A4A"/>
    <w:rsid w:val="002F00F1"/>
    <w:rsid w:val="002F02D1"/>
    <w:rsid w:val="002F0D1E"/>
    <w:rsid w:val="002F156F"/>
    <w:rsid w:val="002F1E92"/>
    <w:rsid w:val="002F2849"/>
    <w:rsid w:val="002F2B81"/>
    <w:rsid w:val="002F488E"/>
    <w:rsid w:val="002F5176"/>
    <w:rsid w:val="002F53AE"/>
    <w:rsid w:val="002F5580"/>
    <w:rsid w:val="002F561D"/>
    <w:rsid w:val="002F6083"/>
    <w:rsid w:val="002F61E0"/>
    <w:rsid w:val="002F640E"/>
    <w:rsid w:val="002F6C9C"/>
    <w:rsid w:val="002F6F9C"/>
    <w:rsid w:val="002F7407"/>
    <w:rsid w:val="00301902"/>
    <w:rsid w:val="00301968"/>
    <w:rsid w:val="00302324"/>
    <w:rsid w:val="00302F85"/>
    <w:rsid w:val="00303217"/>
    <w:rsid w:val="003068CB"/>
    <w:rsid w:val="003069D4"/>
    <w:rsid w:val="00307645"/>
    <w:rsid w:val="003078AF"/>
    <w:rsid w:val="00307E45"/>
    <w:rsid w:val="00310865"/>
    <w:rsid w:val="00313185"/>
    <w:rsid w:val="00313244"/>
    <w:rsid w:val="0031358E"/>
    <w:rsid w:val="00313738"/>
    <w:rsid w:val="00314D6B"/>
    <w:rsid w:val="003158BD"/>
    <w:rsid w:val="0031624C"/>
    <w:rsid w:val="00316878"/>
    <w:rsid w:val="00317051"/>
    <w:rsid w:val="0031707F"/>
    <w:rsid w:val="00317CB4"/>
    <w:rsid w:val="00317D19"/>
    <w:rsid w:val="0032085B"/>
    <w:rsid w:val="00320D83"/>
    <w:rsid w:val="003218DC"/>
    <w:rsid w:val="0032283B"/>
    <w:rsid w:val="00323555"/>
    <w:rsid w:val="0032585E"/>
    <w:rsid w:val="0032602F"/>
    <w:rsid w:val="00326DD7"/>
    <w:rsid w:val="00327E3B"/>
    <w:rsid w:val="00330E98"/>
    <w:rsid w:val="0033164A"/>
    <w:rsid w:val="0033229D"/>
    <w:rsid w:val="00332A89"/>
    <w:rsid w:val="00332F53"/>
    <w:rsid w:val="0033325C"/>
    <w:rsid w:val="003335BF"/>
    <w:rsid w:val="00334348"/>
    <w:rsid w:val="003347F0"/>
    <w:rsid w:val="00334844"/>
    <w:rsid w:val="003348B8"/>
    <w:rsid w:val="00336278"/>
    <w:rsid w:val="00341957"/>
    <w:rsid w:val="00342FA4"/>
    <w:rsid w:val="0034402E"/>
    <w:rsid w:val="00344996"/>
    <w:rsid w:val="00344E7C"/>
    <w:rsid w:val="003454A1"/>
    <w:rsid w:val="00345BC3"/>
    <w:rsid w:val="0034610E"/>
    <w:rsid w:val="0034652D"/>
    <w:rsid w:val="00346679"/>
    <w:rsid w:val="00347BE5"/>
    <w:rsid w:val="003509D7"/>
    <w:rsid w:val="00350F63"/>
    <w:rsid w:val="0035137F"/>
    <w:rsid w:val="00352152"/>
    <w:rsid w:val="00352684"/>
    <w:rsid w:val="00352753"/>
    <w:rsid w:val="00352CFA"/>
    <w:rsid w:val="00353D8D"/>
    <w:rsid w:val="00354159"/>
    <w:rsid w:val="00355B01"/>
    <w:rsid w:val="003563E8"/>
    <w:rsid w:val="00356B39"/>
    <w:rsid w:val="00356FCF"/>
    <w:rsid w:val="00357A59"/>
    <w:rsid w:val="0036025B"/>
    <w:rsid w:val="00360429"/>
    <w:rsid w:val="0036042F"/>
    <w:rsid w:val="00361947"/>
    <w:rsid w:val="00363A18"/>
    <w:rsid w:val="003643A9"/>
    <w:rsid w:val="00364453"/>
    <w:rsid w:val="00364A41"/>
    <w:rsid w:val="00366264"/>
    <w:rsid w:val="003670DF"/>
    <w:rsid w:val="003679A1"/>
    <w:rsid w:val="00370100"/>
    <w:rsid w:val="003701C6"/>
    <w:rsid w:val="0037086B"/>
    <w:rsid w:val="003708BB"/>
    <w:rsid w:val="00371082"/>
    <w:rsid w:val="003712AF"/>
    <w:rsid w:val="0037316F"/>
    <w:rsid w:val="003731E3"/>
    <w:rsid w:val="0037366D"/>
    <w:rsid w:val="0037386E"/>
    <w:rsid w:val="00373FB0"/>
    <w:rsid w:val="00374BAD"/>
    <w:rsid w:val="003760A4"/>
    <w:rsid w:val="00376C21"/>
    <w:rsid w:val="0037720C"/>
    <w:rsid w:val="00377309"/>
    <w:rsid w:val="003774EF"/>
    <w:rsid w:val="00380353"/>
    <w:rsid w:val="003811AB"/>
    <w:rsid w:val="003812DB"/>
    <w:rsid w:val="00381844"/>
    <w:rsid w:val="003828F5"/>
    <w:rsid w:val="00382C4E"/>
    <w:rsid w:val="0038312B"/>
    <w:rsid w:val="00384709"/>
    <w:rsid w:val="00384CE3"/>
    <w:rsid w:val="00385E26"/>
    <w:rsid w:val="00387431"/>
    <w:rsid w:val="0039075A"/>
    <w:rsid w:val="003918E9"/>
    <w:rsid w:val="00391F22"/>
    <w:rsid w:val="00392F47"/>
    <w:rsid w:val="00394598"/>
    <w:rsid w:val="00394ED1"/>
    <w:rsid w:val="003950FA"/>
    <w:rsid w:val="00395545"/>
    <w:rsid w:val="0039637A"/>
    <w:rsid w:val="00397CAD"/>
    <w:rsid w:val="003A0363"/>
    <w:rsid w:val="003A0BC6"/>
    <w:rsid w:val="003A0DA8"/>
    <w:rsid w:val="003A14BB"/>
    <w:rsid w:val="003A1B0E"/>
    <w:rsid w:val="003A2AD2"/>
    <w:rsid w:val="003A4381"/>
    <w:rsid w:val="003A47A9"/>
    <w:rsid w:val="003A4DF1"/>
    <w:rsid w:val="003A7348"/>
    <w:rsid w:val="003A7390"/>
    <w:rsid w:val="003A73B0"/>
    <w:rsid w:val="003A7994"/>
    <w:rsid w:val="003A7ED7"/>
    <w:rsid w:val="003A7FA9"/>
    <w:rsid w:val="003B0FC9"/>
    <w:rsid w:val="003B17F2"/>
    <w:rsid w:val="003B1DCE"/>
    <w:rsid w:val="003B3B42"/>
    <w:rsid w:val="003B3F31"/>
    <w:rsid w:val="003B40B6"/>
    <w:rsid w:val="003B4589"/>
    <w:rsid w:val="003B48C8"/>
    <w:rsid w:val="003B5400"/>
    <w:rsid w:val="003B56FF"/>
    <w:rsid w:val="003B5A94"/>
    <w:rsid w:val="003B5B00"/>
    <w:rsid w:val="003B633B"/>
    <w:rsid w:val="003B712C"/>
    <w:rsid w:val="003C0A6F"/>
    <w:rsid w:val="003C1921"/>
    <w:rsid w:val="003C227B"/>
    <w:rsid w:val="003C22FC"/>
    <w:rsid w:val="003C37F1"/>
    <w:rsid w:val="003C6222"/>
    <w:rsid w:val="003C6BDF"/>
    <w:rsid w:val="003C6BFF"/>
    <w:rsid w:val="003C6D14"/>
    <w:rsid w:val="003D06F3"/>
    <w:rsid w:val="003D25D9"/>
    <w:rsid w:val="003D3622"/>
    <w:rsid w:val="003D491E"/>
    <w:rsid w:val="003D4E61"/>
    <w:rsid w:val="003D711C"/>
    <w:rsid w:val="003E0184"/>
    <w:rsid w:val="003E02B3"/>
    <w:rsid w:val="003E2D03"/>
    <w:rsid w:val="003E4D23"/>
    <w:rsid w:val="003E4FBB"/>
    <w:rsid w:val="003E5CB5"/>
    <w:rsid w:val="003E6604"/>
    <w:rsid w:val="003E7B6B"/>
    <w:rsid w:val="003E7F02"/>
    <w:rsid w:val="003F1030"/>
    <w:rsid w:val="003F151F"/>
    <w:rsid w:val="003F2CC9"/>
    <w:rsid w:val="003F31A6"/>
    <w:rsid w:val="003F378F"/>
    <w:rsid w:val="003F6150"/>
    <w:rsid w:val="003F62FC"/>
    <w:rsid w:val="003F6A9E"/>
    <w:rsid w:val="003F6D8C"/>
    <w:rsid w:val="003F73E7"/>
    <w:rsid w:val="00400272"/>
    <w:rsid w:val="0040147F"/>
    <w:rsid w:val="00402E69"/>
    <w:rsid w:val="00402F6C"/>
    <w:rsid w:val="00410756"/>
    <w:rsid w:val="00412685"/>
    <w:rsid w:val="00412A76"/>
    <w:rsid w:val="00412E59"/>
    <w:rsid w:val="0041358E"/>
    <w:rsid w:val="00414D2F"/>
    <w:rsid w:val="00416C69"/>
    <w:rsid w:val="0041749F"/>
    <w:rsid w:val="0041787E"/>
    <w:rsid w:val="00417931"/>
    <w:rsid w:val="00417E76"/>
    <w:rsid w:val="00420480"/>
    <w:rsid w:val="00421496"/>
    <w:rsid w:val="00421C3E"/>
    <w:rsid w:val="004230A9"/>
    <w:rsid w:val="00423DA6"/>
    <w:rsid w:val="00423DBF"/>
    <w:rsid w:val="004244FA"/>
    <w:rsid w:val="004263A3"/>
    <w:rsid w:val="00426D6E"/>
    <w:rsid w:val="004274AC"/>
    <w:rsid w:val="004309C5"/>
    <w:rsid w:val="00430B4E"/>
    <w:rsid w:val="00430E6C"/>
    <w:rsid w:val="00431383"/>
    <w:rsid w:val="004315AA"/>
    <w:rsid w:val="00431C1A"/>
    <w:rsid w:val="00431C38"/>
    <w:rsid w:val="00433C2A"/>
    <w:rsid w:val="00434CFE"/>
    <w:rsid w:val="004350D2"/>
    <w:rsid w:val="004357F6"/>
    <w:rsid w:val="004366BB"/>
    <w:rsid w:val="00436C87"/>
    <w:rsid w:val="00436CEA"/>
    <w:rsid w:val="0043784F"/>
    <w:rsid w:val="00440382"/>
    <w:rsid w:val="004412F6"/>
    <w:rsid w:val="00441E28"/>
    <w:rsid w:val="00442473"/>
    <w:rsid w:val="0044373A"/>
    <w:rsid w:val="00443E8E"/>
    <w:rsid w:val="004440A2"/>
    <w:rsid w:val="00444473"/>
    <w:rsid w:val="004447B9"/>
    <w:rsid w:val="004453AB"/>
    <w:rsid w:val="00445D9D"/>
    <w:rsid w:val="00445DF9"/>
    <w:rsid w:val="00446A00"/>
    <w:rsid w:val="004506E8"/>
    <w:rsid w:val="00450A1F"/>
    <w:rsid w:val="00451560"/>
    <w:rsid w:val="004519A7"/>
    <w:rsid w:val="00451C7B"/>
    <w:rsid w:val="00452114"/>
    <w:rsid w:val="004521A6"/>
    <w:rsid w:val="00456A0E"/>
    <w:rsid w:val="00461464"/>
    <w:rsid w:val="004617F2"/>
    <w:rsid w:val="00462334"/>
    <w:rsid w:val="0046385F"/>
    <w:rsid w:val="00465402"/>
    <w:rsid w:val="00466978"/>
    <w:rsid w:val="00466B4A"/>
    <w:rsid w:val="00466C29"/>
    <w:rsid w:val="00466C84"/>
    <w:rsid w:val="00466E0C"/>
    <w:rsid w:val="00467D8D"/>
    <w:rsid w:val="00467FC4"/>
    <w:rsid w:val="0047174D"/>
    <w:rsid w:val="00471CDC"/>
    <w:rsid w:val="00472B6D"/>
    <w:rsid w:val="00472D58"/>
    <w:rsid w:val="004731B6"/>
    <w:rsid w:val="00473B0F"/>
    <w:rsid w:val="0047516E"/>
    <w:rsid w:val="0047525C"/>
    <w:rsid w:val="0047550A"/>
    <w:rsid w:val="00475835"/>
    <w:rsid w:val="00477698"/>
    <w:rsid w:val="00480F54"/>
    <w:rsid w:val="0048185C"/>
    <w:rsid w:val="004820D2"/>
    <w:rsid w:val="00482DA6"/>
    <w:rsid w:val="0048403F"/>
    <w:rsid w:val="004846BF"/>
    <w:rsid w:val="00484B74"/>
    <w:rsid w:val="00484DCE"/>
    <w:rsid w:val="004851FA"/>
    <w:rsid w:val="004866B9"/>
    <w:rsid w:val="004867BC"/>
    <w:rsid w:val="00486A09"/>
    <w:rsid w:val="00487E80"/>
    <w:rsid w:val="00491232"/>
    <w:rsid w:val="00492961"/>
    <w:rsid w:val="00493FA2"/>
    <w:rsid w:val="00494602"/>
    <w:rsid w:val="00494670"/>
    <w:rsid w:val="00494728"/>
    <w:rsid w:val="00495768"/>
    <w:rsid w:val="00495CD4"/>
    <w:rsid w:val="00495D33"/>
    <w:rsid w:val="00495F5B"/>
    <w:rsid w:val="00497314"/>
    <w:rsid w:val="004A0029"/>
    <w:rsid w:val="004A028F"/>
    <w:rsid w:val="004A031B"/>
    <w:rsid w:val="004A1778"/>
    <w:rsid w:val="004A1FB3"/>
    <w:rsid w:val="004A2436"/>
    <w:rsid w:val="004A2757"/>
    <w:rsid w:val="004A2A93"/>
    <w:rsid w:val="004A4A82"/>
    <w:rsid w:val="004A59B1"/>
    <w:rsid w:val="004A5A77"/>
    <w:rsid w:val="004A5AC2"/>
    <w:rsid w:val="004A5F14"/>
    <w:rsid w:val="004A63A1"/>
    <w:rsid w:val="004A6FEF"/>
    <w:rsid w:val="004A781F"/>
    <w:rsid w:val="004B2894"/>
    <w:rsid w:val="004B31D0"/>
    <w:rsid w:val="004B7679"/>
    <w:rsid w:val="004B77E3"/>
    <w:rsid w:val="004C08A9"/>
    <w:rsid w:val="004C156C"/>
    <w:rsid w:val="004C1661"/>
    <w:rsid w:val="004C219A"/>
    <w:rsid w:val="004C3B4C"/>
    <w:rsid w:val="004C5337"/>
    <w:rsid w:val="004C54F2"/>
    <w:rsid w:val="004C669B"/>
    <w:rsid w:val="004C68D7"/>
    <w:rsid w:val="004C781C"/>
    <w:rsid w:val="004D0720"/>
    <w:rsid w:val="004D088C"/>
    <w:rsid w:val="004D19A7"/>
    <w:rsid w:val="004D2C8B"/>
    <w:rsid w:val="004D4846"/>
    <w:rsid w:val="004D77E3"/>
    <w:rsid w:val="004E0343"/>
    <w:rsid w:val="004E095E"/>
    <w:rsid w:val="004E0E81"/>
    <w:rsid w:val="004E2C1E"/>
    <w:rsid w:val="004E2E74"/>
    <w:rsid w:val="004E3968"/>
    <w:rsid w:val="004E44E1"/>
    <w:rsid w:val="004E4817"/>
    <w:rsid w:val="004E58CD"/>
    <w:rsid w:val="004E6ED4"/>
    <w:rsid w:val="004E7900"/>
    <w:rsid w:val="004E7C4C"/>
    <w:rsid w:val="004E7F73"/>
    <w:rsid w:val="004F1100"/>
    <w:rsid w:val="004F1A80"/>
    <w:rsid w:val="004F1EBD"/>
    <w:rsid w:val="004F23C1"/>
    <w:rsid w:val="004F35F3"/>
    <w:rsid w:val="004F3AF9"/>
    <w:rsid w:val="004F5C31"/>
    <w:rsid w:val="004F68E7"/>
    <w:rsid w:val="004F7736"/>
    <w:rsid w:val="004F7A66"/>
    <w:rsid w:val="004F7E86"/>
    <w:rsid w:val="00501DB1"/>
    <w:rsid w:val="00501F4B"/>
    <w:rsid w:val="00502DBA"/>
    <w:rsid w:val="00502F7C"/>
    <w:rsid w:val="005030A1"/>
    <w:rsid w:val="00503B80"/>
    <w:rsid w:val="00503CB9"/>
    <w:rsid w:val="0050476C"/>
    <w:rsid w:val="00505705"/>
    <w:rsid w:val="0050707C"/>
    <w:rsid w:val="0051034D"/>
    <w:rsid w:val="00510E10"/>
    <w:rsid w:val="00513E4A"/>
    <w:rsid w:val="00516090"/>
    <w:rsid w:val="0051646D"/>
    <w:rsid w:val="005168D2"/>
    <w:rsid w:val="00516DFF"/>
    <w:rsid w:val="00517B3D"/>
    <w:rsid w:val="00521529"/>
    <w:rsid w:val="00522D7E"/>
    <w:rsid w:val="00523787"/>
    <w:rsid w:val="00523A37"/>
    <w:rsid w:val="00524282"/>
    <w:rsid w:val="005250C5"/>
    <w:rsid w:val="00525422"/>
    <w:rsid w:val="005258A1"/>
    <w:rsid w:val="00525D89"/>
    <w:rsid w:val="00526176"/>
    <w:rsid w:val="00527AB7"/>
    <w:rsid w:val="00530852"/>
    <w:rsid w:val="00531AF8"/>
    <w:rsid w:val="00532FD4"/>
    <w:rsid w:val="00533337"/>
    <w:rsid w:val="00533C90"/>
    <w:rsid w:val="00533F1C"/>
    <w:rsid w:val="0053435C"/>
    <w:rsid w:val="00534ADF"/>
    <w:rsid w:val="005365F6"/>
    <w:rsid w:val="005367D9"/>
    <w:rsid w:val="00536A78"/>
    <w:rsid w:val="00536E0C"/>
    <w:rsid w:val="0053787D"/>
    <w:rsid w:val="0054071B"/>
    <w:rsid w:val="0054127C"/>
    <w:rsid w:val="005412A6"/>
    <w:rsid w:val="0054132B"/>
    <w:rsid w:val="00542B49"/>
    <w:rsid w:val="0054492F"/>
    <w:rsid w:val="00544E78"/>
    <w:rsid w:val="00545242"/>
    <w:rsid w:val="00545A33"/>
    <w:rsid w:val="00547EB6"/>
    <w:rsid w:val="00550496"/>
    <w:rsid w:val="00550DD0"/>
    <w:rsid w:val="00551AD9"/>
    <w:rsid w:val="0055303A"/>
    <w:rsid w:val="005541BF"/>
    <w:rsid w:val="005544E7"/>
    <w:rsid w:val="00555769"/>
    <w:rsid w:val="00557E1F"/>
    <w:rsid w:val="005602D1"/>
    <w:rsid w:val="00560344"/>
    <w:rsid w:val="005606AA"/>
    <w:rsid w:val="0056344C"/>
    <w:rsid w:val="0056507E"/>
    <w:rsid w:val="00566038"/>
    <w:rsid w:val="00566883"/>
    <w:rsid w:val="005673D8"/>
    <w:rsid w:val="0056740E"/>
    <w:rsid w:val="00567C24"/>
    <w:rsid w:val="005704CE"/>
    <w:rsid w:val="00570AC8"/>
    <w:rsid w:val="0057117A"/>
    <w:rsid w:val="0057281B"/>
    <w:rsid w:val="005733B1"/>
    <w:rsid w:val="00573457"/>
    <w:rsid w:val="0057396A"/>
    <w:rsid w:val="0057466E"/>
    <w:rsid w:val="00575B11"/>
    <w:rsid w:val="00576F49"/>
    <w:rsid w:val="005810FF"/>
    <w:rsid w:val="00581F08"/>
    <w:rsid w:val="005824E2"/>
    <w:rsid w:val="00583270"/>
    <w:rsid w:val="005844A0"/>
    <w:rsid w:val="005847F7"/>
    <w:rsid w:val="00585085"/>
    <w:rsid w:val="0058661A"/>
    <w:rsid w:val="0058727B"/>
    <w:rsid w:val="0058767A"/>
    <w:rsid w:val="00587A70"/>
    <w:rsid w:val="005908EF"/>
    <w:rsid w:val="005908F7"/>
    <w:rsid w:val="00590A00"/>
    <w:rsid w:val="00591E7D"/>
    <w:rsid w:val="00592586"/>
    <w:rsid w:val="00592B28"/>
    <w:rsid w:val="00592E2A"/>
    <w:rsid w:val="0059370B"/>
    <w:rsid w:val="00593AED"/>
    <w:rsid w:val="00594490"/>
    <w:rsid w:val="0059468B"/>
    <w:rsid w:val="005947AE"/>
    <w:rsid w:val="00595A5D"/>
    <w:rsid w:val="00595E4B"/>
    <w:rsid w:val="00596D20"/>
    <w:rsid w:val="00596DE5"/>
    <w:rsid w:val="00597246"/>
    <w:rsid w:val="005A0258"/>
    <w:rsid w:val="005A041F"/>
    <w:rsid w:val="005A1241"/>
    <w:rsid w:val="005A14A9"/>
    <w:rsid w:val="005A2447"/>
    <w:rsid w:val="005A27E3"/>
    <w:rsid w:val="005A29F4"/>
    <w:rsid w:val="005A2ECD"/>
    <w:rsid w:val="005A3417"/>
    <w:rsid w:val="005A34B9"/>
    <w:rsid w:val="005A3511"/>
    <w:rsid w:val="005A3911"/>
    <w:rsid w:val="005A4ABF"/>
    <w:rsid w:val="005A54F9"/>
    <w:rsid w:val="005A5610"/>
    <w:rsid w:val="005A5D45"/>
    <w:rsid w:val="005A7B40"/>
    <w:rsid w:val="005B00EF"/>
    <w:rsid w:val="005B06A6"/>
    <w:rsid w:val="005B0D10"/>
    <w:rsid w:val="005B0E8E"/>
    <w:rsid w:val="005B1486"/>
    <w:rsid w:val="005B1E2B"/>
    <w:rsid w:val="005B1E9F"/>
    <w:rsid w:val="005B224F"/>
    <w:rsid w:val="005B556F"/>
    <w:rsid w:val="005B6B78"/>
    <w:rsid w:val="005B6C3D"/>
    <w:rsid w:val="005B6E1B"/>
    <w:rsid w:val="005B755A"/>
    <w:rsid w:val="005C044D"/>
    <w:rsid w:val="005C058C"/>
    <w:rsid w:val="005C0CE6"/>
    <w:rsid w:val="005C158D"/>
    <w:rsid w:val="005C26EA"/>
    <w:rsid w:val="005C42AF"/>
    <w:rsid w:val="005C66D9"/>
    <w:rsid w:val="005C6C23"/>
    <w:rsid w:val="005C7FF0"/>
    <w:rsid w:val="005D06B8"/>
    <w:rsid w:val="005D1281"/>
    <w:rsid w:val="005D15E5"/>
    <w:rsid w:val="005D1CEF"/>
    <w:rsid w:val="005D7A6B"/>
    <w:rsid w:val="005E03E3"/>
    <w:rsid w:val="005E072D"/>
    <w:rsid w:val="005E0907"/>
    <w:rsid w:val="005E0D96"/>
    <w:rsid w:val="005E0EAB"/>
    <w:rsid w:val="005E0F0E"/>
    <w:rsid w:val="005E25AA"/>
    <w:rsid w:val="005E26F8"/>
    <w:rsid w:val="005E3363"/>
    <w:rsid w:val="005E3BD6"/>
    <w:rsid w:val="005E4EB4"/>
    <w:rsid w:val="005E5426"/>
    <w:rsid w:val="005E60BF"/>
    <w:rsid w:val="005E7DA6"/>
    <w:rsid w:val="005F1608"/>
    <w:rsid w:val="005F3531"/>
    <w:rsid w:val="005F5174"/>
    <w:rsid w:val="005F62F0"/>
    <w:rsid w:val="005F66D6"/>
    <w:rsid w:val="005F6805"/>
    <w:rsid w:val="005F6B01"/>
    <w:rsid w:val="005F7804"/>
    <w:rsid w:val="006002A0"/>
    <w:rsid w:val="00601267"/>
    <w:rsid w:val="0060182A"/>
    <w:rsid w:val="00601FA1"/>
    <w:rsid w:val="006028B1"/>
    <w:rsid w:val="00602B37"/>
    <w:rsid w:val="00603EA7"/>
    <w:rsid w:val="00604BCB"/>
    <w:rsid w:val="0060557F"/>
    <w:rsid w:val="00606DA9"/>
    <w:rsid w:val="006074A2"/>
    <w:rsid w:val="006106BD"/>
    <w:rsid w:val="00610B21"/>
    <w:rsid w:val="00611880"/>
    <w:rsid w:val="00612A14"/>
    <w:rsid w:val="00614467"/>
    <w:rsid w:val="00615E36"/>
    <w:rsid w:val="00616778"/>
    <w:rsid w:val="00616E1C"/>
    <w:rsid w:val="006176D1"/>
    <w:rsid w:val="00617967"/>
    <w:rsid w:val="00617A6D"/>
    <w:rsid w:val="00617C46"/>
    <w:rsid w:val="00620009"/>
    <w:rsid w:val="00622185"/>
    <w:rsid w:val="00622372"/>
    <w:rsid w:val="00622D26"/>
    <w:rsid w:val="006238C0"/>
    <w:rsid w:val="00623E67"/>
    <w:rsid w:val="00624013"/>
    <w:rsid w:val="00625049"/>
    <w:rsid w:val="006257CF"/>
    <w:rsid w:val="006259B4"/>
    <w:rsid w:val="00625B2C"/>
    <w:rsid w:val="006267F7"/>
    <w:rsid w:val="00627617"/>
    <w:rsid w:val="00627B30"/>
    <w:rsid w:val="00627FF6"/>
    <w:rsid w:val="00631503"/>
    <w:rsid w:val="00631660"/>
    <w:rsid w:val="0063222A"/>
    <w:rsid w:val="00632639"/>
    <w:rsid w:val="00632A5B"/>
    <w:rsid w:val="0063310A"/>
    <w:rsid w:val="00633E44"/>
    <w:rsid w:val="006348F3"/>
    <w:rsid w:val="006348FC"/>
    <w:rsid w:val="00634D0C"/>
    <w:rsid w:val="00635953"/>
    <w:rsid w:val="006365A5"/>
    <w:rsid w:val="006371A6"/>
    <w:rsid w:val="006379BD"/>
    <w:rsid w:val="00637A09"/>
    <w:rsid w:val="00637B85"/>
    <w:rsid w:val="0064058D"/>
    <w:rsid w:val="00640594"/>
    <w:rsid w:val="0064140B"/>
    <w:rsid w:val="00641593"/>
    <w:rsid w:val="00641D09"/>
    <w:rsid w:val="00642588"/>
    <w:rsid w:val="006431B8"/>
    <w:rsid w:val="006448D5"/>
    <w:rsid w:val="00644AA5"/>
    <w:rsid w:val="00645317"/>
    <w:rsid w:val="00645459"/>
    <w:rsid w:val="00645787"/>
    <w:rsid w:val="00645D67"/>
    <w:rsid w:val="00646093"/>
    <w:rsid w:val="00646E0E"/>
    <w:rsid w:val="00646FB2"/>
    <w:rsid w:val="00650A97"/>
    <w:rsid w:val="006517CB"/>
    <w:rsid w:val="006522D7"/>
    <w:rsid w:val="00652383"/>
    <w:rsid w:val="0065286E"/>
    <w:rsid w:val="00652911"/>
    <w:rsid w:val="00652D47"/>
    <w:rsid w:val="00655190"/>
    <w:rsid w:val="00655299"/>
    <w:rsid w:val="0065532B"/>
    <w:rsid w:val="0065586E"/>
    <w:rsid w:val="006558CB"/>
    <w:rsid w:val="00656BD1"/>
    <w:rsid w:val="006602DB"/>
    <w:rsid w:val="006605CB"/>
    <w:rsid w:val="006618F6"/>
    <w:rsid w:val="00663D12"/>
    <w:rsid w:val="00663F37"/>
    <w:rsid w:val="00666099"/>
    <w:rsid w:val="006671F3"/>
    <w:rsid w:val="00667483"/>
    <w:rsid w:val="00667CC2"/>
    <w:rsid w:val="006705A2"/>
    <w:rsid w:val="00670D6B"/>
    <w:rsid w:val="00671038"/>
    <w:rsid w:val="006722ED"/>
    <w:rsid w:val="00672AE2"/>
    <w:rsid w:val="00672E5C"/>
    <w:rsid w:val="00672F52"/>
    <w:rsid w:val="006742A9"/>
    <w:rsid w:val="0067560C"/>
    <w:rsid w:val="006756E4"/>
    <w:rsid w:val="006761FC"/>
    <w:rsid w:val="00676B0E"/>
    <w:rsid w:val="00677668"/>
    <w:rsid w:val="006812E8"/>
    <w:rsid w:val="00681CCE"/>
    <w:rsid w:val="00682D9D"/>
    <w:rsid w:val="006839DB"/>
    <w:rsid w:val="006839F5"/>
    <w:rsid w:val="00684242"/>
    <w:rsid w:val="006846B0"/>
    <w:rsid w:val="00684791"/>
    <w:rsid w:val="00684909"/>
    <w:rsid w:val="0068501E"/>
    <w:rsid w:val="0068685F"/>
    <w:rsid w:val="00687A72"/>
    <w:rsid w:val="00687F65"/>
    <w:rsid w:val="006919D9"/>
    <w:rsid w:val="006927B2"/>
    <w:rsid w:val="006937C8"/>
    <w:rsid w:val="00693A37"/>
    <w:rsid w:val="00694986"/>
    <w:rsid w:val="00695157"/>
    <w:rsid w:val="006952D9"/>
    <w:rsid w:val="00695EED"/>
    <w:rsid w:val="006962CC"/>
    <w:rsid w:val="006966D5"/>
    <w:rsid w:val="006A01DE"/>
    <w:rsid w:val="006A023C"/>
    <w:rsid w:val="006A17C0"/>
    <w:rsid w:val="006A28CC"/>
    <w:rsid w:val="006A2EB7"/>
    <w:rsid w:val="006A3B49"/>
    <w:rsid w:val="006A44E2"/>
    <w:rsid w:val="006A4532"/>
    <w:rsid w:val="006A4609"/>
    <w:rsid w:val="006A4AE1"/>
    <w:rsid w:val="006A5C68"/>
    <w:rsid w:val="006B0E5D"/>
    <w:rsid w:val="006B13C3"/>
    <w:rsid w:val="006B20B7"/>
    <w:rsid w:val="006B23F9"/>
    <w:rsid w:val="006B3523"/>
    <w:rsid w:val="006B37C4"/>
    <w:rsid w:val="006B3B0F"/>
    <w:rsid w:val="006B4B9B"/>
    <w:rsid w:val="006B528A"/>
    <w:rsid w:val="006B5C99"/>
    <w:rsid w:val="006B6012"/>
    <w:rsid w:val="006B6052"/>
    <w:rsid w:val="006B669D"/>
    <w:rsid w:val="006C01A9"/>
    <w:rsid w:val="006C0616"/>
    <w:rsid w:val="006C2ACC"/>
    <w:rsid w:val="006C48E3"/>
    <w:rsid w:val="006C631A"/>
    <w:rsid w:val="006C6630"/>
    <w:rsid w:val="006D0391"/>
    <w:rsid w:val="006D126C"/>
    <w:rsid w:val="006D1489"/>
    <w:rsid w:val="006D31AA"/>
    <w:rsid w:val="006D3809"/>
    <w:rsid w:val="006D39AE"/>
    <w:rsid w:val="006D3D57"/>
    <w:rsid w:val="006D526E"/>
    <w:rsid w:val="006D550D"/>
    <w:rsid w:val="006D63D7"/>
    <w:rsid w:val="006D6BBB"/>
    <w:rsid w:val="006D70B0"/>
    <w:rsid w:val="006D7395"/>
    <w:rsid w:val="006D765C"/>
    <w:rsid w:val="006D7CA6"/>
    <w:rsid w:val="006E0C2E"/>
    <w:rsid w:val="006E1315"/>
    <w:rsid w:val="006E4A9E"/>
    <w:rsid w:val="006E4CFE"/>
    <w:rsid w:val="006E5CA2"/>
    <w:rsid w:val="006E5E22"/>
    <w:rsid w:val="006E664C"/>
    <w:rsid w:val="006E6666"/>
    <w:rsid w:val="006E6D4C"/>
    <w:rsid w:val="006E7B0A"/>
    <w:rsid w:val="006F0E1F"/>
    <w:rsid w:val="006F1570"/>
    <w:rsid w:val="006F17D5"/>
    <w:rsid w:val="006F1D22"/>
    <w:rsid w:val="006F2C42"/>
    <w:rsid w:val="006F34CE"/>
    <w:rsid w:val="006F5CF3"/>
    <w:rsid w:val="006F69BF"/>
    <w:rsid w:val="00700963"/>
    <w:rsid w:val="00700EBE"/>
    <w:rsid w:val="0070188B"/>
    <w:rsid w:val="00702CC7"/>
    <w:rsid w:val="0070300F"/>
    <w:rsid w:val="007037FF"/>
    <w:rsid w:val="00703B3B"/>
    <w:rsid w:val="0070526A"/>
    <w:rsid w:val="00705867"/>
    <w:rsid w:val="007063DC"/>
    <w:rsid w:val="00707BF0"/>
    <w:rsid w:val="00707F77"/>
    <w:rsid w:val="007105BB"/>
    <w:rsid w:val="007107EA"/>
    <w:rsid w:val="00710CA6"/>
    <w:rsid w:val="0071126D"/>
    <w:rsid w:val="00712C8D"/>
    <w:rsid w:val="00713C9B"/>
    <w:rsid w:val="007143CA"/>
    <w:rsid w:val="0071542B"/>
    <w:rsid w:val="007154D8"/>
    <w:rsid w:val="0071638D"/>
    <w:rsid w:val="007170DF"/>
    <w:rsid w:val="0071715A"/>
    <w:rsid w:val="007179F1"/>
    <w:rsid w:val="00720231"/>
    <w:rsid w:val="007205CF"/>
    <w:rsid w:val="007210EC"/>
    <w:rsid w:val="00721256"/>
    <w:rsid w:val="0072173B"/>
    <w:rsid w:val="00721BE4"/>
    <w:rsid w:val="007224FC"/>
    <w:rsid w:val="00722596"/>
    <w:rsid w:val="007235AE"/>
    <w:rsid w:val="00723CE3"/>
    <w:rsid w:val="00724855"/>
    <w:rsid w:val="00724E72"/>
    <w:rsid w:val="00725196"/>
    <w:rsid w:val="0072737A"/>
    <w:rsid w:val="007278A7"/>
    <w:rsid w:val="00727E4A"/>
    <w:rsid w:val="00730625"/>
    <w:rsid w:val="0073166C"/>
    <w:rsid w:val="00731E27"/>
    <w:rsid w:val="00732E41"/>
    <w:rsid w:val="00732E5A"/>
    <w:rsid w:val="0073352B"/>
    <w:rsid w:val="007349DD"/>
    <w:rsid w:val="00735139"/>
    <w:rsid w:val="0073585A"/>
    <w:rsid w:val="0073610D"/>
    <w:rsid w:val="00736E81"/>
    <w:rsid w:val="007376C0"/>
    <w:rsid w:val="007376D2"/>
    <w:rsid w:val="00737819"/>
    <w:rsid w:val="0073792E"/>
    <w:rsid w:val="007405FF"/>
    <w:rsid w:val="00742C50"/>
    <w:rsid w:val="00743A25"/>
    <w:rsid w:val="00745383"/>
    <w:rsid w:val="00746515"/>
    <w:rsid w:val="00746F1B"/>
    <w:rsid w:val="007504B9"/>
    <w:rsid w:val="00751370"/>
    <w:rsid w:val="00752159"/>
    <w:rsid w:val="007535AD"/>
    <w:rsid w:val="0075436F"/>
    <w:rsid w:val="00754A71"/>
    <w:rsid w:val="00754AF3"/>
    <w:rsid w:val="00754D72"/>
    <w:rsid w:val="00755F21"/>
    <w:rsid w:val="00756EF6"/>
    <w:rsid w:val="007570F0"/>
    <w:rsid w:val="00757B77"/>
    <w:rsid w:val="00760349"/>
    <w:rsid w:val="00760B9E"/>
    <w:rsid w:val="00760C74"/>
    <w:rsid w:val="0076494F"/>
    <w:rsid w:val="007667B9"/>
    <w:rsid w:val="00767BD7"/>
    <w:rsid w:val="00770A1E"/>
    <w:rsid w:val="007718B7"/>
    <w:rsid w:val="0077286D"/>
    <w:rsid w:val="00773C80"/>
    <w:rsid w:val="00774094"/>
    <w:rsid w:val="00774123"/>
    <w:rsid w:val="00774973"/>
    <w:rsid w:val="00775751"/>
    <w:rsid w:val="007758F4"/>
    <w:rsid w:val="00775AA2"/>
    <w:rsid w:val="0077660D"/>
    <w:rsid w:val="007769BE"/>
    <w:rsid w:val="007770B4"/>
    <w:rsid w:val="00777150"/>
    <w:rsid w:val="007772A0"/>
    <w:rsid w:val="00780517"/>
    <w:rsid w:val="007805EC"/>
    <w:rsid w:val="00781094"/>
    <w:rsid w:val="00781576"/>
    <w:rsid w:val="00781C4B"/>
    <w:rsid w:val="007821CB"/>
    <w:rsid w:val="007823AB"/>
    <w:rsid w:val="00782C70"/>
    <w:rsid w:val="00782D56"/>
    <w:rsid w:val="007831F7"/>
    <w:rsid w:val="007849F8"/>
    <w:rsid w:val="00784BDC"/>
    <w:rsid w:val="00784EB3"/>
    <w:rsid w:val="00784F48"/>
    <w:rsid w:val="00785EC7"/>
    <w:rsid w:val="007865C2"/>
    <w:rsid w:val="00786BCE"/>
    <w:rsid w:val="00786E3D"/>
    <w:rsid w:val="00787E50"/>
    <w:rsid w:val="00790B31"/>
    <w:rsid w:val="00790E5D"/>
    <w:rsid w:val="00791245"/>
    <w:rsid w:val="007914A5"/>
    <w:rsid w:val="0079178D"/>
    <w:rsid w:val="007920F8"/>
    <w:rsid w:val="0079348B"/>
    <w:rsid w:val="00795697"/>
    <w:rsid w:val="007958DF"/>
    <w:rsid w:val="007A05E7"/>
    <w:rsid w:val="007A0F1C"/>
    <w:rsid w:val="007A10A4"/>
    <w:rsid w:val="007A32E2"/>
    <w:rsid w:val="007A37CC"/>
    <w:rsid w:val="007A4B18"/>
    <w:rsid w:val="007A5434"/>
    <w:rsid w:val="007A58B9"/>
    <w:rsid w:val="007A59FD"/>
    <w:rsid w:val="007A5A49"/>
    <w:rsid w:val="007A6FB8"/>
    <w:rsid w:val="007A7CAA"/>
    <w:rsid w:val="007A7E96"/>
    <w:rsid w:val="007B1273"/>
    <w:rsid w:val="007B2048"/>
    <w:rsid w:val="007B2BC0"/>
    <w:rsid w:val="007B3301"/>
    <w:rsid w:val="007B5437"/>
    <w:rsid w:val="007B5A21"/>
    <w:rsid w:val="007C06C2"/>
    <w:rsid w:val="007C0BCB"/>
    <w:rsid w:val="007C1455"/>
    <w:rsid w:val="007C16C3"/>
    <w:rsid w:val="007C1AAB"/>
    <w:rsid w:val="007C2922"/>
    <w:rsid w:val="007C3AF8"/>
    <w:rsid w:val="007C3E34"/>
    <w:rsid w:val="007C3FEB"/>
    <w:rsid w:val="007C42AE"/>
    <w:rsid w:val="007C4441"/>
    <w:rsid w:val="007C533D"/>
    <w:rsid w:val="007C5C5A"/>
    <w:rsid w:val="007C5F9D"/>
    <w:rsid w:val="007C6C8C"/>
    <w:rsid w:val="007C75A6"/>
    <w:rsid w:val="007C7D1F"/>
    <w:rsid w:val="007D0098"/>
    <w:rsid w:val="007D22D0"/>
    <w:rsid w:val="007D28A0"/>
    <w:rsid w:val="007D5044"/>
    <w:rsid w:val="007D51EB"/>
    <w:rsid w:val="007D5AB3"/>
    <w:rsid w:val="007D6F6D"/>
    <w:rsid w:val="007D7A59"/>
    <w:rsid w:val="007D7DA7"/>
    <w:rsid w:val="007E0FC9"/>
    <w:rsid w:val="007E1840"/>
    <w:rsid w:val="007E2098"/>
    <w:rsid w:val="007E2F4E"/>
    <w:rsid w:val="007E318B"/>
    <w:rsid w:val="007E5978"/>
    <w:rsid w:val="007E5D76"/>
    <w:rsid w:val="007E5F53"/>
    <w:rsid w:val="007E6B69"/>
    <w:rsid w:val="007E6C7B"/>
    <w:rsid w:val="007E6EAE"/>
    <w:rsid w:val="007E7126"/>
    <w:rsid w:val="007E7A74"/>
    <w:rsid w:val="007E7B1C"/>
    <w:rsid w:val="007E7EE2"/>
    <w:rsid w:val="007E7F21"/>
    <w:rsid w:val="007F1287"/>
    <w:rsid w:val="007F18E0"/>
    <w:rsid w:val="007F218D"/>
    <w:rsid w:val="007F36E3"/>
    <w:rsid w:val="007F453D"/>
    <w:rsid w:val="007F4B76"/>
    <w:rsid w:val="007F526B"/>
    <w:rsid w:val="007F5AE4"/>
    <w:rsid w:val="007F6365"/>
    <w:rsid w:val="008006B7"/>
    <w:rsid w:val="00800AF2"/>
    <w:rsid w:val="00802279"/>
    <w:rsid w:val="00802B65"/>
    <w:rsid w:val="00803047"/>
    <w:rsid w:val="00803504"/>
    <w:rsid w:val="00803760"/>
    <w:rsid w:val="0080507E"/>
    <w:rsid w:val="008051D1"/>
    <w:rsid w:val="008063CC"/>
    <w:rsid w:val="00806CCA"/>
    <w:rsid w:val="00810B8B"/>
    <w:rsid w:val="008110DF"/>
    <w:rsid w:val="00813890"/>
    <w:rsid w:val="00814B36"/>
    <w:rsid w:val="008154F0"/>
    <w:rsid w:val="008157A8"/>
    <w:rsid w:val="008157B3"/>
    <w:rsid w:val="008159D4"/>
    <w:rsid w:val="008167EB"/>
    <w:rsid w:val="00816C32"/>
    <w:rsid w:val="00816E56"/>
    <w:rsid w:val="00816FCB"/>
    <w:rsid w:val="008175C5"/>
    <w:rsid w:val="008178A7"/>
    <w:rsid w:val="00820017"/>
    <w:rsid w:val="008215D7"/>
    <w:rsid w:val="00822A59"/>
    <w:rsid w:val="00823162"/>
    <w:rsid w:val="00823FDD"/>
    <w:rsid w:val="008243FF"/>
    <w:rsid w:val="00825ED3"/>
    <w:rsid w:val="0082763F"/>
    <w:rsid w:val="00827C3B"/>
    <w:rsid w:val="00830CD9"/>
    <w:rsid w:val="00830FA6"/>
    <w:rsid w:val="0083121F"/>
    <w:rsid w:val="00831234"/>
    <w:rsid w:val="00832C4F"/>
    <w:rsid w:val="00833AC3"/>
    <w:rsid w:val="00834D4C"/>
    <w:rsid w:val="0083615F"/>
    <w:rsid w:val="00836B8C"/>
    <w:rsid w:val="008372CD"/>
    <w:rsid w:val="00837348"/>
    <w:rsid w:val="00840D43"/>
    <w:rsid w:val="00841405"/>
    <w:rsid w:val="008427D4"/>
    <w:rsid w:val="00842934"/>
    <w:rsid w:val="00843483"/>
    <w:rsid w:val="0084455D"/>
    <w:rsid w:val="008447D6"/>
    <w:rsid w:val="00846E2D"/>
    <w:rsid w:val="00850760"/>
    <w:rsid w:val="0085098D"/>
    <w:rsid w:val="00851B4C"/>
    <w:rsid w:val="00851D4A"/>
    <w:rsid w:val="00852832"/>
    <w:rsid w:val="0085363F"/>
    <w:rsid w:val="00854E14"/>
    <w:rsid w:val="00855505"/>
    <w:rsid w:val="00857B8F"/>
    <w:rsid w:val="00860C64"/>
    <w:rsid w:val="00860D60"/>
    <w:rsid w:val="00861C2E"/>
    <w:rsid w:val="00861CCA"/>
    <w:rsid w:val="00862EE4"/>
    <w:rsid w:val="00863381"/>
    <w:rsid w:val="0086459C"/>
    <w:rsid w:val="008647ED"/>
    <w:rsid w:val="00864979"/>
    <w:rsid w:val="00864A29"/>
    <w:rsid w:val="00864B31"/>
    <w:rsid w:val="00865C2A"/>
    <w:rsid w:val="00866C09"/>
    <w:rsid w:val="00867AA3"/>
    <w:rsid w:val="00867F3D"/>
    <w:rsid w:val="00870225"/>
    <w:rsid w:val="00870C61"/>
    <w:rsid w:val="008712DE"/>
    <w:rsid w:val="008715BE"/>
    <w:rsid w:val="00871926"/>
    <w:rsid w:val="00872263"/>
    <w:rsid w:val="00872736"/>
    <w:rsid w:val="008733BD"/>
    <w:rsid w:val="00873E26"/>
    <w:rsid w:val="00874249"/>
    <w:rsid w:val="00874461"/>
    <w:rsid w:val="0087483F"/>
    <w:rsid w:val="00874BA1"/>
    <w:rsid w:val="00875C5F"/>
    <w:rsid w:val="00875D86"/>
    <w:rsid w:val="00875F7C"/>
    <w:rsid w:val="008769CF"/>
    <w:rsid w:val="00876FAA"/>
    <w:rsid w:val="00877EB6"/>
    <w:rsid w:val="00880318"/>
    <w:rsid w:val="00880752"/>
    <w:rsid w:val="0088090B"/>
    <w:rsid w:val="00881EAD"/>
    <w:rsid w:val="00881FED"/>
    <w:rsid w:val="008831CE"/>
    <w:rsid w:val="00884016"/>
    <w:rsid w:val="0088457D"/>
    <w:rsid w:val="008870CD"/>
    <w:rsid w:val="008874CA"/>
    <w:rsid w:val="008875BA"/>
    <w:rsid w:val="008879B0"/>
    <w:rsid w:val="00890226"/>
    <w:rsid w:val="00890F24"/>
    <w:rsid w:val="008912C7"/>
    <w:rsid w:val="008923DC"/>
    <w:rsid w:val="008936E6"/>
    <w:rsid w:val="00893B08"/>
    <w:rsid w:val="00894987"/>
    <w:rsid w:val="0089502D"/>
    <w:rsid w:val="00895853"/>
    <w:rsid w:val="008959D9"/>
    <w:rsid w:val="00895E9D"/>
    <w:rsid w:val="00896502"/>
    <w:rsid w:val="008977A3"/>
    <w:rsid w:val="00897C90"/>
    <w:rsid w:val="008A0136"/>
    <w:rsid w:val="008A0238"/>
    <w:rsid w:val="008A0993"/>
    <w:rsid w:val="008A09A2"/>
    <w:rsid w:val="008A152A"/>
    <w:rsid w:val="008A20E0"/>
    <w:rsid w:val="008A32FA"/>
    <w:rsid w:val="008A406C"/>
    <w:rsid w:val="008A4154"/>
    <w:rsid w:val="008A4DC6"/>
    <w:rsid w:val="008A5CB8"/>
    <w:rsid w:val="008A5ED3"/>
    <w:rsid w:val="008A673D"/>
    <w:rsid w:val="008A7053"/>
    <w:rsid w:val="008A7A2E"/>
    <w:rsid w:val="008B1945"/>
    <w:rsid w:val="008B2CB1"/>
    <w:rsid w:val="008B3754"/>
    <w:rsid w:val="008B5900"/>
    <w:rsid w:val="008B59A8"/>
    <w:rsid w:val="008B67EA"/>
    <w:rsid w:val="008B733B"/>
    <w:rsid w:val="008B7873"/>
    <w:rsid w:val="008C0509"/>
    <w:rsid w:val="008C1F29"/>
    <w:rsid w:val="008C25D7"/>
    <w:rsid w:val="008C3638"/>
    <w:rsid w:val="008C3F25"/>
    <w:rsid w:val="008C4838"/>
    <w:rsid w:val="008C5C98"/>
    <w:rsid w:val="008C61E8"/>
    <w:rsid w:val="008C66E9"/>
    <w:rsid w:val="008D1F11"/>
    <w:rsid w:val="008D21C4"/>
    <w:rsid w:val="008D24FB"/>
    <w:rsid w:val="008D2C30"/>
    <w:rsid w:val="008D3ADE"/>
    <w:rsid w:val="008D435D"/>
    <w:rsid w:val="008D52BE"/>
    <w:rsid w:val="008D573F"/>
    <w:rsid w:val="008D5B09"/>
    <w:rsid w:val="008D5BA2"/>
    <w:rsid w:val="008D5BD0"/>
    <w:rsid w:val="008D5DCF"/>
    <w:rsid w:val="008D5E64"/>
    <w:rsid w:val="008D61C7"/>
    <w:rsid w:val="008D78B9"/>
    <w:rsid w:val="008D7E36"/>
    <w:rsid w:val="008E05A9"/>
    <w:rsid w:val="008E08E5"/>
    <w:rsid w:val="008E0A73"/>
    <w:rsid w:val="008E1488"/>
    <w:rsid w:val="008E1D8C"/>
    <w:rsid w:val="008E2253"/>
    <w:rsid w:val="008E2DD1"/>
    <w:rsid w:val="008E3B5E"/>
    <w:rsid w:val="008E529E"/>
    <w:rsid w:val="008E6A55"/>
    <w:rsid w:val="008E6DF9"/>
    <w:rsid w:val="008E7617"/>
    <w:rsid w:val="008E796A"/>
    <w:rsid w:val="008F129F"/>
    <w:rsid w:val="008F1811"/>
    <w:rsid w:val="008F284C"/>
    <w:rsid w:val="008F2B97"/>
    <w:rsid w:val="008F2C57"/>
    <w:rsid w:val="008F39E1"/>
    <w:rsid w:val="008F43B2"/>
    <w:rsid w:val="008F633B"/>
    <w:rsid w:val="008F67C2"/>
    <w:rsid w:val="008F6A3F"/>
    <w:rsid w:val="008F6C6E"/>
    <w:rsid w:val="008F719A"/>
    <w:rsid w:val="008F784C"/>
    <w:rsid w:val="008F78B7"/>
    <w:rsid w:val="008F7F29"/>
    <w:rsid w:val="00900C99"/>
    <w:rsid w:val="00902F11"/>
    <w:rsid w:val="00902F2F"/>
    <w:rsid w:val="009037B2"/>
    <w:rsid w:val="00903F58"/>
    <w:rsid w:val="00904467"/>
    <w:rsid w:val="009049F4"/>
    <w:rsid w:val="009063E1"/>
    <w:rsid w:val="00910622"/>
    <w:rsid w:val="009107D6"/>
    <w:rsid w:val="00910A92"/>
    <w:rsid w:val="00910EA9"/>
    <w:rsid w:val="009119E8"/>
    <w:rsid w:val="00912DE1"/>
    <w:rsid w:val="0091326B"/>
    <w:rsid w:val="009157C5"/>
    <w:rsid w:val="009157F9"/>
    <w:rsid w:val="00915887"/>
    <w:rsid w:val="00916B37"/>
    <w:rsid w:val="00916E19"/>
    <w:rsid w:val="00917FC4"/>
    <w:rsid w:val="00920D9A"/>
    <w:rsid w:val="009227F8"/>
    <w:rsid w:val="00922D22"/>
    <w:rsid w:val="009231D3"/>
    <w:rsid w:val="00923CE0"/>
    <w:rsid w:val="00926E52"/>
    <w:rsid w:val="00927082"/>
    <w:rsid w:val="00930CC9"/>
    <w:rsid w:val="00932994"/>
    <w:rsid w:val="00932C3D"/>
    <w:rsid w:val="00933186"/>
    <w:rsid w:val="0093323B"/>
    <w:rsid w:val="009334BC"/>
    <w:rsid w:val="00933A99"/>
    <w:rsid w:val="009345AB"/>
    <w:rsid w:val="009350E1"/>
    <w:rsid w:val="00936E3B"/>
    <w:rsid w:val="009374A7"/>
    <w:rsid w:val="00937656"/>
    <w:rsid w:val="00940D12"/>
    <w:rsid w:val="009415CB"/>
    <w:rsid w:val="00942662"/>
    <w:rsid w:val="00942A6E"/>
    <w:rsid w:val="00942ED9"/>
    <w:rsid w:val="00943C73"/>
    <w:rsid w:val="00943EF6"/>
    <w:rsid w:val="00944ADC"/>
    <w:rsid w:val="0094697D"/>
    <w:rsid w:val="00946D79"/>
    <w:rsid w:val="00947014"/>
    <w:rsid w:val="00947D12"/>
    <w:rsid w:val="00950082"/>
    <w:rsid w:val="0095016E"/>
    <w:rsid w:val="00950406"/>
    <w:rsid w:val="00950751"/>
    <w:rsid w:val="00951147"/>
    <w:rsid w:val="009523F9"/>
    <w:rsid w:val="00952A50"/>
    <w:rsid w:val="00954CE1"/>
    <w:rsid w:val="00955960"/>
    <w:rsid w:val="00957766"/>
    <w:rsid w:val="0096010B"/>
    <w:rsid w:val="0096108D"/>
    <w:rsid w:val="00961CBB"/>
    <w:rsid w:val="0096208E"/>
    <w:rsid w:val="0096273B"/>
    <w:rsid w:val="00962A71"/>
    <w:rsid w:val="00962B2D"/>
    <w:rsid w:val="0096349D"/>
    <w:rsid w:val="00964481"/>
    <w:rsid w:val="00964D76"/>
    <w:rsid w:val="0096526A"/>
    <w:rsid w:val="00966192"/>
    <w:rsid w:val="00967915"/>
    <w:rsid w:val="00967C5D"/>
    <w:rsid w:val="00970DA8"/>
    <w:rsid w:val="00970E48"/>
    <w:rsid w:val="00970EB9"/>
    <w:rsid w:val="00971807"/>
    <w:rsid w:val="00971D64"/>
    <w:rsid w:val="009725C7"/>
    <w:rsid w:val="009752CA"/>
    <w:rsid w:val="00975876"/>
    <w:rsid w:val="00976C04"/>
    <w:rsid w:val="00976C18"/>
    <w:rsid w:val="00977B65"/>
    <w:rsid w:val="00981D0E"/>
    <w:rsid w:val="00981D55"/>
    <w:rsid w:val="009821A1"/>
    <w:rsid w:val="00982714"/>
    <w:rsid w:val="0098351C"/>
    <w:rsid w:val="00983981"/>
    <w:rsid w:val="00983F4B"/>
    <w:rsid w:val="009847CE"/>
    <w:rsid w:val="00984F50"/>
    <w:rsid w:val="009850E6"/>
    <w:rsid w:val="00987A0A"/>
    <w:rsid w:val="00990119"/>
    <w:rsid w:val="00990964"/>
    <w:rsid w:val="00990A11"/>
    <w:rsid w:val="00991BA3"/>
    <w:rsid w:val="00992CAC"/>
    <w:rsid w:val="009933A4"/>
    <w:rsid w:val="00993653"/>
    <w:rsid w:val="00994254"/>
    <w:rsid w:val="009944FC"/>
    <w:rsid w:val="00994A41"/>
    <w:rsid w:val="009952AD"/>
    <w:rsid w:val="0099780E"/>
    <w:rsid w:val="009A0D07"/>
    <w:rsid w:val="009A27EF"/>
    <w:rsid w:val="009A3042"/>
    <w:rsid w:val="009A346D"/>
    <w:rsid w:val="009A3784"/>
    <w:rsid w:val="009A5687"/>
    <w:rsid w:val="009A6189"/>
    <w:rsid w:val="009A6FD0"/>
    <w:rsid w:val="009A7931"/>
    <w:rsid w:val="009B0118"/>
    <w:rsid w:val="009B1152"/>
    <w:rsid w:val="009B1330"/>
    <w:rsid w:val="009B1760"/>
    <w:rsid w:val="009B18AD"/>
    <w:rsid w:val="009B1CC1"/>
    <w:rsid w:val="009B206E"/>
    <w:rsid w:val="009B2881"/>
    <w:rsid w:val="009B416E"/>
    <w:rsid w:val="009B422F"/>
    <w:rsid w:val="009B439E"/>
    <w:rsid w:val="009B48BE"/>
    <w:rsid w:val="009B4DA5"/>
    <w:rsid w:val="009B5163"/>
    <w:rsid w:val="009B519D"/>
    <w:rsid w:val="009B56A5"/>
    <w:rsid w:val="009B6DFC"/>
    <w:rsid w:val="009B72A3"/>
    <w:rsid w:val="009C0C71"/>
    <w:rsid w:val="009C1273"/>
    <w:rsid w:val="009C1AF4"/>
    <w:rsid w:val="009C2BE5"/>
    <w:rsid w:val="009C2F31"/>
    <w:rsid w:val="009C2FA5"/>
    <w:rsid w:val="009C34A8"/>
    <w:rsid w:val="009C4362"/>
    <w:rsid w:val="009C4BA4"/>
    <w:rsid w:val="009C5B41"/>
    <w:rsid w:val="009C5FD5"/>
    <w:rsid w:val="009C6DC4"/>
    <w:rsid w:val="009C74A4"/>
    <w:rsid w:val="009C74AD"/>
    <w:rsid w:val="009D18CA"/>
    <w:rsid w:val="009D3D07"/>
    <w:rsid w:val="009D3EDC"/>
    <w:rsid w:val="009D4355"/>
    <w:rsid w:val="009D47D6"/>
    <w:rsid w:val="009D514D"/>
    <w:rsid w:val="009D5E9D"/>
    <w:rsid w:val="009D76DE"/>
    <w:rsid w:val="009E2212"/>
    <w:rsid w:val="009E32B2"/>
    <w:rsid w:val="009E32ED"/>
    <w:rsid w:val="009E351C"/>
    <w:rsid w:val="009E353F"/>
    <w:rsid w:val="009E3ECF"/>
    <w:rsid w:val="009E4B36"/>
    <w:rsid w:val="009E4C7B"/>
    <w:rsid w:val="009E5739"/>
    <w:rsid w:val="009F038D"/>
    <w:rsid w:val="009F0934"/>
    <w:rsid w:val="009F13E7"/>
    <w:rsid w:val="009F19CB"/>
    <w:rsid w:val="009F1DF6"/>
    <w:rsid w:val="009F250B"/>
    <w:rsid w:val="009F25EB"/>
    <w:rsid w:val="009F3091"/>
    <w:rsid w:val="009F4D6B"/>
    <w:rsid w:val="009F5B9B"/>
    <w:rsid w:val="009F64BC"/>
    <w:rsid w:val="009F6A81"/>
    <w:rsid w:val="009F72D8"/>
    <w:rsid w:val="00A017A3"/>
    <w:rsid w:val="00A01D0F"/>
    <w:rsid w:val="00A03676"/>
    <w:rsid w:val="00A0429E"/>
    <w:rsid w:val="00A044F7"/>
    <w:rsid w:val="00A05546"/>
    <w:rsid w:val="00A05911"/>
    <w:rsid w:val="00A05A88"/>
    <w:rsid w:val="00A0612C"/>
    <w:rsid w:val="00A07301"/>
    <w:rsid w:val="00A10BBD"/>
    <w:rsid w:val="00A12D2A"/>
    <w:rsid w:val="00A13044"/>
    <w:rsid w:val="00A1343B"/>
    <w:rsid w:val="00A13E0D"/>
    <w:rsid w:val="00A13F15"/>
    <w:rsid w:val="00A14054"/>
    <w:rsid w:val="00A14666"/>
    <w:rsid w:val="00A15070"/>
    <w:rsid w:val="00A150F7"/>
    <w:rsid w:val="00A1549F"/>
    <w:rsid w:val="00A16349"/>
    <w:rsid w:val="00A1663C"/>
    <w:rsid w:val="00A16F53"/>
    <w:rsid w:val="00A172CA"/>
    <w:rsid w:val="00A1736F"/>
    <w:rsid w:val="00A17A28"/>
    <w:rsid w:val="00A20C0F"/>
    <w:rsid w:val="00A2109E"/>
    <w:rsid w:val="00A22CF3"/>
    <w:rsid w:val="00A234D0"/>
    <w:rsid w:val="00A259D0"/>
    <w:rsid w:val="00A26494"/>
    <w:rsid w:val="00A310BD"/>
    <w:rsid w:val="00A323D1"/>
    <w:rsid w:val="00A324BE"/>
    <w:rsid w:val="00A34B72"/>
    <w:rsid w:val="00A355FB"/>
    <w:rsid w:val="00A368F8"/>
    <w:rsid w:val="00A36ED8"/>
    <w:rsid w:val="00A373DE"/>
    <w:rsid w:val="00A37D24"/>
    <w:rsid w:val="00A403B8"/>
    <w:rsid w:val="00A41398"/>
    <w:rsid w:val="00A419AB"/>
    <w:rsid w:val="00A41ABC"/>
    <w:rsid w:val="00A4206C"/>
    <w:rsid w:val="00A422FD"/>
    <w:rsid w:val="00A4514A"/>
    <w:rsid w:val="00A47BF0"/>
    <w:rsid w:val="00A5001A"/>
    <w:rsid w:val="00A50E31"/>
    <w:rsid w:val="00A527C1"/>
    <w:rsid w:val="00A52C23"/>
    <w:rsid w:val="00A535BD"/>
    <w:rsid w:val="00A54B32"/>
    <w:rsid w:val="00A54FFA"/>
    <w:rsid w:val="00A55CB3"/>
    <w:rsid w:val="00A563A8"/>
    <w:rsid w:val="00A56F04"/>
    <w:rsid w:val="00A56FDD"/>
    <w:rsid w:val="00A6096F"/>
    <w:rsid w:val="00A61128"/>
    <w:rsid w:val="00A6199A"/>
    <w:rsid w:val="00A62B2B"/>
    <w:rsid w:val="00A65909"/>
    <w:rsid w:val="00A66C23"/>
    <w:rsid w:val="00A66E86"/>
    <w:rsid w:val="00A67D9B"/>
    <w:rsid w:val="00A70A66"/>
    <w:rsid w:val="00A70D9D"/>
    <w:rsid w:val="00A717A2"/>
    <w:rsid w:val="00A72520"/>
    <w:rsid w:val="00A7297C"/>
    <w:rsid w:val="00A737A5"/>
    <w:rsid w:val="00A73941"/>
    <w:rsid w:val="00A73A23"/>
    <w:rsid w:val="00A73F04"/>
    <w:rsid w:val="00A748D3"/>
    <w:rsid w:val="00A75A37"/>
    <w:rsid w:val="00A7634B"/>
    <w:rsid w:val="00A770C9"/>
    <w:rsid w:val="00A8150B"/>
    <w:rsid w:val="00A81935"/>
    <w:rsid w:val="00A819DB"/>
    <w:rsid w:val="00A8249B"/>
    <w:rsid w:val="00A84A9B"/>
    <w:rsid w:val="00A84CEF"/>
    <w:rsid w:val="00A85019"/>
    <w:rsid w:val="00A858EE"/>
    <w:rsid w:val="00A85DC7"/>
    <w:rsid w:val="00A86DB1"/>
    <w:rsid w:val="00A874EC"/>
    <w:rsid w:val="00A87700"/>
    <w:rsid w:val="00A87BE1"/>
    <w:rsid w:val="00A87C05"/>
    <w:rsid w:val="00A90035"/>
    <w:rsid w:val="00A90101"/>
    <w:rsid w:val="00A905BD"/>
    <w:rsid w:val="00A9071D"/>
    <w:rsid w:val="00A90ADF"/>
    <w:rsid w:val="00A9219C"/>
    <w:rsid w:val="00A92D4E"/>
    <w:rsid w:val="00A92D67"/>
    <w:rsid w:val="00A92E23"/>
    <w:rsid w:val="00A92EA4"/>
    <w:rsid w:val="00A94D60"/>
    <w:rsid w:val="00A952C2"/>
    <w:rsid w:val="00A95836"/>
    <w:rsid w:val="00A973E6"/>
    <w:rsid w:val="00AA0059"/>
    <w:rsid w:val="00AA041B"/>
    <w:rsid w:val="00AA09DB"/>
    <w:rsid w:val="00AA0C3B"/>
    <w:rsid w:val="00AA13AC"/>
    <w:rsid w:val="00AA181B"/>
    <w:rsid w:val="00AA1DAA"/>
    <w:rsid w:val="00AA2BB7"/>
    <w:rsid w:val="00AA38FB"/>
    <w:rsid w:val="00AA4C0D"/>
    <w:rsid w:val="00AA555D"/>
    <w:rsid w:val="00AA69BD"/>
    <w:rsid w:val="00AA7A1A"/>
    <w:rsid w:val="00AB0147"/>
    <w:rsid w:val="00AB0A83"/>
    <w:rsid w:val="00AB0F39"/>
    <w:rsid w:val="00AB1060"/>
    <w:rsid w:val="00AB1173"/>
    <w:rsid w:val="00AB1A78"/>
    <w:rsid w:val="00AB1FF1"/>
    <w:rsid w:val="00AB2234"/>
    <w:rsid w:val="00AB266B"/>
    <w:rsid w:val="00AB2740"/>
    <w:rsid w:val="00AB29E7"/>
    <w:rsid w:val="00AB2EC4"/>
    <w:rsid w:val="00AB326C"/>
    <w:rsid w:val="00AB378E"/>
    <w:rsid w:val="00AB3979"/>
    <w:rsid w:val="00AB439C"/>
    <w:rsid w:val="00AB489E"/>
    <w:rsid w:val="00AB4968"/>
    <w:rsid w:val="00AB6350"/>
    <w:rsid w:val="00AB655D"/>
    <w:rsid w:val="00AB7FB6"/>
    <w:rsid w:val="00AC1550"/>
    <w:rsid w:val="00AC290A"/>
    <w:rsid w:val="00AC47F7"/>
    <w:rsid w:val="00AC495F"/>
    <w:rsid w:val="00AC548E"/>
    <w:rsid w:val="00AC55AD"/>
    <w:rsid w:val="00AC6C77"/>
    <w:rsid w:val="00AC7C2A"/>
    <w:rsid w:val="00AC7F37"/>
    <w:rsid w:val="00AD0662"/>
    <w:rsid w:val="00AD199A"/>
    <w:rsid w:val="00AD1FDB"/>
    <w:rsid w:val="00AD27D2"/>
    <w:rsid w:val="00AD2DF1"/>
    <w:rsid w:val="00AD43A7"/>
    <w:rsid w:val="00AD44C1"/>
    <w:rsid w:val="00AD480F"/>
    <w:rsid w:val="00AD4E07"/>
    <w:rsid w:val="00AD5306"/>
    <w:rsid w:val="00AD58CC"/>
    <w:rsid w:val="00AD5B20"/>
    <w:rsid w:val="00AD6220"/>
    <w:rsid w:val="00AD62ED"/>
    <w:rsid w:val="00AD6D00"/>
    <w:rsid w:val="00AD6FB8"/>
    <w:rsid w:val="00AD75FE"/>
    <w:rsid w:val="00AE02AD"/>
    <w:rsid w:val="00AE0F0A"/>
    <w:rsid w:val="00AE14C1"/>
    <w:rsid w:val="00AE160B"/>
    <w:rsid w:val="00AE2953"/>
    <w:rsid w:val="00AE371D"/>
    <w:rsid w:val="00AE3B52"/>
    <w:rsid w:val="00AE3D98"/>
    <w:rsid w:val="00AE433C"/>
    <w:rsid w:val="00AE5C19"/>
    <w:rsid w:val="00AE62B7"/>
    <w:rsid w:val="00AE6A2A"/>
    <w:rsid w:val="00AE722A"/>
    <w:rsid w:val="00AE7B24"/>
    <w:rsid w:val="00AE7E8F"/>
    <w:rsid w:val="00AF0682"/>
    <w:rsid w:val="00AF0869"/>
    <w:rsid w:val="00AF0D5A"/>
    <w:rsid w:val="00AF0FB6"/>
    <w:rsid w:val="00AF1340"/>
    <w:rsid w:val="00AF2A68"/>
    <w:rsid w:val="00AF2CF0"/>
    <w:rsid w:val="00AF43F7"/>
    <w:rsid w:val="00AF44C5"/>
    <w:rsid w:val="00AF4CDA"/>
    <w:rsid w:val="00AF4DD8"/>
    <w:rsid w:val="00AF540A"/>
    <w:rsid w:val="00AF603E"/>
    <w:rsid w:val="00AF6503"/>
    <w:rsid w:val="00AF6F90"/>
    <w:rsid w:val="00AF77B7"/>
    <w:rsid w:val="00B01EF7"/>
    <w:rsid w:val="00B02153"/>
    <w:rsid w:val="00B024D7"/>
    <w:rsid w:val="00B03F57"/>
    <w:rsid w:val="00B04086"/>
    <w:rsid w:val="00B043A9"/>
    <w:rsid w:val="00B048AE"/>
    <w:rsid w:val="00B049B3"/>
    <w:rsid w:val="00B049EA"/>
    <w:rsid w:val="00B05431"/>
    <w:rsid w:val="00B05CBD"/>
    <w:rsid w:val="00B064FC"/>
    <w:rsid w:val="00B100D0"/>
    <w:rsid w:val="00B101FE"/>
    <w:rsid w:val="00B11D43"/>
    <w:rsid w:val="00B12244"/>
    <w:rsid w:val="00B12274"/>
    <w:rsid w:val="00B122EF"/>
    <w:rsid w:val="00B1254B"/>
    <w:rsid w:val="00B125B3"/>
    <w:rsid w:val="00B20700"/>
    <w:rsid w:val="00B20B37"/>
    <w:rsid w:val="00B219F1"/>
    <w:rsid w:val="00B221E6"/>
    <w:rsid w:val="00B23415"/>
    <w:rsid w:val="00B23E43"/>
    <w:rsid w:val="00B240F3"/>
    <w:rsid w:val="00B24898"/>
    <w:rsid w:val="00B24BBA"/>
    <w:rsid w:val="00B24C21"/>
    <w:rsid w:val="00B24F66"/>
    <w:rsid w:val="00B259BA"/>
    <w:rsid w:val="00B2608D"/>
    <w:rsid w:val="00B265D3"/>
    <w:rsid w:val="00B27ADF"/>
    <w:rsid w:val="00B3061C"/>
    <w:rsid w:val="00B30CAD"/>
    <w:rsid w:val="00B30CFA"/>
    <w:rsid w:val="00B32F09"/>
    <w:rsid w:val="00B34C11"/>
    <w:rsid w:val="00B35BC5"/>
    <w:rsid w:val="00B36340"/>
    <w:rsid w:val="00B37194"/>
    <w:rsid w:val="00B37C85"/>
    <w:rsid w:val="00B40260"/>
    <w:rsid w:val="00B41325"/>
    <w:rsid w:val="00B4171A"/>
    <w:rsid w:val="00B41A0E"/>
    <w:rsid w:val="00B44967"/>
    <w:rsid w:val="00B451EC"/>
    <w:rsid w:val="00B47379"/>
    <w:rsid w:val="00B47B88"/>
    <w:rsid w:val="00B53216"/>
    <w:rsid w:val="00B53BA0"/>
    <w:rsid w:val="00B53CEA"/>
    <w:rsid w:val="00B53D23"/>
    <w:rsid w:val="00B54CED"/>
    <w:rsid w:val="00B56A6D"/>
    <w:rsid w:val="00B56BEB"/>
    <w:rsid w:val="00B56F1C"/>
    <w:rsid w:val="00B5773F"/>
    <w:rsid w:val="00B57940"/>
    <w:rsid w:val="00B60FA8"/>
    <w:rsid w:val="00B610A4"/>
    <w:rsid w:val="00B61A24"/>
    <w:rsid w:val="00B62375"/>
    <w:rsid w:val="00B626C4"/>
    <w:rsid w:val="00B6282B"/>
    <w:rsid w:val="00B6398E"/>
    <w:rsid w:val="00B63A05"/>
    <w:rsid w:val="00B63A33"/>
    <w:rsid w:val="00B643A5"/>
    <w:rsid w:val="00B6524E"/>
    <w:rsid w:val="00B665F4"/>
    <w:rsid w:val="00B66794"/>
    <w:rsid w:val="00B66C5D"/>
    <w:rsid w:val="00B66D92"/>
    <w:rsid w:val="00B67E6D"/>
    <w:rsid w:val="00B70734"/>
    <w:rsid w:val="00B7158C"/>
    <w:rsid w:val="00B71741"/>
    <w:rsid w:val="00B71C05"/>
    <w:rsid w:val="00B71CDD"/>
    <w:rsid w:val="00B729D2"/>
    <w:rsid w:val="00B72A82"/>
    <w:rsid w:val="00B73166"/>
    <w:rsid w:val="00B732D1"/>
    <w:rsid w:val="00B73443"/>
    <w:rsid w:val="00B74028"/>
    <w:rsid w:val="00B74423"/>
    <w:rsid w:val="00B74E2B"/>
    <w:rsid w:val="00B7512C"/>
    <w:rsid w:val="00B75370"/>
    <w:rsid w:val="00B76528"/>
    <w:rsid w:val="00B769B3"/>
    <w:rsid w:val="00B76DCD"/>
    <w:rsid w:val="00B80B99"/>
    <w:rsid w:val="00B80EF8"/>
    <w:rsid w:val="00B81D0B"/>
    <w:rsid w:val="00B81ED1"/>
    <w:rsid w:val="00B829E4"/>
    <w:rsid w:val="00B83858"/>
    <w:rsid w:val="00B840B5"/>
    <w:rsid w:val="00B84154"/>
    <w:rsid w:val="00B844D9"/>
    <w:rsid w:val="00B84F7B"/>
    <w:rsid w:val="00B8503D"/>
    <w:rsid w:val="00B85883"/>
    <w:rsid w:val="00B85C00"/>
    <w:rsid w:val="00B86B4C"/>
    <w:rsid w:val="00B87221"/>
    <w:rsid w:val="00B87CE4"/>
    <w:rsid w:val="00B90CE4"/>
    <w:rsid w:val="00B919FC"/>
    <w:rsid w:val="00B9289C"/>
    <w:rsid w:val="00B92B41"/>
    <w:rsid w:val="00B92E51"/>
    <w:rsid w:val="00B948F2"/>
    <w:rsid w:val="00B94C15"/>
    <w:rsid w:val="00B94C8F"/>
    <w:rsid w:val="00B94DFF"/>
    <w:rsid w:val="00B95A30"/>
    <w:rsid w:val="00B95D64"/>
    <w:rsid w:val="00B96043"/>
    <w:rsid w:val="00B96915"/>
    <w:rsid w:val="00B96942"/>
    <w:rsid w:val="00B97062"/>
    <w:rsid w:val="00B974CB"/>
    <w:rsid w:val="00B97AA7"/>
    <w:rsid w:val="00B97FB3"/>
    <w:rsid w:val="00BA0F84"/>
    <w:rsid w:val="00BA2AF4"/>
    <w:rsid w:val="00BA2C06"/>
    <w:rsid w:val="00BA366E"/>
    <w:rsid w:val="00BA41F9"/>
    <w:rsid w:val="00BB0906"/>
    <w:rsid w:val="00BB1E78"/>
    <w:rsid w:val="00BB2E13"/>
    <w:rsid w:val="00BB3DF6"/>
    <w:rsid w:val="00BB3E7E"/>
    <w:rsid w:val="00BB43A1"/>
    <w:rsid w:val="00BB472F"/>
    <w:rsid w:val="00BB5532"/>
    <w:rsid w:val="00BB556B"/>
    <w:rsid w:val="00BB5C58"/>
    <w:rsid w:val="00BB6C04"/>
    <w:rsid w:val="00BC0512"/>
    <w:rsid w:val="00BC12ED"/>
    <w:rsid w:val="00BC1628"/>
    <w:rsid w:val="00BC2DD5"/>
    <w:rsid w:val="00BC36F9"/>
    <w:rsid w:val="00BC3962"/>
    <w:rsid w:val="00BC4CC9"/>
    <w:rsid w:val="00BC54AF"/>
    <w:rsid w:val="00BC592F"/>
    <w:rsid w:val="00BC78AA"/>
    <w:rsid w:val="00BD01E8"/>
    <w:rsid w:val="00BD49A5"/>
    <w:rsid w:val="00BD52D5"/>
    <w:rsid w:val="00BD668E"/>
    <w:rsid w:val="00BD6835"/>
    <w:rsid w:val="00BD732D"/>
    <w:rsid w:val="00BD77A0"/>
    <w:rsid w:val="00BE04C2"/>
    <w:rsid w:val="00BE230E"/>
    <w:rsid w:val="00BE285A"/>
    <w:rsid w:val="00BE31C4"/>
    <w:rsid w:val="00BE3750"/>
    <w:rsid w:val="00BE4A37"/>
    <w:rsid w:val="00BE4FF4"/>
    <w:rsid w:val="00BE5E78"/>
    <w:rsid w:val="00BE5F69"/>
    <w:rsid w:val="00BF00E7"/>
    <w:rsid w:val="00BF02D8"/>
    <w:rsid w:val="00BF052E"/>
    <w:rsid w:val="00BF2E14"/>
    <w:rsid w:val="00BF3AA5"/>
    <w:rsid w:val="00BF3FE8"/>
    <w:rsid w:val="00BF424E"/>
    <w:rsid w:val="00BF555D"/>
    <w:rsid w:val="00C00C37"/>
    <w:rsid w:val="00C0125C"/>
    <w:rsid w:val="00C0171C"/>
    <w:rsid w:val="00C01A25"/>
    <w:rsid w:val="00C01AC6"/>
    <w:rsid w:val="00C01EC5"/>
    <w:rsid w:val="00C023DE"/>
    <w:rsid w:val="00C02A13"/>
    <w:rsid w:val="00C02D55"/>
    <w:rsid w:val="00C035B6"/>
    <w:rsid w:val="00C04387"/>
    <w:rsid w:val="00C04931"/>
    <w:rsid w:val="00C04D55"/>
    <w:rsid w:val="00C064F6"/>
    <w:rsid w:val="00C06628"/>
    <w:rsid w:val="00C07196"/>
    <w:rsid w:val="00C07E0F"/>
    <w:rsid w:val="00C10897"/>
    <w:rsid w:val="00C10A01"/>
    <w:rsid w:val="00C10A69"/>
    <w:rsid w:val="00C10C05"/>
    <w:rsid w:val="00C112AD"/>
    <w:rsid w:val="00C117D7"/>
    <w:rsid w:val="00C13118"/>
    <w:rsid w:val="00C150F5"/>
    <w:rsid w:val="00C1538C"/>
    <w:rsid w:val="00C15B7D"/>
    <w:rsid w:val="00C15F34"/>
    <w:rsid w:val="00C16EA6"/>
    <w:rsid w:val="00C172BD"/>
    <w:rsid w:val="00C20745"/>
    <w:rsid w:val="00C20909"/>
    <w:rsid w:val="00C21621"/>
    <w:rsid w:val="00C21C50"/>
    <w:rsid w:val="00C22C3C"/>
    <w:rsid w:val="00C23681"/>
    <w:rsid w:val="00C236A4"/>
    <w:rsid w:val="00C23B79"/>
    <w:rsid w:val="00C2424C"/>
    <w:rsid w:val="00C25308"/>
    <w:rsid w:val="00C26D46"/>
    <w:rsid w:val="00C3247A"/>
    <w:rsid w:val="00C324D2"/>
    <w:rsid w:val="00C34276"/>
    <w:rsid w:val="00C34B75"/>
    <w:rsid w:val="00C35949"/>
    <w:rsid w:val="00C35BE1"/>
    <w:rsid w:val="00C3641A"/>
    <w:rsid w:val="00C3649D"/>
    <w:rsid w:val="00C36916"/>
    <w:rsid w:val="00C36EE4"/>
    <w:rsid w:val="00C372C1"/>
    <w:rsid w:val="00C376C2"/>
    <w:rsid w:val="00C37995"/>
    <w:rsid w:val="00C379C1"/>
    <w:rsid w:val="00C40F37"/>
    <w:rsid w:val="00C41887"/>
    <w:rsid w:val="00C434CE"/>
    <w:rsid w:val="00C448B1"/>
    <w:rsid w:val="00C475B5"/>
    <w:rsid w:val="00C47711"/>
    <w:rsid w:val="00C47D64"/>
    <w:rsid w:val="00C50586"/>
    <w:rsid w:val="00C51C31"/>
    <w:rsid w:val="00C52421"/>
    <w:rsid w:val="00C528FD"/>
    <w:rsid w:val="00C533A3"/>
    <w:rsid w:val="00C5342E"/>
    <w:rsid w:val="00C53692"/>
    <w:rsid w:val="00C53C1B"/>
    <w:rsid w:val="00C558C7"/>
    <w:rsid w:val="00C55DA3"/>
    <w:rsid w:val="00C56138"/>
    <w:rsid w:val="00C572FC"/>
    <w:rsid w:val="00C60337"/>
    <w:rsid w:val="00C6060D"/>
    <w:rsid w:val="00C6101B"/>
    <w:rsid w:val="00C61D46"/>
    <w:rsid w:val="00C6232D"/>
    <w:rsid w:val="00C628FB"/>
    <w:rsid w:val="00C62C6B"/>
    <w:rsid w:val="00C6473B"/>
    <w:rsid w:val="00C64BA5"/>
    <w:rsid w:val="00C668F6"/>
    <w:rsid w:val="00C67720"/>
    <w:rsid w:val="00C704E7"/>
    <w:rsid w:val="00C70C80"/>
    <w:rsid w:val="00C70DB1"/>
    <w:rsid w:val="00C71AA3"/>
    <w:rsid w:val="00C722B0"/>
    <w:rsid w:val="00C72EA8"/>
    <w:rsid w:val="00C72ED5"/>
    <w:rsid w:val="00C73BFE"/>
    <w:rsid w:val="00C73D20"/>
    <w:rsid w:val="00C73E07"/>
    <w:rsid w:val="00C73E50"/>
    <w:rsid w:val="00C73F73"/>
    <w:rsid w:val="00C74131"/>
    <w:rsid w:val="00C75395"/>
    <w:rsid w:val="00C76169"/>
    <w:rsid w:val="00C76F9B"/>
    <w:rsid w:val="00C77278"/>
    <w:rsid w:val="00C7776C"/>
    <w:rsid w:val="00C8215B"/>
    <w:rsid w:val="00C8349B"/>
    <w:rsid w:val="00C838ED"/>
    <w:rsid w:val="00C854E2"/>
    <w:rsid w:val="00C856C3"/>
    <w:rsid w:val="00C85A79"/>
    <w:rsid w:val="00C90446"/>
    <w:rsid w:val="00C909AB"/>
    <w:rsid w:val="00C92F46"/>
    <w:rsid w:val="00C94F2B"/>
    <w:rsid w:val="00C96921"/>
    <w:rsid w:val="00CA034E"/>
    <w:rsid w:val="00CA10AC"/>
    <w:rsid w:val="00CA1883"/>
    <w:rsid w:val="00CA1C60"/>
    <w:rsid w:val="00CA2AC0"/>
    <w:rsid w:val="00CA3A4B"/>
    <w:rsid w:val="00CA5BBB"/>
    <w:rsid w:val="00CA600C"/>
    <w:rsid w:val="00CA6C5D"/>
    <w:rsid w:val="00CA6C79"/>
    <w:rsid w:val="00CA6DF1"/>
    <w:rsid w:val="00CA6F41"/>
    <w:rsid w:val="00CA7A6C"/>
    <w:rsid w:val="00CA7B51"/>
    <w:rsid w:val="00CB00D0"/>
    <w:rsid w:val="00CB0DFB"/>
    <w:rsid w:val="00CB1D88"/>
    <w:rsid w:val="00CB2BF6"/>
    <w:rsid w:val="00CB3741"/>
    <w:rsid w:val="00CB5129"/>
    <w:rsid w:val="00CB5258"/>
    <w:rsid w:val="00CB57CA"/>
    <w:rsid w:val="00CB58C4"/>
    <w:rsid w:val="00CB5E00"/>
    <w:rsid w:val="00CB75F2"/>
    <w:rsid w:val="00CC05F6"/>
    <w:rsid w:val="00CC162E"/>
    <w:rsid w:val="00CC2909"/>
    <w:rsid w:val="00CC46EF"/>
    <w:rsid w:val="00CC4A56"/>
    <w:rsid w:val="00CC4CDF"/>
    <w:rsid w:val="00CC5B06"/>
    <w:rsid w:val="00CC6045"/>
    <w:rsid w:val="00CC7052"/>
    <w:rsid w:val="00CC7571"/>
    <w:rsid w:val="00CD13E9"/>
    <w:rsid w:val="00CD1533"/>
    <w:rsid w:val="00CD2AA7"/>
    <w:rsid w:val="00CD3DC5"/>
    <w:rsid w:val="00CD4121"/>
    <w:rsid w:val="00CD631E"/>
    <w:rsid w:val="00CD6A2D"/>
    <w:rsid w:val="00CD7185"/>
    <w:rsid w:val="00CD7AAB"/>
    <w:rsid w:val="00CE06C7"/>
    <w:rsid w:val="00CE0E4E"/>
    <w:rsid w:val="00CE1C95"/>
    <w:rsid w:val="00CE2008"/>
    <w:rsid w:val="00CE26E4"/>
    <w:rsid w:val="00CE35A5"/>
    <w:rsid w:val="00CE3C5E"/>
    <w:rsid w:val="00CE4D48"/>
    <w:rsid w:val="00CE4F32"/>
    <w:rsid w:val="00CE532C"/>
    <w:rsid w:val="00CE5799"/>
    <w:rsid w:val="00CE5F20"/>
    <w:rsid w:val="00CE6D2D"/>
    <w:rsid w:val="00CE72EF"/>
    <w:rsid w:val="00CE78BE"/>
    <w:rsid w:val="00CF000F"/>
    <w:rsid w:val="00CF0A83"/>
    <w:rsid w:val="00CF0CA5"/>
    <w:rsid w:val="00CF0D51"/>
    <w:rsid w:val="00CF0FDF"/>
    <w:rsid w:val="00CF13D8"/>
    <w:rsid w:val="00CF15BD"/>
    <w:rsid w:val="00CF1650"/>
    <w:rsid w:val="00CF2559"/>
    <w:rsid w:val="00CF4F42"/>
    <w:rsid w:val="00CF4F59"/>
    <w:rsid w:val="00CF5604"/>
    <w:rsid w:val="00CF6299"/>
    <w:rsid w:val="00CF689D"/>
    <w:rsid w:val="00CF760B"/>
    <w:rsid w:val="00CF7FB3"/>
    <w:rsid w:val="00D00F90"/>
    <w:rsid w:val="00D0108E"/>
    <w:rsid w:val="00D01127"/>
    <w:rsid w:val="00D012CE"/>
    <w:rsid w:val="00D0184E"/>
    <w:rsid w:val="00D01C4B"/>
    <w:rsid w:val="00D01C64"/>
    <w:rsid w:val="00D02C53"/>
    <w:rsid w:val="00D02C88"/>
    <w:rsid w:val="00D03402"/>
    <w:rsid w:val="00D03E12"/>
    <w:rsid w:val="00D047F4"/>
    <w:rsid w:val="00D05ECC"/>
    <w:rsid w:val="00D06010"/>
    <w:rsid w:val="00D06DCE"/>
    <w:rsid w:val="00D1074B"/>
    <w:rsid w:val="00D12327"/>
    <w:rsid w:val="00D13362"/>
    <w:rsid w:val="00D14FAB"/>
    <w:rsid w:val="00D157A1"/>
    <w:rsid w:val="00D15FBA"/>
    <w:rsid w:val="00D16CDB"/>
    <w:rsid w:val="00D1716F"/>
    <w:rsid w:val="00D17DD9"/>
    <w:rsid w:val="00D17F5F"/>
    <w:rsid w:val="00D20F9E"/>
    <w:rsid w:val="00D21DC6"/>
    <w:rsid w:val="00D22392"/>
    <w:rsid w:val="00D22627"/>
    <w:rsid w:val="00D23555"/>
    <w:rsid w:val="00D23A3B"/>
    <w:rsid w:val="00D25153"/>
    <w:rsid w:val="00D2676D"/>
    <w:rsid w:val="00D270EB"/>
    <w:rsid w:val="00D2765B"/>
    <w:rsid w:val="00D30315"/>
    <w:rsid w:val="00D3093C"/>
    <w:rsid w:val="00D30B4C"/>
    <w:rsid w:val="00D3141F"/>
    <w:rsid w:val="00D3264F"/>
    <w:rsid w:val="00D32C4F"/>
    <w:rsid w:val="00D3354F"/>
    <w:rsid w:val="00D33569"/>
    <w:rsid w:val="00D33861"/>
    <w:rsid w:val="00D33B0D"/>
    <w:rsid w:val="00D33FC1"/>
    <w:rsid w:val="00D3543D"/>
    <w:rsid w:val="00D3562F"/>
    <w:rsid w:val="00D36B23"/>
    <w:rsid w:val="00D36F0D"/>
    <w:rsid w:val="00D4253E"/>
    <w:rsid w:val="00D439E9"/>
    <w:rsid w:val="00D44427"/>
    <w:rsid w:val="00D4462A"/>
    <w:rsid w:val="00D44F43"/>
    <w:rsid w:val="00D44F77"/>
    <w:rsid w:val="00D450D1"/>
    <w:rsid w:val="00D453F8"/>
    <w:rsid w:val="00D4642F"/>
    <w:rsid w:val="00D465D8"/>
    <w:rsid w:val="00D47188"/>
    <w:rsid w:val="00D508BB"/>
    <w:rsid w:val="00D5116E"/>
    <w:rsid w:val="00D5155D"/>
    <w:rsid w:val="00D51645"/>
    <w:rsid w:val="00D51861"/>
    <w:rsid w:val="00D51DA8"/>
    <w:rsid w:val="00D522DE"/>
    <w:rsid w:val="00D52604"/>
    <w:rsid w:val="00D52D8A"/>
    <w:rsid w:val="00D53C89"/>
    <w:rsid w:val="00D53CEF"/>
    <w:rsid w:val="00D54249"/>
    <w:rsid w:val="00D545D4"/>
    <w:rsid w:val="00D54BEB"/>
    <w:rsid w:val="00D55196"/>
    <w:rsid w:val="00D55D42"/>
    <w:rsid w:val="00D57503"/>
    <w:rsid w:val="00D60487"/>
    <w:rsid w:val="00D615AE"/>
    <w:rsid w:val="00D61FCD"/>
    <w:rsid w:val="00D62038"/>
    <w:rsid w:val="00D62402"/>
    <w:rsid w:val="00D63869"/>
    <w:rsid w:val="00D64E0D"/>
    <w:rsid w:val="00D655D0"/>
    <w:rsid w:val="00D65A32"/>
    <w:rsid w:val="00D65B59"/>
    <w:rsid w:val="00D65D75"/>
    <w:rsid w:val="00D66164"/>
    <w:rsid w:val="00D6687D"/>
    <w:rsid w:val="00D72F48"/>
    <w:rsid w:val="00D73605"/>
    <w:rsid w:val="00D7416C"/>
    <w:rsid w:val="00D74B0F"/>
    <w:rsid w:val="00D7628D"/>
    <w:rsid w:val="00D7636E"/>
    <w:rsid w:val="00D77587"/>
    <w:rsid w:val="00D81665"/>
    <w:rsid w:val="00D82D09"/>
    <w:rsid w:val="00D82E7D"/>
    <w:rsid w:val="00D83B04"/>
    <w:rsid w:val="00D843DD"/>
    <w:rsid w:val="00D848F4"/>
    <w:rsid w:val="00D8513E"/>
    <w:rsid w:val="00D854BA"/>
    <w:rsid w:val="00D86B77"/>
    <w:rsid w:val="00D87516"/>
    <w:rsid w:val="00D919D9"/>
    <w:rsid w:val="00D92045"/>
    <w:rsid w:val="00D92135"/>
    <w:rsid w:val="00D9462E"/>
    <w:rsid w:val="00D950CA"/>
    <w:rsid w:val="00D951EA"/>
    <w:rsid w:val="00D955D0"/>
    <w:rsid w:val="00D95D02"/>
    <w:rsid w:val="00D96044"/>
    <w:rsid w:val="00D961AB"/>
    <w:rsid w:val="00D965C5"/>
    <w:rsid w:val="00D97C5A"/>
    <w:rsid w:val="00DA3DCA"/>
    <w:rsid w:val="00DA4071"/>
    <w:rsid w:val="00DA45FA"/>
    <w:rsid w:val="00DA4DAD"/>
    <w:rsid w:val="00DA5BC0"/>
    <w:rsid w:val="00DA7AB5"/>
    <w:rsid w:val="00DA7AE1"/>
    <w:rsid w:val="00DA7DF8"/>
    <w:rsid w:val="00DB075B"/>
    <w:rsid w:val="00DB0CDE"/>
    <w:rsid w:val="00DB146B"/>
    <w:rsid w:val="00DB1B1C"/>
    <w:rsid w:val="00DB1E82"/>
    <w:rsid w:val="00DB3212"/>
    <w:rsid w:val="00DB32EF"/>
    <w:rsid w:val="00DB348C"/>
    <w:rsid w:val="00DB3AB3"/>
    <w:rsid w:val="00DB3BFE"/>
    <w:rsid w:val="00DB502A"/>
    <w:rsid w:val="00DB5F95"/>
    <w:rsid w:val="00DB77CB"/>
    <w:rsid w:val="00DB7836"/>
    <w:rsid w:val="00DB78B0"/>
    <w:rsid w:val="00DC0471"/>
    <w:rsid w:val="00DC112D"/>
    <w:rsid w:val="00DC22EB"/>
    <w:rsid w:val="00DC3440"/>
    <w:rsid w:val="00DC3D54"/>
    <w:rsid w:val="00DC4F8E"/>
    <w:rsid w:val="00DC54C0"/>
    <w:rsid w:val="00DC6B95"/>
    <w:rsid w:val="00DC730B"/>
    <w:rsid w:val="00DC7D6C"/>
    <w:rsid w:val="00DD265B"/>
    <w:rsid w:val="00DD30B0"/>
    <w:rsid w:val="00DD4589"/>
    <w:rsid w:val="00DD4595"/>
    <w:rsid w:val="00DD4B41"/>
    <w:rsid w:val="00DD527F"/>
    <w:rsid w:val="00DD5CC3"/>
    <w:rsid w:val="00DD60E0"/>
    <w:rsid w:val="00DD61AE"/>
    <w:rsid w:val="00DD6A1D"/>
    <w:rsid w:val="00DD6A38"/>
    <w:rsid w:val="00DD77BD"/>
    <w:rsid w:val="00DE0831"/>
    <w:rsid w:val="00DE173A"/>
    <w:rsid w:val="00DE2770"/>
    <w:rsid w:val="00DE2971"/>
    <w:rsid w:val="00DE2AB1"/>
    <w:rsid w:val="00DE3167"/>
    <w:rsid w:val="00DE342F"/>
    <w:rsid w:val="00DE598F"/>
    <w:rsid w:val="00DF0580"/>
    <w:rsid w:val="00DF094E"/>
    <w:rsid w:val="00DF0B9F"/>
    <w:rsid w:val="00DF1F4F"/>
    <w:rsid w:val="00DF37C4"/>
    <w:rsid w:val="00DF50F6"/>
    <w:rsid w:val="00DF55EE"/>
    <w:rsid w:val="00DF565E"/>
    <w:rsid w:val="00DF613D"/>
    <w:rsid w:val="00DF6886"/>
    <w:rsid w:val="00DF6F4C"/>
    <w:rsid w:val="00DF701A"/>
    <w:rsid w:val="00DF764C"/>
    <w:rsid w:val="00DF7ACE"/>
    <w:rsid w:val="00DF7B41"/>
    <w:rsid w:val="00E005B0"/>
    <w:rsid w:val="00E00B0E"/>
    <w:rsid w:val="00E00D27"/>
    <w:rsid w:val="00E00E99"/>
    <w:rsid w:val="00E0294F"/>
    <w:rsid w:val="00E02CEB"/>
    <w:rsid w:val="00E02EF0"/>
    <w:rsid w:val="00E040AC"/>
    <w:rsid w:val="00E045FC"/>
    <w:rsid w:val="00E04EDE"/>
    <w:rsid w:val="00E06278"/>
    <w:rsid w:val="00E0688D"/>
    <w:rsid w:val="00E06AC9"/>
    <w:rsid w:val="00E106B3"/>
    <w:rsid w:val="00E10C3D"/>
    <w:rsid w:val="00E111A2"/>
    <w:rsid w:val="00E11210"/>
    <w:rsid w:val="00E11232"/>
    <w:rsid w:val="00E11DE2"/>
    <w:rsid w:val="00E12F2A"/>
    <w:rsid w:val="00E133BA"/>
    <w:rsid w:val="00E13807"/>
    <w:rsid w:val="00E13929"/>
    <w:rsid w:val="00E15DA2"/>
    <w:rsid w:val="00E16211"/>
    <w:rsid w:val="00E17D53"/>
    <w:rsid w:val="00E20C53"/>
    <w:rsid w:val="00E22519"/>
    <w:rsid w:val="00E2430E"/>
    <w:rsid w:val="00E24778"/>
    <w:rsid w:val="00E24C84"/>
    <w:rsid w:val="00E24C93"/>
    <w:rsid w:val="00E2566A"/>
    <w:rsid w:val="00E26C05"/>
    <w:rsid w:val="00E272B5"/>
    <w:rsid w:val="00E27E52"/>
    <w:rsid w:val="00E306C4"/>
    <w:rsid w:val="00E30771"/>
    <w:rsid w:val="00E319F3"/>
    <w:rsid w:val="00E31FF6"/>
    <w:rsid w:val="00E326CB"/>
    <w:rsid w:val="00E33264"/>
    <w:rsid w:val="00E35FAB"/>
    <w:rsid w:val="00E36DA4"/>
    <w:rsid w:val="00E36F65"/>
    <w:rsid w:val="00E376E7"/>
    <w:rsid w:val="00E4045F"/>
    <w:rsid w:val="00E42316"/>
    <w:rsid w:val="00E42445"/>
    <w:rsid w:val="00E42581"/>
    <w:rsid w:val="00E4271E"/>
    <w:rsid w:val="00E43DCF"/>
    <w:rsid w:val="00E4477E"/>
    <w:rsid w:val="00E44879"/>
    <w:rsid w:val="00E44D22"/>
    <w:rsid w:val="00E4678F"/>
    <w:rsid w:val="00E46803"/>
    <w:rsid w:val="00E46B22"/>
    <w:rsid w:val="00E46D0E"/>
    <w:rsid w:val="00E46D8A"/>
    <w:rsid w:val="00E46E8B"/>
    <w:rsid w:val="00E4701E"/>
    <w:rsid w:val="00E47FBE"/>
    <w:rsid w:val="00E50F6B"/>
    <w:rsid w:val="00E5114D"/>
    <w:rsid w:val="00E51180"/>
    <w:rsid w:val="00E5321D"/>
    <w:rsid w:val="00E53664"/>
    <w:rsid w:val="00E540EC"/>
    <w:rsid w:val="00E55D7A"/>
    <w:rsid w:val="00E56399"/>
    <w:rsid w:val="00E6307B"/>
    <w:rsid w:val="00E648B4"/>
    <w:rsid w:val="00E651A4"/>
    <w:rsid w:val="00E6538D"/>
    <w:rsid w:val="00E65F21"/>
    <w:rsid w:val="00E66034"/>
    <w:rsid w:val="00E661AB"/>
    <w:rsid w:val="00E66214"/>
    <w:rsid w:val="00E66AA6"/>
    <w:rsid w:val="00E66E39"/>
    <w:rsid w:val="00E670DD"/>
    <w:rsid w:val="00E67B28"/>
    <w:rsid w:val="00E72321"/>
    <w:rsid w:val="00E72A4D"/>
    <w:rsid w:val="00E72CCC"/>
    <w:rsid w:val="00E73D08"/>
    <w:rsid w:val="00E750C4"/>
    <w:rsid w:val="00E758C9"/>
    <w:rsid w:val="00E760D8"/>
    <w:rsid w:val="00E762AF"/>
    <w:rsid w:val="00E80718"/>
    <w:rsid w:val="00E818D6"/>
    <w:rsid w:val="00E81F1D"/>
    <w:rsid w:val="00E8274C"/>
    <w:rsid w:val="00E82A34"/>
    <w:rsid w:val="00E82AB6"/>
    <w:rsid w:val="00E832D0"/>
    <w:rsid w:val="00E841FE"/>
    <w:rsid w:val="00E84461"/>
    <w:rsid w:val="00E85FF9"/>
    <w:rsid w:val="00E863B4"/>
    <w:rsid w:val="00E9008C"/>
    <w:rsid w:val="00E90118"/>
    <w:rsid w:val="00E905CD"/>
    <w:rsid w:val="00E91A9D"/>
    <w:rsid w:val="00E920CA"/>
    <w:rsid w:val="00E92A4F"/>
    <w:rsid w:val="00E92BB6"/>
    <w:rsid w:val="00E93EA4"/>
    <w:rsid w:val="00E94691"/>
    <w:rsid w:val="00E9494A"/>
    <w:rsid w:val="00E95D58"/>
    <w:rsid w:val="00E95DBE"/>
    <w:rsid w:val="00E96CF4"/>
    <w:rsid w:val="00EA02F6"/>
    <w:rsid w:val="00EA0C2D"/>
    <w:rsid w:val="00EA0D16"/>
    <w:rsid w:val="00EA1365"/>
    <w:rsid w:val="00EA2589"/>
    <w:rsid w:val="00EA354F"/>
    <w:rsid w:val="00EA3E8A"/>
    <w:rsid w:val="00EA4A48"/>
    <w:rsid w:val="00EA4BDA"/>
    <w:rsid w:val="00EA51B2"/>
    <w:rsid w:val="00EA5C34"/>
    <w:rsid w:val="00EA6CD2"/>
    <w:rsid w:val="00EA7FAA"/>
    <w:rsid w:val="00EB0179"/>
    <w:rsid w:val="00EB171A"/>
    <w:rsid w:val="00EB40EA"/>
    <w:rsid w:val="00EB470F"/>
    <w:rsid w:val="00EB647F"/>
    <w:rsid w:val="00EB7F85"/>
    <w:rsid w:val="00EC03BB"/>
    <w:rsid w:val="00EC0C96"/>
    <w:rsid w:val="00EC25CC"/>
    <w:rsid w:val="00EC39DF"/>
    <w:rsid w:val="00EC55CA"/>
    <w:rsid w:val="00EC58CE"/>
    <w:rsid w:val="00EC5BD4"/>
    <w:rsid w:val="00EC5DFD"/>
    <w:rsid w:val="00EC60B7"/>
    <w:rsid w:val="00EC6662"/>
    <w:rsid w:val="00EC6CE1"/>
    <w:rsid w:val="00EC6DCA"/>
    <w:rsid w:val="00EC78FE"/>
    <w:rsid w:val="00ED08A0"/>
    <w:rsid w:val="00ED0B1D"/>
    <w:rsid w:val="00ED125C"/>
    <w:rsid w:val="00ED2839"/>
    <w:rsid w:val="00ED28D6"/>
    <w:rsid w:val="00ED2B4F"/>
    <w:rsid w:val="00ED3A0D"/>
    <w:rsid w:val="00ED40D0"/>
    <w:rsid w:val="00ED71B2"/>
    <w:rsid w:val="00ED7C42"/>
    <w:rsid w:val="00EE0568"/>
    <w:rsid w:val="00EE271F"/>
    <w:rsid w:val="00EE30C1"/>
    <w:rsid w:val="00EE799D"/>
    <w:rsid w:val="00EF043F"/>
    <w:rsid w:val="00EF0643"/>
    <w:rsid w:val="00EF2605"/>
    <w:rsid w:val="00EF2A7A"/>
    <w:rsid w:val="00EF2AAC"/>
    <w:rsid w:val="00EF30F8"/>
    <w:rsid w:val="00EF4008"/>
    <w:rsid w:val="00EF43F9"/>
    <w:rsid w:val="00EF541B"/>
    <w:rsid w:val="00EF61AD"/>
    <w:rsid w:val="00EF7014"/>
    <w:rsid w:val="00F015C6"/>
    <w:rsid w:val="00F016EC"/>
    <w:rsid w:val="00F0217E"/>
    <w:rsid w:val="00F0294F"/>
    <w:rsid w:val="00F0335A"/>
    <w:rsid w:val="00F035EC"/>
    <w:rsid w:val="00F03993"/>
    <w:rsid w:val="00F041CE"/>
    <w:rsid w:val="00F0554A"/>
    <w:rsid w:val="00F0659F"/>
    <w:rsid w:val="00F06847"/>
    <w:rsid w:val="00F071F8"/>
    <w:rsid w:val="00F07201"/>
    <w:rsid w:val="00F0748B"/>
    <w:rsid w:val="00F1054A"/>
    <w:rsid w:val="00F1107C"/>
    <w:rsid w:val="00F11241"/>
    <w:rsid w:val="00F11A75"/>
    <w:rsid w:val="00F12AD2"/>
    <w:rsid w:val="00F1405D"/>
    <w:rsid w:val="00F149C8"/>
    <w:rsid w:val="00F14C40"/>
    <w:rsid w:val="00F15EB7"/>
    <w:rsid w:val="00F176F6"/>
    <w:rsid w:val="00F20C10"/>
    <w:rsid w:val="00F2110A"/>
    <w:rsid w:val="00F211DB"/>
    <w:rsid w:val="00F21F57"/>
    <w:rsid w:val="00F22B05"/>
    <w:rsid w:val="00F22DC8"/>
    <w:rsid w:val="00F23B42"/>
    <w:rsid w:val="00F2427D"/>
    <w:rsid w:val="00F24406"/>
    <w:rsid w:val="00F248F6"/>
    <w:rsid w:val="00F25BFB"/>
    <w:rsid w:val="00F2645D"/>
    <w:rsid w:val="00F308B7"/>
    <w:rsid w:val="00F3103F"/>
    <w:rsid w:val="00F31BAD"/>
    <w:rsid w:val="00F32DF3"/>
    <w:rsid w:val="00F33EB0"/>
    <w:rsid w:val="00F34664"/>
    <w:rsid w:val="00F34CA4"/>
    <w:rsid w:val="00F35672"/>
    <w:rsid w:val="00F35A52"/>
    <w:rsid w:val="00F35AD0"/>
    <w:rsid w:val="00F35C30"/>
    <w:rsid w:val="00F35E85"/>
    <w:rsid w:val="00F374AE"/>
    <w:rsid w:val="00F37D84"/>
    <w:rsid w:val="00F406C4"/>
    <w:rsid w:val="00F4082E"/>
    <w:rsid w:val="00F40DDB"/>
    <w:rsid w:val="00F411D3"/>
    <w:rsid w:val="00F41278"/>
    <w:rsid w:val="00F4131F"/>
    <w:rsid w:val="00F4204E"/>
    <w:rsid w:val="00F43C14"/>
    <w:rsid w:val="00F43E77"/>
    <w:rsid w:val="00F4445C"/>
    <w:rsid w:val="00F452A9"/>
    <w:rsid w:val="00F47682"/>
    <w:rsid w:val="00F47AB7"/>
    <w:rsid w:val="00F47FA5"/>
    <w:rsid w:val="00F50D86"/>
    <w:rsid w:val="00F51B5F"/>
    <w:rsid w:val="00F526F7"/>
    <w:rsid w:val="00F55A07"/>
    <w:rsid w:val="00F55C31"/>
    <w:rsid w:val="00F56D2F"/>
    <w:rsid w:val="00F5730F"/>
    <w:rsid w:val="00F573FB"/>
    <w:rsid w:val="00F57418"/>
    <w:rsid w:val="00F575B8"/>
    <w:rsid w:val="00F57B07"/>
    <w:rsid w:val="00F60284"/>
    <w:rsid w:val="00F60EAA"/>
    <w:rsid w:val="00F61AF0"/>
    <w:rsid w:val="00F62703"/>
    <w:rsid w:val="00F62F24"/>
    <w:rsid w:val="00F6341B"/>
    <w:rsid w:val="00F63D6C"/>
    <w:rsid w:val="00F63EA2"/>
    <w:rsid w:val="00F64FB2"/>
    <w:rsid w:val="00F65071"/>
    <w:rsid w:val="00F65E77"/>
    <w:rsid w:val="00F67B12"/>
    <w:rsid w:val="00F700FA"/>
    <w:rsid w:val="00F70ADA"/>
    <w:rsid w:val="00F71A48"/>
    <w:rsid w:val="00F71E2B"/>
    <w:rsid w:val="00F72524"/>
    <w:rsid w:val="00F72E41"/>
    <w:rsid w:val="00F730C1"/>
    <w:rsid w:val="00F73ACB"/>
    <w:rsid w:val="00F74163"/>
    <w:rsid w:val="00F75FA2"/>
    <w:rsid w:val="00F76AFF"/>
    <w:rsid w:val="00F8019F"/>
    <w:rsid w:val="00F80FCA"/>
    <w:rsid w:val="00F810F8"/>
    <w:rsid w:val="00F82BA2"/>
    <w:rsid w:val="00F82C27"/>
    <w:rsid w:val="00F8355C"/>
    <w:rsid w:val="00F84238"/>
    <w:rsid w:val="00F8448F"/>
    <w:rsid w:val="00F84499"/>
    <w:rsid w:val="00F84A6C"/>
    <w:rsid w:val="00F85117"/>
    <w:rsid w:val="00F8539F"/>
    <w:rsid w:val="00F8672F"/>
    <w:rsid w:val="00F90429"/>
    <w:rsid w:val="00F90A59"/>
    <w:rsid w:val="00F913BE"/>
    <w:rsid w:val="00F93A4D"/>
    <w:rsid w:val="00F94370"/>
    <w:rsid w:val="00F96780"/>
    <w:rsid w:val="00F967FF"/>
    <w:rsid w:val="00F96A1F"/>
    <w:rsid w:val="00F974EB"/>
    <w:rsid w:val="00F9778C"/>
    <w:rsid w:val="00F97F22"/>
    <w:rsid w:val="00FA01D9"/>
    <w:rsid w:val="00FA0CD4"/>
    <w:rsid w:val="00FA12EE"/>
    <w:rsid w:val="00FA1CEA"/>
    <w:rsid w:val="00FA22C6"/>
    <w:rsid w:val="00FA355B"/>
    <w:rsid w:val="00FA37E9"/>
    <w:rsid w:val="00FA6917"/>
    <w:rsid w:val="00FA6923"/>
    <w:rsid w:val="00FA6C32"/>
    <w:rsid w:val="00FA7147"/>
    <w:rsid w:val="00FA7274"/>
    <w:rsid w:val="00FB01AE"/>
    <w:rsid w:val="00FB3099"/>
    <w:rsid w:val="00FB3A94"/>
    <w:rsid w:val="00FB4D83"/>
    <w:rsid w:val="00FB5790"/>
    <w:rsid w:val="00FB57AA"/>
    <w:rsid w:val="00FB6509"/>
    <w:rsid w:val="00FB66AC"/>
    <w:rsid w:val="00FB6787"/>
    <w:rsid w:val="00FB73EE"/>
    <w:rsid w:val="00FB7A69"/>
    <w:rsid w:val="00FC0179"/>
    <w:rsid w:val="00FC0C80"/>
    <w:rsid w:val="00FC1E5F"/>
    <w:rsid w:val="00FC20A3"/>
    <w:rsid w:val="00FC270C"/>
    <w:rsid w:val="00FC2962"/>
    <w:rsid w:val="00FC3356"/>
    <w:rsid w:val="00FC4363"/>
    <w:rsid w:val="00FC49DC"/>
    <w:rsid w:val="00FC5860"/>
    <w:rsid w:val="00FC5F64"/>
    <w:rsid w:val="00FC5FF8"/>
    <w:rsid w:val="00FC60C4"/>
    <w:rsid w:val="00FC7D97"/>
    <w:rsid w:val="00FC7E94"/>
    <w:rsid w:val="00FD048D"/>
    <w:rsid w:val="00FD0B36"/>
    <w:rsid w:val="00FD0DC0"/>
    <w:rsid w:val="00FD122D"/>
    <w:rsid w:val="00FD1FA9"/>
    <w:rsid w:val="00FD20C1"/>
    <w:rsid w:val="00FD2462"/>
    <w:rsid w:val="00FD26D4"/>
    <w:rsid w:val="00FD27CB"/>
    <w:rsid w:val="00FD30AE"/>
    <w:rsid w:val="00FD3DD5"/>
    <w:rsid w:val="00FD3EE7"/>
    <w:rsid w:val="00FD4237"/>
    <w:rsid w:val="00FD477F"/>
    <w:rsid w:val="00FD4E61"/>
    <w:rsid w:val="00FD5022"/>
    <w:rsid w:val="00FD5CC4"/>
    <w:rsid w:val="00FD6140"/>
    <w:rsid w:val="00FD639E"/>
    <w:rsid w:val="00FD79EB"/>
    <w:rsid w:val="00FE1FEE"/>
    <w:rsid w:val="00FE20C2"/>
    <w:rsid w:val="00FE25DA"/>
    <w:rsid w:val="00FE2B67"/>
    <w:rsid w:val="00FE39CA"/>
    <w:rsid w:val="00FE420E"/>
    <w:rsid w:val="00FE54EA"/>
    <w:rsid w:val="00FE5873"/>
    <w:rsid w:val="00FE5BD2"/>
    <w:rsid w:val="00FE6585"/>
    <w:rsid w:val="00FE7240"/>
    <w:rsid w:val="00FF03EC"/>
    <w:rsid w:val="00FF1288"/>
    <w:rsid w:val="00FF20C1"/>
    <w:rsid w:val="00FF2D55"/>
    <w:rsid w:val="00FF33E1"/>
    <w:rsid w:val="00FF3D08"/>
    <w:rsid w:val="00FF4347"/>
    <w:rsid w:val="00FF47BF"/>
    <w:rsid w:val="00FF54F3"/>
    <w:rsid w:val="00FF7D1C"/>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0A6A3"/>
  <w14:defaultImageDpi w14:val="330"/>
  <w15:chartTrackingRefBased/>
  <w15:docId w15:val="{63333219-2556-4425-9B58-E4C95535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6E"/>
    <w:pPr>
      <w:spacing w:after="240" w:line="240" w:lineRule="auto"/>
      <w:jc w:val="both"/>
    </w:pPr>
    <w:rPr>
      <w:rFonts w:ascii="Calibri" w:hAnsi="Calibri" w:cs="Times New Roman"/>
      <w:sz w:val="24"/>
      <w:szCs w:val="20"/>
    </w:rPr>
  </w:style>
  <w:style w:type="paragraph" w:styleId="Heading1">
    <w:name w:val="heading 1"/>
    <w:basedOn w:val="Normal"/>
    <w:next w:val="Normal"/>
    <w:link w:val="Heading1Char"/>
    <w:qFormat/>
    <w:rsid w:val="00C62C6B"/>
    <w:pPr>
      <w:keepNext/>
      <w:spacing w:after="360"/>
      <w:jc w:val="center"/>
      <w:outlineLvl w:val="0"/>
    </w:pPr>
    <w:rPr>
      <w:rFonts w:cs="Arial"/>
      <w:b/>
      <w:kern w:val="28"/>
      <w:sz w:val="28"/>
    </w:rPr>
  </w:style>
  <w:style w:type="paragraph" w:styleId="Heading2">
    <w:name w:val="heading 2"/>
    <w:basedOn w:val="Heading1"/>
    <w:next w:val="Normal"/>
    <w:link w:val="Heading2Char"/>
    <w:qFormat/>
    <w:rsid w:val="00C62C6B"/>
    <w:pPr>
      <w:numPr>
        <w:ilvl w:val="1"/>
      </w:numPr>
      <w:tabs>
        <w:tab w:val="left" w:pos="720"/>
      </w:tabs>
      <w:spacing w:before="120" w:after="240"/>
      <w:jc w:val="left"/>
      <w:outlineLvl w:val="1"/>
    </w:pPr>
    <w:rPr>
      <w:caps/>
      <w:sz w:val="24"/>
    </w:rPr>
  </w:style>
  <w:style w:type="paragraph" w:styleId="Heading3">
    <w:name w:val="heading 3"/>
    <w:basedOn w:val="Heading2"/>
    <w:next w:val="Normal"/>
    <w:link w:val="Heading3Char"/>
    <w:qFormat/>
    <w:rsid w:val="00C62C6B"/>
    <w:pPr>
      <w:numPr>
        <w:ilvl w:val="2"/>
      </w:numPr>
      <w:tabs>
        <w:tab w:val="clear" w:pos="720"/>
        <w:tab w:val="left" w:pos="900"/>
      </w:tabs>
      <w:outlineLvl w:val="2"/>
    </w:pPr>
    <w:rPr>
      <w:caps w:val="0"/>
    </w:rPr>
  </w:style>
  <w:style w:type="paragraph" w:styleId="Heading4">
    <w:name w:val="heading 4"/>
    <w:basedOn w:val="Heading1"/>
    <w:next w:val="Normal"/>
    <w:link w:val="Heading4Char"/>
    <w:qFormat/>
    <w:rsid w:val="00C62C6B"/>
    <w:pPr>
      <w:numPr>
        <w:ilvl w:val="3"/>
      </w:numPr>
      <w:tabs>
        <w:tab w:val="left" w:pos="1080"/>
      </w:tabs>
      <w:spacing w:before="120" w:after="240"/>
      <w:jc w:val="left"/>
      <w:outlineLvl w:val="3"/>
    </w:pPr>
    <w:rPr>
      <w:bCs/>
      <w:i/>
      <w:sz w:val="24"/>
    </w:rPr>
  </w:style>
  <w:style w:type="paragraph" w:styleId="Heading5">
    <w:name w:val="heading 5"/>
    <w:basedOn w:val="Heading1"/>
    <w:next w:val="Normal"/>
    <w:link w:val="Heading5Char"/>
    <w:qFormat/>
    <w:rsid w:val="00C62C6B"/>
    <w:pPr>
      <w:spacing w:before="120" w:after="240"/>
      <w:jc w:val="left"/>
      <w:outlineLvl w:val="4"/>
    </w:pPr>
    <w:rPr>
      <w:bCs/>
      <w:iCs/>
      <w:sz w:val="24"/>
    </w:rPr>
  </w:style>
  <w:style w:type="paragraph" w:styleId="Heading6">
    <w:name w:val="heading 6"/>
    <w:basedOn w:val="Heading1"/>
    <w:next w:val="Normal"/>
    <w:link w:val="Heading6Char"/>
    <w:qFormat/>
    <w:rsid w:val="00C62C6B"/>
    <w:pPr>
      <w:spacing w:before="120" w:after="240"/>
      <w:jc w:val="left"/>
      <w:outlineLvl w:val="5"/>
    </w:pPr>
    <w:rPr>
      <w:bCs/>
      <w:i/>
      <w:sz w:val="24"/>
    </w:rPr>
  </w:style>
  <w:style w:type="paragraph" w:styleId="Heading7">
    <w:name w:val="heading 7"/>
    <w:basedOn w:val="Normal"/>
    <w:next w:val="Normal"/>
    <w:link w:val="Heading7Char"/>
    <w:uiPriority w:val="9"/>
    <w:semiHidden/>
    <w:unhideWhenUsed/>
    <w:qFormat/>
    <w:rsid w:val="002100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00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00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2C6B"/>
    <w:pPr>
      <w:tabs>
        <w:tab w:val="center" w:pos="4320"/>
        <w:tab w:val="right" w:pos="8640"/>
      </w:tabs>
      <w:spacing w:after="120"/>
    </w:pPr>
  </w:style>
  <w:style w:type="character" w:customStyle="1" w:styleId="HeaderChar">
    <w:name w:val="Header Char"/>
    <w:basedOn w:val="DefaultParagraphFont"/>
    <w:link w:val="Header"/>
    <w:rsid w:val="00C62C6B"/>
    <w:rPr>
      <w:rFonts w:ascii="Calibri" w:hAnsi="Calibri" w:cs="Times New Roman"/>
      <w:sz w:val="24"/>
      <w:szCs w:val="20"/>
    </w:rPr>
  </w:style>
  <w:style w:type="paragraph" w:styleId="Footer">
    <w:name w:val="footer"/>
    <w:basedOn w:val="Normal"/>
    <w:link w:val="FooterChar"/>
    <w:rsid w:val="00C62C6B"/>
    <w:pPr>
      <w:tabs>
        <w:tab w:val="center" w:pos="4320"/>
        <w:tab w:val="right" w:pos="8640"/>
      </w:tabs>
      <w:spacing w:after="0" w:line="20" w:lineRule="exact"/>
      <w:jc w:val="left"/>
    </w:pPr>
  </w:style>
  <w:style w:type="character" w:customStyle="1" w:styleId="FooterChar">
    <w:name w:val="Footer Char"/>
    <w:basedOn w:val="DefaultParagraphFont"/>
    <w:link w:val="Footer"/>
    <w:rsid w:val="00C62C6B"/>
    <w:rPr>
      <w:rFonts w:ascii="Calibri" w:hAnsi="Calibri" w:cs="Times New Roman"/>
      <w:sz w:val="24"/>
      <w:szCs w:val="20"/>
    </w:rPr>
  </w:style>
  <w:style w:type="paragraph" w:customStyle="1" w:styleId="HeaderLeft">
    <w:name w:val="HeaderLeft"/>
    <w:basedOn w:val="Normal"/>
    <w:rsid w:val="00C62C6B"/>
    <w:pPr>
      <w:spacing w:after="40"/>
      <w:jc w:val="left"/>
    </w:pPr>
    <w:rPr>
      <w:rFonts w:ascii="BakerSignet BT" w:hAnsi="BakerSignet BT"/>
      <w:sz w:val="28"/>
    </w:rPr>
  </w:style>
  <w:style w:type="paragraph" w:customStyle="1" w:styleId="HeaderMiddle">
    <w:name w:val="HeaderMiddle"/>
    <w:basedOn w:val="Normal"/>
    <w:rsid w:val="00C62C6B"/>
    <w:pPr>
      <w:spacing w:after="40"/>
      <w:jc w:val="center"/>
    </w:pPr>
  </w:style>
  <w:style w:type="paragraph" w:customStyle="1" w:styleId="HeaderRight">
    <w:name w:val="HeaderRight"/>
    <w:basedOn w:val="Normal"/>
    <w:rsid w:val="00C62C6B"/>
    <w:pPr>
      <w:spacing w:after="40"/>
      <w:jc w:val="right"/>
    </w:pPr>
    <w:rPr>
      <w:b/>
    </w:rPr>
  </w:style>
  <w:style w:type="paragraph" w:customStyle="1" w:styleId="FooterLeftTop">
    <w:name w:val="FooterLeftTop"/>
    <w:basedOn w:val="Normal"/>
    <w:next w:val="FooterLeftBottom"/>
    <w:rsid w:val="00C62C6B"/>
    <w:pPr>
      <w:spacing w:before="40" w:after="0"/>
      <w:jc w:val="left"/>
    </w:pPr>
    <w:rPr>
      <w:sz w:val="12"/>
    </w:rPr>
  </w:style>
  <w:style w:type="paragraph" w:customStyle="1" w:styleId="FooterLeftBottom">
    <w:name w:val="FooterLeftBottom"/>
    <w:basedOn w:val="Normal"/>
    <w:rsid w:val="00C62C6B"/>
    <w:pPr>
      <w:spacing w:after="0"/>
      <w:jc w:val="left"/>
    </w:pPr>
    <w:rPr>
      <w:sz w:val="18"/>
    </w:rPr>
  </w:style>
  <w:style w:type="paragraph" w:customStyle="1" w:styleId="FooterMiddle">
    <w:name w:val="FooterMiddle"/>
    <w:basedOn w:val="Normal"/>
    <w:rsid w:val="00C62C6B"/>
    <w:pPr>
      <w:spacing w:before="40" w:after="0"/>
      <w:jc w:val="center"/>
    </w:pPr>
  </w:style>
  <w:style w:type="paragraph" w:customStyle="1" w:styleId="FooterRightTop">
    <w:name w:val="FooterRightTop"/>
    <w:basedOn w:val="Normal"/>
    <w:next w:val="FooterRightBottom"/>
    <w:rsid w:val="00C62C6B"/>
    <w:pPr>
      <w:spacing w:before="40" w:after="0"/>
      <w:jc w:val="right"/>
    </w:pPr>
  </w:style>
  <w:style w:type="paragraph" w:customStyle="1" w:styleId="FooterRightBottom">
    <w:name w:val="FooterRightBottom"/>
    <w:basedOn w:val="Normal"/>
    <w:rsid w:val="00C62C6B"/>
    <w:pPr>
      <w:spacing w:after="0"/>
      <w:jc w:val="right"/>
    </w:pPr>
    <w:rPr>
      <w:sz w:val="18"/>
    </w:rPr>
  </w:style>
  <w:style w:type="paragraph" w:styleId="BalloonText">
    <w:name w:val="Balloon Text"/>
    <w:basedOn w:val="Normal"/>
    <w:link w:val="BalloonTextChar"/>
    <w:semiHidden/>
    <w:rsid w:val="00C62C6B"/>
    <w:rPr>
      <w:rFonts w:ascii="Tahoma" w:hAnsi="Tahoma" w:cs="Tahoma"/>
      <w:sz w:val="16"/>
      <w:szCs w:val="16"/>
    </w:rPr>
  </w:style>
  <w:style w:type="character" w:customStyle="1" w:styleId="BalloonTextChar">
    <w:name w:val="Balloon Text Char"/>
    <w:basedOn w:val="DefaultParagraphFont"/>
    <w:link w:val="BalloonText"/>
    <w:semiHidden/>
    <w:rsid w:val="00C62C6B"/>
    <w:rPr>
      <w:rFonts w:ascii="Tahoma" w:hAnsi="Tahoma" w:cs="Tahoma"/>
      <w:sz w:val="16"/>
      <w:szCs w:val="16"/>
    </w:rPr>
  </w:style>
  <w:style w:type="paragraph" w:customStyle="1" w:styleId="Blank">
    <w:name w:val="Blank"/>
    <w:basedOn w:val="Normal"/>
    <w:qFormat/>
    <w:rsid w:val="00C62C6B"/>
    <w:rPr>
      <w:i/>
      <w:kern w:val="28"/>
    </w:rPr>
  </w:style>
  <w:style w:type="paragraph" w:customStyle="1" w:styleId="Bullet1">
    <w:name w:val="Bullet1"/>
    <w:basedOn w:val="Normal"/>
    <w:rsid w:val="00C62C6B"/>
    <w:pPr>
      <w:numPr>
        <w:numId w:val="1"/>
      </w:numPr>
      <w:spacing w:after="120"/>
    </w:pPr>
  </w:style>
  <w:style w:type="paragraph" w:customStyle="1" w:styleId="Bullet1Cont">
    <w:name w:val="Bullet1Cont"/>
    <w:basedOn w:val="Normal"/>
    <w:rsid w:val="00C62C6B"/>
    <w:pPr>
      <w:spacing w:after="120"/>
      <w:ind w:left="1080"/>
    </w:pPr>
  </w:style>
  <w:style w:type="paragraph" w:customStyle="1" w:styleId="Bullet1Last">
    <w:name w:val="Bullet1Last"/>
    <w:basedOn w:val="Normal"/>
    <w:next w:val="Normal"/>
    <w:rsid w:val="00C62C6B"/>
    <w:pPr>
      <w:numPr>
        <w:numId w:val="2"/>
      </w:numPr>
    </w:pPr>
    <w:rPr>
      <w:rFonts w:asciiTheme="minorHAnsi" w:hAnsiTheme="minorHAnsi"/>
    </w:rPr>
  </w:style>
  <w:style w:type="paragraph" w:customStyle="1" w:styleId="Bullet2">
    <w:name w:val="Bullet2"/>
    <w:basedOn w:val="Normal"/>
    <w:rsid w:val="00C62C6B"/>
    <w:pPr>
      <w:numPr>
        <w:numId w:val="3"/>
      </w:numPr>
      <w:spacing w:after="60"/>
    </w:pPr>
  </w:style>
  <w:style w:type="paragraph" w:customStyle="1" w:styleId="Bullet2Cont">
    <w:name w:val="Bullet2Cont"/>
    <w:basedOn w:val="Normal"/>
    <w:rsid w:val="00C62C6B"/>
    <w:pPr>
      <w:spacing w:after="60"/>
      <w:ind w:left="1440"/>
    </w:pPr>
  </w:style>
  <w:style w:type="paragraph" w:customStyle="1" w:styleId="Bullet2Last">
    <w:name w:val="Bullet2Last"/>
    <w:basedOn w:val="Normal"/>
    <w:next w:val="Bullet1"/>
    <w:rsid w:val="00C62C6B"/>
    <w:pPr>
      <w:numPr>
        <w:numId w:val="4"/>
      </w:numPr>
      <w:spacing w:after="120"/>
    </w:pPr>
  </w:style>
  <w:style w:type="paragraph" w:customStyle="1" w:styleId="Bullet3">
    <w:name w:val="Bullet3"/>
    <w:basedOn w:val="Normal"/>
    <w:rsid w:val="00C62C6B"/>
    <w:pPr>
      <w:numPr>
        <w:numId w:val="5"/>
      </w:numPr>
      <w:tabs>
        <w:tab w:val="left" w:pos="1800"/>
      </w:tabs>
      <w:spacing w:after="60"/>
    </w:pPr>
  </w:style>
  <w:style w:type="paragraph" w:customStyle="1" w:styleId="Bullet3Cont">
    <w:name w:val="Bullet3Cont"/>
    <w:basedOn w:val="Normal"/>
    <w:rsid w:val="00C62C6B"/>
    <w:pPr>
      <w:spacing w:after="60"/>
      <w:ind w:left="1800"/>
    </w:pPr>
  </w:style>
  <w:style w:type="paragraph" w:customStyle="1" w:styleId="Bullet3Last">
    <w:name w:val="Bullet3Last"/>
    <w:basedOn w:val="Normal"/>
    <w:next w:val="Bullet2"/>
    <w:rsid w:val="00C62C6B"/>
    <w:pPr>
      <w:numPr>
        <w:numId w:val="6"/>
      </w:numPr>
      <w:tabs>
        <w:tab w:val="left" w:pos="1800"/>
      </w:tabs>
      <w:spacing w:after="120"/>
    </w:pPr>
  </w:style>
  <w:style w:type="paragraph" w:customStyle="1" w:styleId="BulletMargin">
    <w:name w:val="BulletMargin"/>
    <w:basedOn w:val="Normal"/>
    <w:rsid w:val="00C62C6B"/>
    <w:pPr>
      <w:numPr>
        <w:numId w:val="17"/>
      </w:numPr>
      <w:spacing w:after="120"/>
    </w:pPr>
  </w:style>
  <w:style w:type="paragraph" w:customStyle="1" w:styleId="BulletMarginCont">
    <w:name w:val="BulletMarginCont"/>
    <w:basedOn w:val="Normal"/>
    <w:rsid w:val="00C62C6B"/>
    <w:pPr>
      <w:spacing w:after="120"/>
      <w:ind w:left="360"/>
    </w:pPr>
  </w:style>
  <w:style w:type="paragraph" w:customStyle="1" w:styleId="BulletMarginLast">
    <w:name w:val="BulletMarginLast"/>
    <w:basedOn w:val="Normal"/>
    <w:next w:val="Normal"/>
    <w:rsid w:val="00C62C6B"/>
    <w:pPr>
      <w:numPr>
        <w:numId w:val="8"/>
      </w:numPr>
    </w:pPr>
  </w:style>
  <w:style w:type="paragraph" w:customStyle="1" w:styleId="CheckedList">
    <w:name w:val="CheckedList"/>
    <w:basedOn w:val="Normal"/>
    <w:rsid w:val="00C62C6B"/>
    <w:pPr>
      <w:numPr>
        <w:numId w:val="9"/>
      </w:numPr>
      <w:tabs>
        <w:tab w:val="left" w:pos="1080"/>
      </w:tabs>
      <w:spacing w:after="120"/>
    </w:pPr>
  </w:style>
  <w:style w:type="paragraph" w:customStyle="1" w:styleId="CheckList">
    <w:name w:val="CheckList"/>
    <w:basedOn w:val="Normal"/>
    <w:rsid w:val="00C62C6B"/>
    <w:pPr>
      <w:numPr>
        <w:numId w:val="10"/>
      </w:numPr>
      <w:tabs>
        <w:tab w:val="left" w:pos="1080"/>
      </w:tabs>
      <w:spacing w:after="120"/>
    </w:pPr>
  </w:style>
  <w:style w:type="paragraph" w:customStyle="1" w:styleId="CoverProject">
    <w:name w:val="CoverProject"/>
    <w:basedOn w:val="Normal"/>
    <w:rsid w:val="00C62C6B"/>
    <w:pPr>
      <w:spacing w:before="240"/>
      <w:jc w:val="center"/>
    </w:pPr>
    <w:rPr>
      <w:b/>
      <w:bCs/>
      <w:sz w:val="36"/>
    </w:rPr>
  </w:style>
  <w:style w:type="paragraph" w:customStyle="1" w:styleId="CoverAddress">
    <w:name w:val="CoverAddress"/>
    <w:basedOn w:val="CoverProject"/>
    <w:rsid w:val="00C62C6B"/>
    <w:pPr>
      <w:spacing w:before="0" w:after="0"/>
    </w:pPr>
    <w:rPr>
      <w:b w:val="0"/>
      <w:bCs w:val="0"/>
      <w:sz w:val="24"/>
    </w:rPr>
  </w:style>
  <w:style w:type="paragraph" w:customStyle="1" w:styleId="CoverDate">
    <w:name w:val="CoverDate"/>
    <w:basedOn w:val="CoverProject"/>
    <w:rsid w:val="00C62C6B"/>
    <w:pPr>
      <w:spacing w:before="720" w:after="480"/>
    </w:pPr>
    <w:rPr>
      <w:sz w:val="32"/>
    </w:rPr>
  </w:style>
  <w:style w:type="paragraph" w:customStyle="1" w:styleId="CoverFor">
    <w:name w:val="CoverFor"/>
    <w:basedOn w:val="CoverProject"/>
    <w:rsid w:val="00C62C6B"/>
    <w:pPr>
      <w:spacing w:before="480" w:after="60"/>
    </w:pPr>
    <w:rPr>
      <w:sz w:val="28"/>
    </w:rPr>
  </w:style>
  <w:style w:type="paragraph" w:customStyle="1" w:styleId="CoverReport">
    <w:name w:val="CoverReport"/>
    <w:basedOn w:val="Normal"/>
    <w:rsid w:val="00C62C6B"/>
    <w:pPr>
      <w:spacing w:before="240"/>
      <w:jc w:val="center"/>
    </w:pPr>
    <w:rPr>
      <w:b/>
      <w:bCs/>
      <w:sz w:val="48"/>
    </w:rPr>
  </w:style>
  <w:style w:type="paragraph" w:customStyle="1" w:styleId="CoverVersion">
    <w:name w:val="CoverVersion"/>
    <w:basedOn w:val="CoverProject"/>
    <w:rsid w:val="00C62C6B"/>
    <w:pPr>
      <w:spacing w:before="480" w:after="0"/>
    </w:pPr>
    <w:rPr>
      <w:color w:val="999999"/>
    </w:rPr>
  </w:style>
  <w:style w:type="paragraph" w:styleId="Date">
    <w:name w:val="Date"/>
    <w:basedOn w:val="Normal"/>
    <w:next w:val="Normal"/>
    <w:link w:val="DateChar"/>
    <w:rsid w:val="00C62C6B"/>
    <w:rPr>
      <w:rFonts w:asciiTheme="minorHAnsi" w:hAnsiTheme="minorHAnsi"/>
    </w:rPr>
  </w:style>
  <w:style w:type="character" w:customStyle="1" w:styleId="DateChar">
    <w:name w:val="Date Char"/>
    <w:basedOn w:val="DefaultParagraphFont"/>
    <w:link w:val="Date"/>
    <w:rsid w:val="00C62C6B"/>
    <w:rPr>
      <w:rFonts w:cs="Times New Roman"/>
      <w:sz w:val="24"/>
      <w:szCs w:val="20"/>
    </w:rPr>
  </w:style>
  <w:style w:type="character" w:styleId="Emphasis">
    <w:name w:val="Emphasis"/>
    <w:basedOn w:val="DefaultParagraphFont"/>
    <w:qFormat/>
    <w:rsid w:val="00C62C6B"/>
    <w:rPr>
      <w:rFonts w:ascii="Calibri" w:hAnsi="Calibri"/>
      <w:i/>
      <w:iCs/>
    </w:rPr>
  </w:style>
  <w:style w:type="paragraph" w:styleId="FootnoteText">
    <w:name w:val="footnote text"/>
    <w:basedOn w:val="Normal"/>
    <w:link w:val="FootnoteTextChar"/>
    <w:unhideWhenUsed/>
    <w:rsid w:val="00EA2589"/>
    <w:pPr>
      <w:keepLines/>
      <w:tabs>
        <w:tab w:val="left" w:pos="230"/>
      </w:tabs>
      <w:spacing w:after="0"/>
      <w:ind w:left="230" w:hanging="230"/>
    </w:pPr>
    <w:rPr>
      <w:rFonts w:asciiTheme="minorHAnsi" w:hAnsiTheme="minorHAnsi"/>
      <w:sz w:val="20"/>
    </w:rPr>
  </w:style>
  <w:style w:type="character" w:customStyle="1" w:styleId="FootnoteTextChar">
    <w:name w:val="Footnote Text Char"/>
    <w:basedOn w:val="DefaultParagraphFont"/>
    <w:link w:val="FootnoteText"/>
    <w:rsid w:val="00EA2589"/>
    <w:rPr>
      <w:rFonts w:cs="Times New Roman"/>
      <w:sz w:val="20"/>
      <w:szCs w:val="20"/>
    </w:rPr>
  </w:style>
  <w:style w:type="character" w:customStyle="1" w:styleId="Heading1Char">
    <w:name w:val="Heading 1 Char"/>
    <w:basedOn w:val="DefaultParagraphFont"/>
    <w:link w:val="Heading1"/>
    <w:rsid w:val="00C62C6B"/>
    <w:rPr>
      <w:rFonts w:ascii="Calibri" w:hAnsi="Calibri" w:cs="Arial"/>
      <w:b/>
      <w:kern w:val="28"/>
      <w:sz w:val="28"/>
      <w:szCs w:val="20"/>
    </w:rPr>
  </w:style>
  <w:style w:type="character" w:customStyle="1" w:styleId="Heading2Char">
    <w:name w:val="Heading 2 Char"/>
    <w:basedOn w:val="DefaultParagraphFont"/>
    <w:link w:val="Heading2"/>
    <w:rsid w:val="00C62C6B"/>
    <w:rPr>
      <w:rFonts w:ascii="Calibri" w:hAnsi="Calibri" w:cs="Arial"/>
      <w:b/>
      <w:caps/>
      <w:kern w:val="28"/>
      <w:sz w:val="24"/>
      <w:szCs w:val="20"/>
    </w:rPr>
  </w:style>
  <w:style w:type="character" w:customStyle="1" w:styleId="Heading3Char">
    <w:name w:val="Heading 3 Char"/>
    <w:basedOn w:val="DefaultParagraphFont"/>
    <w:link w:val="Heading3"/>
    <w:rsid w:val="00C62C6B"/>
    <w:rPr>
      <w:rFonts w:ascii="Calibri" w:hAnsi="Calibri" w:cs="Arial"/>
      <w:b/>
      <w:kern w:val="28"/>
      <w:sz w:val="24"/>
      <w:szCs w:val="20"/>
    </w:rPr>
  </w:style>
  <w:style w:type="character" w:customStyle="1" w:styleId="Heading4Char">
    <w:name w:val="Heading 4 Char"/>
    <w:basedOn w:val="DefaultParagraphFont"/>
    <w:link w:val="Heading4"/>
    <w:rsid w:val="00C62C6B"/>
    <w:rPr>
      <w:rFonts w:ascii="Calibri" w:hAnsi="Calibri" w:cs="Arial"/>
      <w:b/>
      <w:bCs/>
      <w:i/>
      <w:kern w:val="28"/>
      <w:sz w:val="24"/>
      <w:szCs w:val="20"/>
    </w:rPr>
  </w:style>
  <w:style w:type="character" w:customStyle="1" w:styleId="Heading5Char">
    <w:name w:val="Heading 5 Char"/>
    <w:basedOn w:val="DefaultParagraphFont"/>
    <w:link w:val="Heading5"/>
    <w:rsid w:val="00C62C6B"/>
    <w:rPr>
      <w:rFonts w:ascii="Calibri" w:hAnsi="Calibri" w:cs="Arial"/>
      <w:b/>
      <w:bCs/>
      <w:iCs/>
      <w:kern w:val="28"/>
      <w:sz w:val="24"/>
      <w:szCs w:val="20"/>
    </w:rPr>
  </w:style>
  <w:style w:type="character" w:customStyle="1" w:styleId="Heading6Char">
    <w:name w:val="Heading 6 Char"/>
    <w:basedOn w:val="DefaultParagraphFont"/>
    <w:link w:val="Heading6"/>
    <w:rsid w:val="00C62C6B"/>
    <w:rPr>
      <w:rFonts w:ascii="Calibri" w:hAnsi="Calibri" w:cs="Arial"/>
      <w:b/>
      <w:bCs/>
      <w:i/>
      <w:kern w:val="28"/>
      <w:sz w:val="24"/>
      <w:szCs w:val="20"/>
    </w:rPr>
  </w:style>
  <w:style w:type="character" w:styleId="Hyperlink">
    <w:name w:val="Hyperlink"/>
    <w:basedOn w:val="DefaultParagraphFont"/>
    <w:uiPriority w:val="99"/>
    <w:rsid w:val="00C62C6B"/>
    <w:rPr>
      <w:rFonts w:ascii="Calibri" w:hAnsi="Calibri"/>
      <w:color w:val="0000FF"/>
      <w:u w:val="single"/>
    </w:rPr>
  </w:style>
  <w:style w:type="paragraph" w:styleId="ListParagraph">
    <w:name w:val="List Paragraph"/>
    <w:basedOn w:val="Normal"/>
    <w:uiPriority w:val="34"/>
    <w:qFormat/>
    <w:rsid w:val="00C62C6B"/>
    <w:pPr>
      <w:ind w:left="720"/>
      <w:contextualSpacing/>
    </w:pPr>
  </w:style>
  <w:style w:type="paragraph" w:styleId="NoSpacing">
    <w:name w:val="No Spacing"/>
    <w:uiPriority w:val="1"/>
    <w:qFormat/>
    <w:rsid w:val="00C62C6B"/>
    <w:pPr>
      <w:spacing w:after="0" w:line="240" w:lineRule="auto"/>
      <w:jc w:val="both"/>
    </w:pPr>
    <w:rPr>
      <w:rFonts w:ascii="Calibri" w:hAnsi="Calibri" w:cs="Times New Roman"/>
      <w:szCs w:val="20"/>
    </w:rPr>
  </w:style>
  <w:style w:type="paragraph" w:styleId="NormalIndent">
    <w:name w:val="Normal Indent"/>
    <w:basedOn w:val="Normal"/>
    <w:rsid w:val="00C62C6B"/>
    <w:pPr>
      <w:ind w:left="720"/>
    </w:pPr>
  </w:style>
  <w:style w:type="paragraph" w:customStyle="1" w:styleId="NormalHang">
    <w:name w:val="NormalHang"/>
    <w:basedOn w:val="Normal"/>
    <w:rsid w:val="00C62C6B"/>
    <w:pPr>
      <w:ind w:left="720" w:hanging="720"/>
    </w:pPr>
  </w:style>
  <w:style w:type="paragraph" w:customStyle="1" w:styleId="NormalSix">
    <w:name w:val="NormalSix"/>
    <w:basedOn w:val="Normal"/>
    <w:next w:val="Normal"/>
    <w:rsid w:val="00EA2589"/>
    <w:pPr>
      <w:keepNext/>
      <w:spacing w:after="120"/>
    </w:pPr>
  </w:style>
  <w:style w:type="paragraph" w:customStyle="1" w:styleId="NormalTable">
    <w:name w:val="NormalTable"/>
    <w:basedOn w:val="Normal"/>
    <w:rsid w:val="00EA2589"/>
    <w:pPr>
      <w:spacing w:before="60" w:after="60"/>
      <w:jc w:val="center"/>
    </w:pPr>
    <w:rPr>
      <w:rFonts w:cstheme="minorBidi"/>
      <w:szCs w:val="22"/>
    </w:rPr>
  </w:style>
  <w:style w:type="table" w:customStyle="1" w:styleId="NormalTableStyle">
    <w:name w:val="NormalTableStyle"/>
    <w:basedOn w:val="TableNormal"/>
    <w:uiPriority w:val="99"/>
    <w:rsid w:val="00C62C6B"/>
    <w:pPr>
      <w:spacing w:before="60" w:after="60" w:line="274" w:lineRule="auto"/>
    </w:pPr>
    <w:rPr>
      <w:rFonts w:ascii="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hree">
    <w:name w:val="NormalThree"/>
    <w:basedOn w:val="Normal"/>
    <w:next w:val="Normal"/>
    <w:rsid w:val="00C62C6B"/>
    <w:pPr>
      <w:spacing w:after="60"/>
    </w:pPr>
  </w:style>
  <w:style w:type="paragraph" w:customStyle="1" w:styleId="NormalZero">
    <w:name w:val="NormalZero"/>
    <w:basedOn w:val="Normal"/>
    <w:next w:val="Normal"/>
    <w:rsid w:val="00C62C6B"/>
    <w:pPr>
      <w:spacing w:after="0"/>
    </w:pPr>
  </w:style>
  <w:style w:type="paragraph" w:customStyle="1" w:styleId="Note">
    <w:name w:val="Note"/>
    <w:basedOn w:val="NormalZero"/>
    <w:qFormat/>
    <w:rsid w:val="00EA2589"/>
    <w:pPr>
      <w:jc w:val="left"/>
    </w:pPr>
    <w:rPr>
      <w:rFonts w:cstheme="minorBidi"/>
      <w:sz w:val="18"/>
      <w:szCs w:val="18"/>
    </w:rPr>
  </w:style>
  <w:style w:type="paragraph" w:customStyle="1" w:styleId="Notes">
    <w:name w:val="Notes:"/>
    <w:basedOn w:val="NormalTable"/>
    <w:qFormat/>
    <w:rsid w:val="00EA2589"/>
    <w:pPr>
      <w:keepNext/>
      <w:spacing w:after="0"/>
      <w:jc w:val="left"/>
    </w:pPr>
    <w:rPr>
      <w:sz w:val="18"/>
      <w:szCs w:val="18"/>
    </w:rPr>
  </w:style>
  <w:style w:type="paragraph" w:customStyle="1" w:styleId="NumberList">
    <w:name w:val="NumberList"/>
    <w:basedOn w:val="Normal"/>
    <w:rsid w:val="00C62C6B"/>
    <w:pPr>
      <w:numPr>
        <w:numId w:val="16"/>
      </w:numPr>
      <w:tabs>
        <w:tab w:val="clear" w:pos="1080"/>
        <w:tab w:val="num" w:pos="360"/>
      </w:tabs>
      <w:spacing w:after="120"/>
      <w:ind w:left="360"/>
    </w:pPr>
  </w:style>
  <w:style w:type="paragraph" w:styleId="Quote">
    <w:name w:val="Quote"/>
    <w:basedOn w:val="Normal"/>
    <w:next w:val="Normal"/>
    <w:link w:val="QuoteChar"/>
    <w:qFormat/>
    <w:rsid w:val="00C62C6B"/>
    <w:pPr>
      <w:ind w:left="720" w:right="720"/>
    </w:pPr>
  </w:style>
  <w:style w:type="character" w:customStyle="1" w:styleId="QuoteChar">
    <w:name w:val="Quote Char"/>
    <w:basedOn w:val="DefaultParagraphFont"/>
    <w:link w:val="Quote"/>
    <w:rsid w:val="00C62C6B"/>
    <w:rPr>
      <w:rFonts w:ascii="Calibri" w:hAnsi="Calibri" w:cs="Times New Roman"/>
      <w:sz w:val="24"/>
      <w:szCs w:val="20"/>
    </w:rPr>
  </w:style>
  <w:style w:type="paragraph" w:customStyle="1" w:styleId="Ref">
    <w:name w:val="Ref"/>
    <w:basedOn w:val="Normal"/>
    <w:rsid w:val="00C62C6B"/>
    <w:pPr>
      <w:ind w:left="720" w:hanging="720"/>
    </w:pPr>
  </w:style>
  <w:style w:type="paragraph" w:customStyle="1" w:styleId="Response">
    <w:name w:val="Response"/>
    <w:basedOn w:val="Normal"/>
    <w:qFormat/>
    <w:rsid w:val="00C62C6B"/>
    <w:pPr>
      <w:ind w:left="720"/>
    </w:pPr>
    <w:rPr>
      <w:rFonts w:cs="Arial"/>
      <w:b/>
      <w:color w:val="0070C0"/>
      <w:szCs w:val="24"/>
    </w:rPr>
  </w:style>
  <w:style w:type="table" w:styleId="TableGrid">
    <w:name w:val="Table Grid"/>
    <w:basedOn w:val="TableNormal"/>
    <w:uiPriority w:val="59"/>
    <w:rsid w:val="00C62C6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Heading"/>
    <w:basedOn w:val="NormalTable"/>
    <w:next w:val="NormalTable"/>
    <w:rsid w:val="00EA2589"/>
    <w:pPr>
      <w:keepNext/>
    </w:pPr>
    <w:rPr>
      <w:b/>
    </w:rPr>
  </w:style>
  <w:style w:type="paragraph" w:customStyle="1" w:styleId="TableTitle">
    <w:name w:val="TableTitle"/>
    <w:next w:val="Normal"/>
    <w:rsid w:val="00EA2589"/>
    <w:pPr>
      <w:keepNext/>
      <w:spacing w:after="120" w:line="240" w:lineRule="auto"/>
      <w:jc w:val="center"/>
    </w:pPr>
    <w:rPr>
      <w:rFonts w:ascii="Calibri" w:hAnsi="Calibri" w:cs="Arial"/>
      <w:b/>
      <w:kern w:val="28"/>
      <w:sz w:val="24"/>
      <w:szCs w:val="20"/>
    </w:rPr>
  </w:style>
  <w:style w:type="paragraph" w:styleId="Title">
    <w:name w:val="Title"/>
    <w:basedOn w:val="Normal"/>
    <w:next w:val="Normal"/>
    <w:link w:val="TitleChar"/>
    <w:qFormat/>
    <w:rsid w:val="00C62C6B"/>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C62C6B"/>
    <w:rPr>
      <w:rFonts w:ascii="Calibri" w:eastAsiaTheme="majorEastAsia" w:hAnsi="Calibri" w:cstheme="majorBidi"/>
      <w:spacing w:val="-10"/>
      <w:kern w:val="28"/>
      <w:sz w:val="56"/>
      <w:szCs w:val="56"/>
    </w:rPr>
  </w:style>
  <w:style w:type="paragraph" w:styleId="TOC1">
    <w:name w:val="toc 1"/>
    <w:next w:val="Normal"/>
    <w:autoRedefine/>
    <w:uiPriority w:val="39"/>
    <w:rsid w:val="00EA2589"/>
    <w:pPr>
      <w:keepNext/>
      <w:tabs>
        <w:tab w:val="left" w:pos="720"/>
        <w:tab w:val="right" w:leader="dot" w:pos="9360"/>
      </w:tabs>
      <w:spacing w:before="120" w:after="120" w:line="240" w:lineRule="auto"/>
      <w:ind w:left="720" w:right="720" w:hanging="720"/>
    </w:pPr>
    <w:rPr>
      <w:rFonts w:ascii="Calibri" w:hAnsi="Calibri" w:cs="Arial"/>
      <w:b/>
      <w:kern w:val="28"/>
      <w:sz w:val="24"/>
      <w:szCs w:val="20"/>
    </w:rPr>
  </w:style>
  <w:style w:type="paragraph" w:styleId="TOC2">
    <w:name w:val="toc 2"/>
    <w:basedOn w:val="TOC1"/>
    <w:next w:val="Normal"/>
    <w:autoRedefine/>
    <w:uiPriority w:val="39"/>
    <w:rsid w:val="00EA2589"/>
    <w:pPr>
      <w:tabs>
        <w:tab w:val="clear" w:pos="720"/>
        <w:tab w:val="left" w:pos="1440"/>
      </w:tabs>
      <w:spacing w:before="0"/>
      <w:ind w:left="1440"/>
    </w:pPr>
    <w:rPr>
      <w:b w:val="0"/>
      <w:caps/>
      <w:noProof/>
    </w:rPr>
  </w:style>
  <w:style w:type="paragraph" w:styleId="TOC3">
    <w:name w:val="toc 3"/>
    <w:basedOn w:val="TOC2"/>
    <w:next w:val="Normal"/>
    <w:autoRedefine/>
    <w:uiPriority w:val="39"/>
    <w:rsid w:val="00C62C6B"/>
    <w:pPr>
      <w:tabs>
        <w:tab w:val="clear" w:pos="1440"/>
        <w:tab w:val="left" w:pos="2340"/>
      </w:tabs>
      <w:ind w:left="2340" w:hanging="900"/>
    </w:pPr>
    <w:rPr>
      <w:caps w:val="0"/>
    </w:rPr>
  </w:style>
  <w:style w:type="paragraph" w:styleId="TOC4">
    <w:name w:val="toc 4"/>
    <w:basedOn w:val="Heading4"/>
    <w:next w:val="Normal"/>
    <w:autoRedefine/>
    <w:uiPriority w:val="39"/>
    <w:rsid w:val="00EA2589"/>
    <w:pPr>
      <w:keepNext w:val="0"/>
      <w:numPr>
        <w:ilvl w:val="0"/>
      </w:numPr>
      <w:tabs>
        <w:tab w:val="clear" w:pos="1080"/>
        <w:tab w:val="left" w:pos="3420"/>
        <w:tab w:val="right" w:leader="dot" w:pos="9360"/>
      </w:tabs>
      <w:spacing w:before="0" w:after="120"/>
      <w:ind w:left="2347" w:right="720"/>
    </w:pPr>
    <w:rPr>
      <w:b w:val="0"/>
      <w:noProof/>
    </w:rPr>
  </w:style>
  <w:style w:type="paragraph" w:styleId="TOC5">
    <w:name w:val="toc 5"/>
    <w:basedOn w:val="Heading5"/>
    <w:next w:val="Normal"/>
    <w:autoRedefine/>
    <w:semiHidden/>
    <w:rsid w:val="00C62C6B"/>
    <w:pPr>
      <w:spacing w:before="0" w:after="120"/>
      <w:ind w:left="1800" w:hanging="360"/>
    </w:pPr>
    <w:rPr>
      <w:i/>
      <w:sz w:val="22"/>
    </w:rPr>
  </w:style>
  <w:style w:type="paragraph" w:customStyle="1" w:styleId="TOCList">
    <w:name w:val="TOCList"/>
    <w:basedOn w:val="NormalSix"/>
    <w:rsid w:val="00C62C6B"/>
    <w:pPr>
      <w:tabs>
        <w:tab w:val="left" w:pos="1440"/>
      </w:tabs>
      <w:ind w:left="1440" w:hanging="1440"/>
    </w:pPr>
  </w:style>
  <w:style w:type="paragraph" w:customStyle="1" w:styleId="TOCTitle">
    <w:name w:val="TOCTitle"/>
    <w:basedOn w:val="Heading1"/>
    <w:next w:val="TOCList"/>
    <w:rsid w:val="00C62C6B"/>
    <w:pPr>
      <w:spacing w:after="240"/>
    </w:pPr>
  </w:style>
  <w:style w:type="character" w:styleId="FootnoteReference">
    <w:name w:val="footnote reference"/>
    <w:basedOn w:val="DefaultParagraphFont"/>
    <w:uiPriority w:val="99"/>
    <w:semiHidden/>
    <w:unhideWhenUsed/>
    <w:rsid w:val="00C62C6B"/>
    <w:rPr>
      <w:vertAlign w:val="superscript"/>
    </w:rPr>
  </w:style>
  <w:style w:type="paragraph" w:customStyle="1" w:styleId="CertLanguage">
    <w:name w:val="Cert Language"/>
    <w:basedOn w:val="Normal"/>
    <w:qFormat/>
    <w:rsid w:val="00C62C6B"/>
    <w:pPr>
      <w:spacing w:after="4680"/>
      <w:jc w:val="center"/>
    </w:pPr>
  </w:style>
  <w:style w:type="paragraph" w:customStyle="1" w:styleId="CertName">
    <w:name w:val="Cert Name"/>
    <w:basedOn w:val="Normal"/>
    <w:qFormat/>
    <w:rsid w:val="00C62C6B"/>
    <w:pPr>
      <w:spacing w:after="0"/>
      <w:jc w:val="left"/>
    </w:pPr>
    <w:rPr>
      <w:rFonts w:cstheme="minorBidi"/>
      <w:sz w:val="20"/>
      <w:szCs w:val="22"/>
    </w:rPr>
  </w:style>
  <w:style w:type="paragraph" w:customStyle="1" w:styleId="CertTitle">
    <w:name w:val="Cert Title"/>
    <w:basedOn w:val="Normal"/>
    <w:qFormat/>
    <w:rsid w:val="00C62C6B"/>
    <w:pPr>
      <w:spacing w:before="1440" w:after="1200"/>
      <w:jc w:val="center"/>
    </w:pPr>
    <w:rPr>
      <w:b/>
      <w:sz w:val="28"/>
    </w:rPr>
  </w:style>
  <w:style w:type="paragraph" w:customStyle="1" w:styleId="SidebarHeader">
    <w:name w:val="Sidebar Header"/>
    <w:basedOn w:val="NormalTable"/>
    <w:qFormat/>
    <w:rsid w:val="00993653"/>
    <w:rPr>
      <w:b/>
      <w:bCs/>
      <w:color w:val="1F3B4E" w:themeColor="accent1"/>
      <w:sz w:val="28"/>
      <w:szCs w:val="28"/>
    </w:rPr>
  </w:style>
  <w:style w:type="paragraph" w:customStyle="1" w:styleId="SidebarTextBlack">
    <w:name w:val="Sidebar Text Black"/>
    <w:basedOn w:val="NormalTable"/>
    <w:qFormat/>
    <w:rsid w:val="00993653"/>
    <w:rPr>
      <w:color w:val="000000" w:themeColor="text1"/>
    </w:rPr>
  </w:style>
  <w:style w:type="paragraph" w:customStyle="1" w:styleId="SidebarTextBlue">
    <w:name w:val="Sidebar Text Blue"/>
    <w:basedOn w:val="NormalTable"/>
    <w:qFormat/>
    <w:rsid w:val="00993653"/>
    <w:rPr>
      <w:color w:val="1F3B4E" w:themeColor="accent1"/>
      <w14:textOutline w14:w="889" w14:cap="rnd" w14:cmpd="sng" w14:algn="ctr">
        <w14:solidFill>
          <w14:schemeClr w14:val="accent1">
            <w14:alpha w14:val="85000"/>
          </w14:schemeClr>
        </w14:solidFill>
        <w14:prstDash w14:val="solid"/>
        <w14:bevel/>
      </w14:textOutline>
    </w:rPr>
  </w:style>
  <w:style w:type="paragraph" w:customStyle="1" w:styleId="FigureTitle">
    <w:name w:val="FigureTitle"/>
    <w:basedOn w:val="TableTitle"/>
    <w:qFormat/>
    <w:rsid w:val="00F90A59"/>
  </w:style>
  <w:style w:type="paragraph" w:customStyle="1" w:styleId="BulletTable">
    <w:name w:val="BulletTable"/>
    <w:basedOn w:val="BulletMargin"/>
    <w:qFormat/>
    <w:rsid w:val="00EA2589"/>
    <w:pPr>
      <w:spacing w:before="60" w:after="60"/>
    </w:pPr>
  </w:style>
  <w:style w:type="paragraph" w:customStyle="1" w:styleId="BulletTableCont">
    <w:name w:val="BulletTableCont"/>
    <w:basedOn w:val="BulletTable"/>
    <w:qFormat/>
    <w:rsid w:val="00EA2589"/>
    <w:pPr>
      <w:numPr>
        <w:numId w:val="0"/>
      </w:numPr>
      <w:ind w:left="360"/>
    </w:pPr>
  </w:style>
  <w:style w:type="character" w:customStyle="1" w:styleId="Heading7Char">
    <w:name w:val="Heading 7 Char"/>
    <w:basedOn w:val="DefaultParagraphFont"/>
    <w:link w:val="Heading7"/>
    <w:uiPriority w:val="9"/>
    <w:semiHidden/>
    <w:rsid w:val="0021004D"/>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21004D"/>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21004D"/>
    <w:rPr>
      <w:rFonts w:eastAsiaTheme="majorEastAsia" w:cstheme="majorBidi"/>
      <w:color w:val="272727" w:themeColor="text1" w:themeTint="D8"/>
      <w:sz w:val="24"/>
      <w:szCs w:val="20"/>
    </w:rPr>
  </w:style>
  <w:style w:type="paragraph" w:styleId="Subtitle">
    <w:name w:val="Subtitle"/>
    <w:basedOn w:val="Normal"/>
    <w:next w:val="Normal"/>
    <w:link w:val="SubtitleChar"/>
    <w:uiPriority w:val="11"/>
    <w:qFormat/>
    <w:rsid w:val="0021004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04D"/>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1004D"/>
    <w:rPr>
      <w:i/>
      <w:iCs/>
      <w:color w:val="172B3A" w:themeColor="accent1" w:themeShade="BF"/>
    </w:rPr>
  </w:style>
  <w:style w:type="paragraph" w:styleId="IntenseQuote">
    <w:name w:val="Intense Quote"/>
    <w:basedOn w:val="Normal"/>
    <w:next w:val="Normal"/>
    <w:link w:val="IntenseQuoteChar"/>
    <w:uiPriority w:val="30"/>
    <w:qFormat/>
    <w:rsid w:val="0021004D"/>
    <w:pPr>
      <w:pBdr>
        <w:top w:val="single" w:sz="4" w:space="10" w:color="172B3A" w:themeColor="accent1" w:themeShade="BF"/>
        <w:bottom w:val="single" w:sz="4" w:space="10" w:color="172B3A" w:themeColor="accent1" w:themeShade="BF"/>
      </w:pBdr>
      <w:spacing w:before="360" w:after="360"/>
      <w:ind w:left="864" w:right="864"/>
      <w:jc w:val="center"/>
    </w:pPr>
    <w:rPr>
      <w:i/>
      <w:iCs/>
      <w:color w:val="172B3A" w:themeColor="accent1" w:themeShade="BF"/>
    </w:rPr>
  </w:style>
  <w:style w:type="character" w:customStyle="1" w:styleId="IntenseQuoteChar">
    <w:name w:val="Intense Quote Char"/>
    <w:basedOn w:val="DefaultParagraphFont"/>
    <w:link w:val="IntenseQuote"/>
    <w:uiPriority w:val="30"/>
    <w:rsid w:val="0021004D"/>
    <w:rPr>
      <w:rFonts w:ascii="Calibri" w:hAnsi="Calibri" w:cs="Times New Roman"/>
      <w:i/>
      <w:iCs/>
      <w:color w:val="172B3A" w:themeColor="accent1" w:themeShade="BF"/>
      <w:sz w:val="24"/>
      <w:szCs w:val="20"/>
    </w:rPr>
  </w:style>
  <w:style w:type="character" w:styleId="IntenseReference">
    <w:name w:val="Intense Reference"/>
    <w:basedOn w:val="DefaultParagraphFont"/>
    <w:uiPriority w:val="32"/>
    <w:qFormat/>
    <w:rsid w:val="0021004D"/>
    <w:rPr>
      <w:b/>
      <w:bCs/>
      <w:smallCaps/>
      <w:color w:val="172B3A" w:themeColor="accent1" w:themeShade="BF"/>
      <w:spacing w:val="5"/>
    </w:rPr>
  </w:style>
  <w:style w:type="paragraph" w:customStyle="1" w:styleId="MemoTitle">
    <w:name w:val="MemoTitle"/>
    <w:basedOn w:val="Heading6"/>
    <w:rsid w:val="0021004D"/>
    <w:pPr>
      <w:spacing w:before="600" w:after="480"/>
      <w:ind w:left="-144"/>
    </w:pPr>
    <w:rPr>
      <w:rFonts w:ascii="Optima LT Pro" w:hAnsi="Optima LT Pro"/>
      <w:i w:val="0"/>
      <w:sz w:val="48"/>
      <w:szCs w:val="48"/>
    </w:rPr>
  </w:style>
  <w:style w:type="paragraph" w:customStyle="1" w:styleId="MemoAddress">
    <w:name w:val="MemoAddress"/>
    <w:basedOn w:val="NormalTable"/>
    <w:rsid w:val="0021004D"/>
    <w:pPr>
      <w:jc w:val="right"/>
    </w:pPr>
    <w:rPr>
      <w:rFonts w:asciiTheme="minorHAnsi" w:hAnsiTheme="minorHAnsi"/>
      <w:b/>
    </w:rPr>
  </w:style>
  <w:style w:type="paragraph" w:customStyle="1" w:styleId="MemoRe">
    <w:name w:val="MemoRe"/>
    <w:basedOn w:val="NormalTable"/>
    <w:rsid w:val="0021004D"/>
    <w:rPr>
      <w:b/>
    </w:rPr>
  </w:style>
  <w:style w:type="paragraph" w:styleId="Revision">
    <w:name w:val="Revision"/>
    <w:hidden/>
    <w:uiPriority w:val="99"/>
    <w:semiHidden/>
    <w:rsid w:val="003F1030"/>
    <w:pPr>
      <w:spacing w:after="0" w:line="240" w:lineRule="auto"/>
    </w:pPr>
    <w:rPr>
      <w:rFonts w:ascii="Calibri" w:hAnsi="Calibri" w:cs="Times New Roman"/>
      <w:sz w:val="24"/>
      <w:szCs w:val="20"/>
    </w:rPr>
  </w:style>
  <w:style w:type="character" w:styleId="CommentReference">
    <w:name w:val="annotation reference"/>
    <w:basedOn w:val="DefaultParagraphFont"/>
    <w:unhideWhenUsed/>
    <w:rsid w:val="00F60EAA"/>
    <w:rPr>
      <w:sz w:val="16"/>
      <w:szCs w:val="16"/>
    </w:rPr>
  </w:style>
  <w:style w:type="paragraph" w:styleId="CommentText">
    <w:name w:val="annotation text"/>
    <w:basedOn w:val="Normal"/>
    <w:link w:val="CommentTextChar"/>
    <w:unhideWhenUsed/>
    <w:rsid w:val="00F60EAA"/>
    <w:rPr>
      <w:sz w:val="20"/>
    </w:rPr>
  </w:style>
  <w:style w:type="character" w:customStyle="1" w:styleId="CommentTextChar">
    <w:name w:val="Comment Text Char"/>
    <w:basedOn w:val="DefaultParagraphFont"/>
    <w:link w:val="CommentText"/>
    <w:rsid w:val="00F60EA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0EAA"/>
    <w:rPr>
      <w:b/>
      <w:bCs/>
    </w:rPr>
  </w:style>
  <w:style w:type="character" w:customStyle="1" w:styleId="CommentSubjectChar">
    <w:name w:val="Comment Subject Char"/>
    <w:basedOn w:val="CommentTextChar"/>
    <w:link w:val="CommentSubject"/>
    <w:uiPriority w:val="99"/>
    <w:semiHidden/>
    <w:rsid w:val="00F60EAA"/>
    <w:rPr>
      <w:rFonts w:ascii="Calibri" w:hAnsi="Calibri" w:cs="Times New Roman"/>
      <w:b/>
      <w:bCs/>
      <w:sz w:val="20"/>
      <w:szCs w:val="20"/>
    </w:rPr>
  </w:style>
  <w:style w:type="character" w:styleId="Mention">
    <w:name w:val="Mention"/>
    <w:basedOn w:val="DefaultParagraphFont"/>
    <w:uiPriority w:val="99"/>
    <w:unhideWhenUsed/>
    <w:rsid w:val="00F57418"/>
    <w:rPr>
      <w:color w:val="2B579A"/>
      <w:shd w:val="clear" w:color="auto" w:fill="E1DFDD"/>
    </w:rPr>
  </w:style>
  <w:style w:type="character" w:styleId="UnresolvedMention">
    <w:name w:val="Unresolved Mention"/>
    <w:basedOn w:val="DefaultParagraphFont"/>
    <w:uiPriority w:val="99"/>
    <w:semiHidden/>
    <w:unhideWhenUsed/>
    <w:rsid w:val="003F6150"/>
    <w:rPr>
      <w:color w:val="605E5C"/>
      <w:shd w:val="clear" w:color="auto" w:fill="E1DFDD"/>
    </w:rPr>
  </w:style>
  <w:style w:type="paragraph" w:customStyle="1" w:styleId="LetterEncl">
    <w:name w:val="LetterEncl"/>
    <w:basedOn w:val="Normal"/>
    <w:rsid w:val="008875BA"/>
    <w:pPr>
      <w:spacing w:after="0"/>
    </w:pPr>
    <w:rPr>
      <w:sz w:val="18"/>
      <w:szCs w:val="18"/>
    </w:rPr>
  </w:style>
  <w:style w:type="paragraph" w:customStyle="1" w:styleId="LetterSignLogo">
    <w:name w:val="LetterSignLogo"/>
    <w:basedOn w:val="Normal"/>
    <w:next w:val="NormalZero"/>
    <w:rsid w:val="00B96942"/>
    <w:pPr>
      <w:spacing w:after="720"/>
      <w:jc w:val="left"/>
    </w:pPr>
    <w:rPr>
      <w:szCs w:val="22"/>
    </w:rPr>
  </w:style>
  <w:style w:type="table" w:customStyle="1" w:styleId="TableGrid1">
    <w:name w:val="Table Grid1"/>
    <w:basedOn w:val="TableNormal"/>
    <w:next w:val="TableGrid"/>
    <w:rsid w:val="00551AD9"/>
    <w:pPr>
      <w:spacing w:after="24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2C4F"/>
    <w:pPr>
      <w:spacing w:after="240" w:line="240" w:lineRule="auto"/>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LeftBottom">
    <w:name w:val="LetterHLeftBottom"/>
    <w:basedOn w:val="Normal"/>
    <w:rsid w:val="00417E76"/>
    <w:pPr>
      <w:tabs>
        <w:tab w:val="center" w:pos="4320"/>
        <w:tab w:val="right" w:pos="8640"/>
      </w:tabs>
      <w:spacing w:after="40"/>
      <w:jc w:val="left"/>
    </w:pPr>
  </w:style>
  <w:style w:type="paragraph" w:customStyle="1" w:styleId="LetterHLeftTop">
    <w:name w:val="LetterHLeftTop"/>
    <w:basedOn w:val="Normal"/>
    <w:rsid w:val="00417E76"/>
    <w:pPr>
      <w:tabs>
        <w:tab w:val="center" w:pos="4320"/>
        <w:tab w:val="right" w:pos="8640"/>
      </w:tabs>
      <w:spacing w:after="0"/>
      <w:jc w:val="left"/>
    </w:pPr>
  </w:style>
  <w:style w:type="paragraph" w:customStyle="1" w:styleId="LetterHRight">
    <w:name w:val="LetterHRight"/>
    <w:basedOn w:val="Normal"/>
    <w:rsid w:val="00417E76"/>
    <w:pPr>
      <w:tabs>
        <w:tab w:val="center" w:pos="4320"/>
        <w:tab w:val="right" w:pos="8640"/>
      </w:tabs>
      <w:spacing w:after="40"/>
      <w:ind w:right="-72"/>
      <w:jc w:val="right"/>
    </w:pPr>
    <w:rPr>
      <w:szCs w:val="22"/>
    </w:rPr>
  </w:style>
  <w:style w:type="character" w:styleId="FollowedHyperlink">
    <w:name w:val="FollowedHyperlink"/>
    <w:basedOn w:val="DefaultParagraphFont"/>
    <w:uiPriority w:val="99"/>
    <w:semiHidden/>
    <w:unhideWhenUsed/>
    <w:rsid w:val="009C4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5329">
      <w:bodyDiv w:val="1"/>
      <w:marLeft w:val="0"/>
      <w:marRight w:val="0"/>
      <w:marTop w:val="0"/>
      <w:marBottom w:val="0"/>
      <w:divBdr>
        <w:top w:val="none" w:sz="0" w:space="0" w:color="auto"/>
        <w:left w:val="none" w:sz="0" w:space="0" w:color="auto"/>
        <w:bottom w:val="none" w:sz="0" w:space="0" w:color="auto"/>
        <w:right w:val="none" w:sz="0" w:space="0" w:color="auto"/>
      </w:divBdr>
    </w:div>
    <w:div w:id="11135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Floyd|Snider">
      <a:dk1>
        <a:sysClr val="windowText" lastClr="000000"/>
      </a:dk1>
      <a:lt1>
        <a:sysClr val="window" lastClr="FFFFFF"/>
      </a:lt1>
      <a:dk2>
        <a:srgbClr val="69777B"/>
      </a:dk2>
      <a:lt2>
        <a:srgbClr val="DEDEDF"/>
      </a:lt2>
      <a:accent1>
        <a:srgbClr val="1F3B4E"/>
      </a:accent1>
      <a:accent2>
        <a:srgbClr val="869138"/>
      </a:accent2>
      <a:accent3>
        <a:srgbClr val="E6B122"/>
      </a:accent3>
      <a:accent4>
        <a:srgbClr val="9E262B"/>
      </a:accent4>
      <a:accent5>
        <a:srgbClr val="B5DFF6"/>
      </a:accent5>
      <a:accent6>
        <a:srgbClr val="F7D7BF"/>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 xmlns="http://schemas.microsoft.com/sharepoint/v3" xsi:nil="true"/>
    <lcf76f155ced4ddcb4097134ff3c332f xmlns="aa62b18c-f6b3-4ef6-9bac-96c37d798598">
      <Terms xmlns="http://schemas.microsoft.com/office/infopath/2007/PartnerControls"/>
    </lcf76f155ced4ddcb4097134ff3c332f>
    <fsFinalPublicationDate xmlns="12705385-25e3-40e6-9485-e93914ede5d7" xsi:nil="true"/>
    <fsNotes xmlns="12705385-25e3-40e6-9485-e93914ede5d7" xsi:nil="true"/>
    <fsVersion xmlns="12705385-25e3-40e6-9485-e93914ede5d7">Draft</fsVersion>
    <FSID xmlns="12705385-25e3-40e6-9485-e93914ede5d7" xsi:nil="true"/>
    <fsOriginalDate xmlns="12705385-25e3-40e6-9485-e93914ede5d7" xsi:nil="true"/>
    <fsSubmittedBy xmlns="12705385-25e3-40e6-9485-e93914ede5d7" xsi:nil="true"/>
    <fsSubmittedTo xmlns="12705385-25e3-40e6-9485-e93914ede5d7" xsi:nil="true"/>
    <fsConfidential xmlns="12705385-25e3-40e6-9485-e93914ede5d7">false</fsConfidential>
    <fsLibName xmlns="8e23a3fc-af57-4aad-8b84-ea47900ea3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DFFB9B0A735A439149139DF02E5CFF" ma:contentTypeVersion="25" ma:contentTypeDescription="Create a new document." ma:contentTypeScope="" ma:versionID="c70caae9ee8acd5b1c5045e0572ff5d2">
  <xsd:schema xmlns:xsd="http://www.w3.org/2001/XMLSchema" xmlns:xs="http://www.w3.org/2001/XMLSchema" xmlns:p="http://schemas.microsoft.com/office/2006/metadata/properties" xmlns:ns1="http://schemas.microsoft.com/sharepoint/v3" xmlns:ns2="12705385-25e3-40e6-9485-e93914ede5d7" xmlns:ns3="8e23a3fc-af57-4aad-8b84-ea47900ea3b2" xmlns:ns4="9e690ad2-5850-415d-a1b4-51f911c50f28" xmlns:ns5="aa62b18c-f6b3-4ef6-9bac-96c37d798598" targetNamespace="http://schemas.microsoft.com/office/2006/metadata/properties" ma:root="true" ma:fieldsID="a7f67aed860d1e84f2baf704362fb50c" ns1:_="" ns2:_="" ns3:_="" ns4:_="" ns5:_="">
    <xsd:import namespace="http://schemas.microsoft.com/sharepoint/v3"/>
    <xsd:import namespace="12705385-25e3-40e6-9485-e93914ede5d7"/>
    <xsd:import namespace="8e23a3fc-af57-4aad-8b84-ea47900ea3b2"/>
    <xsd:import namespace="9e690ad2-5850-415d-a1b4-51f911c50f28"/>
    <xsd:import namespace="aa62b18c-f6b3-4ef6-9bac-96c37d798598"/>
    <xsd:element name="properties">
      <xsd:complexType>
        <xsd:sequence>
          <xsd:element name="documentManagement">
            <xsd:complexType>
              <xsd:all>
                <xsd:element ref="ns2:fsConfidential" minOccurs="0"/>
                <xsd:element ref="ns2:fsFinalPublicationDate" minOccurs="0"/>
                <xsd:element ref="ns3:fsLibName" minOccurs="0"/>
                <xsd:element ref="ns2:fsNotes" minOccurs="0"/>
                <xsd:element ref="ns2:fsOriginalDate" minOccurs="0"/>
                <xsd:element ref="ns2:fsSubmittedBy" minOccurs="0"/>
                <xsd:element ref="ns2:fsSubmittedTo" minOccurs="0"/>
                <xsd:element ref="ns2:fsVersion" minOccurs="0"/>
                <xsd:element ref="ns4:MediaServiceMetadata" minOccurs="0"/>
                <xsd:element ref="ns4:MediaServiceFastMetadata" minOccurs="0"/>
                <xsd:element ref="ns1:Item" minOccurs="0"/>
                <xsd:element ref="ns2:FSID" minOccurs="0"/>
                <xsd:element ref="ns4:MediaServiceAutoKeyPoints" minOccurs="0"/>
                <xsd:element ref="ns4:MediaServiceKeyPoints" minOccurs="0"/>
                <xsd:element ref="ns5:MediaServiceSearchProperties" minOccurs="0"/>
                <xsd:element ref="ns5:MediaServiceDateTaken" minOccurs="0"/>
                <xsd:element ref="ns5:MediaServiceObjectDetectorVersions" minOccurs="0"/>
                <xsd:element ref="ns5:MediaServiceLocation" minOccurs="0"/>
                <xsd:element ref="ns5:MediaServiceGenerationTime" minOccurs="0"/>
                <xsd:element ref="ns5:MediaServiceEventHashCode" minOccurs="0"/>
                <xsd:element ref="ns5:MediaLengthInSeconds" minOccurs="0"/>
                <xsd:element ref="ns5:lcf76f155ced4ddcb4097134ff3c332f" minOccurs="0"/>
                <xsd:element ref="ns5: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 ma:index="18" nillable="true" ma:displayName="Primary Item ID" ma:description="" ma:internalName="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705385-25e3-40e6-9485-e93914ede5d7" elementFormDefault="qualified">
    <xsd:import namespace="http://schemas.microsoft.com/office/2006/documentManagement/types"/>
    <xsd:import namespace="http://schemas.microsoft.com/office/infopath/2007/PartnerControls"/>
    <xsd:element name="fsConfidential" ma:index="8" nillable="true" ma:displayName="fsConfidential" ma:default="0" ma:internalName="fsConfidential">
      <xsd:simpleType>
        <xsd:restriction base="dms:Boolean"/>
      </xsd:simpleType>
    </xsd:element>
    <xsd:element name="fsFinalPublicationDate" ma:index="9" nillable="true" ma:displayName="fsFinalPublicationDate" ma:format="DateOnly" ma:internalName="fsFinalPublicationDate">
      <xsd:simpleType>
        <xsd:restriction base="dms:DateTime"/>
      </xsd:simpleType>
    </xsd:element>
    <xsd:element name="fsNotes" ma:index="11" nillable="true" ma:displayName="fsNotes" ma:internalName="fsNotes">
      <xsd:simpleType>
        <xsd:restriction base="dms:Note">
          <xsd:maxLength value="255"/>
        </xsd:restriction>
      </xsd:simpleType>
    </xsd:element>
    <xsd:element name="fsOriginalDate" ma:index="12" nillable="true" ma:displayName="fsOriginalDate" ma:format="DateOnly" ma:internalName="fsOriginalDate">
      <xsd:simpleType>
        <xsd:restriction base="dms:DateTime"/>
      </xsd:simpleType>
    </xsd:element>
    <xsd:element name="fsSubmittedBy" ma:index="13" nillable="true" ma:displayName="fsSubmittedBy" ma:internalName="fsSubmittedBy">
      <xsd:simpleType>
        <xsd:restriction base="dms:Text">
          <xsd:maxLength value="255"/>
        </xsd:restriction>
      </xsd:simpleType>
    </xsd:element>
    <xsd:element name="fsSubmittedTo" ma:index="14" nillable="true" ma:displayName="fsSubmittedTo" ma:internalName="fsSubmittedTo">
      <xsd:simpleType>
        <xsd:restriction base="dms:Text">
          <xsd:maxLength value="255"/>
        </xsd:restriction>
      </xsd:simpleType>
    </xsd:element>
    <xsd:element name="fsVersion" ma:index="15" nillable="true" ma:displayName="fsVersion" ma:default="Draft" ma:format="Dropdown" ma:internalName="fsVersion">
      <xsd:simpleType>
        <xsd:restriction base="dms:Choice">
          <xsd:enumeration value="Draft"/>
          <xsd:enumeration value="Final"/>
          <xsd:enumeration value="Client"/>
          <xsd:enumeration value="Client Draft"/>
          <xsd:enumeration value="Public Review Draft"/>
          <xsd:enumeration value="Internal"/>
        </xsd:restriction>
      </xsd:simpleType>
    </xsd:element>
    <xsd:element name="FSID" ma:index="19" nillable="true" ma:displayName="FSID" ma:internalName="FSID">
      <xsd:simpleType>
        <xsd:restriction base="dms:Text">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3a3fc-af57-4aad-8b84-ea47900ea3b2" elementFormDefault="qualified">
    <xsd:import namespace="http://schemas.microsoft.com/office/2006/documentManagement/types"/>
    <xsd:import namespace="http://schemas.microsoft.com/office/infopath/2007/PartnerControls"/>
    <xsd:element name="fsLibName" ma:index="10" nillable="true" ma:displayName="fsLibName" ma:internalName="fsLib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90ad2-5850-415d-a1b4-51f911c50f2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62b18c-f6b3-4ef6-9bac-96c37d798598" elementFormDefault="qualified">
    <xsd:import namespace="http://schemas.microsoft.com/office/2006/documentManagement/types"/>
    <xsd:import namespace="http://schemas.microsoft.com/office/infopath/2007/PartnerControls"/>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3d08879-a1e7-4aa8-b9ae-00d4029abf44"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0FDD8-BBFA-464E-BAF4-CFE270E39C78}">
  <ds:schemaRefs>
    <ds:schemaRef ds:uri="http://schemas.openxmlformats.org/officeDocument/2006/bibliography"/>
  </ds:schemaRefs>
</ds:datastoreItem>
</file>

<file path=customXml/itemProps2.xml><?xml version="1.0" encoding="utf-8"?>
<ds:datastoreItem xmlns:ds="http://schemas.openxmlformats.org/officeDocument/2006/customXml" ds:itemID="{8C0C649B-BDC5-4502-8924-316374B840EB}">
  <ds:schemaRefs>
    <ds:schemaRef ds:uri="http://schemas.microsoft.com/sharepoint/v3/contenttype/forms"/>
  </ds:schemaRefs>
</ds:datastoreItem>
</file>

<file path=customXml/itemProps3.xml><?xml version="1.0" encoding="utf-8"?>
<ds:datastoreItem xmlns:ds="http://schemas.openxmlformats.org/officeDocument/2006/customXml" ds:itemID="{AEE89287-6AA4-4D6D-A03B-ABF15FFAD30E}">
  <ds:schemaRefs>
    <ds:schemaRef ds:uri="http://schemas.microsoft.com/office/2006/metadata/properties"/>
    <ds:schemaRef ds:uri="http://schemas.microsoft.com/office/infopath/2007/PartnerControls"/>
    <ds:schemaRef ds:uri="http://schemas.microsoft.com/sharepoint/v3"/>
    <ds:schemaRef ds:uri="aa62b18c-f6b3-4ef6-9bac-96c37d798598"/>
    <ds:schemaRef ds:uri="12705385-25e3-40e6-9485-e93914ede5d7"/>
    <ds:schemaRef ds:uri="8e23a3fc-af57-4aad-8b84-ea47900ea3b2"/>
  </ds:schemaRefs>
</ds:datastoreItem>
</file>

<file path=customXml/itemProps4.xml><?xml version="1.0" encoding="utf-8"?>
<ds:datastoreItem xmlns:ds="http://schemas.openxmlformats.org/officeDocument/2006/customXml" ds:itemID="{E8EBCC71-E6BA-40C1-8533-4E4A15FD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705385-25e3-40e6-9485-e93914ede5d7"/>
    <ds:schemaRef ds:uri="8e23a3fc-af57-4aad-8b84-ea47900ea3b2"/>
    <ds:schemaRef ds:uri="9e690ad2-5850-415d-a1b4-51f911c50f28"/>
    <ds:schemaRef ds:uri="aa62b18c-f6b3-4ef6-9bac-96c37d798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9563</Words>
  <Characters>54512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Gallaher</dc:creator>
  <cp:keywords/>
  <dc:description/>
  <cp:lastModifiedBy>Becker, Sunny (ECY)</cp:lastModifiedBy>
  <cp:revision>2</cp:revision>
  <dcterms:created xsi:type="dcterms:W3CDTF">2025-03-28T00:15:00Z</dcterms:created>
  <dcterms:modified xsi:type="dcterms:W3CDTF">2025-03-28T00:15:00Z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0x010100C1DFFB9B0A735A439149139DF02E5CFF</vt:lpwstr>
  </property>
  <property fmtid="{D5CDD505-2E9C-101B-9397-08002B2CF9AE}" pid="3" name="MediaServiceImageTags">
    <vt:lpwstr/>
  </property>
  <property fmtid="{D5CDD505-2E9C-101B-9397-08002B2CF9AE}" pid="4" name="ofd86e30edb44212a336d15a3b6b4819">
    <vt:lpwstr/>
  </property>
  <property fmtid="{D5CDD505-2E9C-101B-9397-08002B2CF9AE}" pid="5" name="Topics">
    <vt:lpwstr/>
  </property>
  <property fmtid="{D5CDD505-2E9C-101B-9397-08002B2CF9AE}" pid="6" name="TaxCatchAll">
    <vt:lpwstr/>
  </property>
</Properties>
</file>