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436E" w:rsidRPr="00902FDF" w:rsidRDefault="00902FDF" w:rsidP="00DA7CAB">
      <w:pPr>
        <w:rPr>
          <w:rFonts w:asciiTheme="majorHAnsi" w:hAnsiTheme="majorHAnsi"/>
          <w:b/>
          <w:noProof/>
          <w:sz w:val="40"/>
          <w:szCs w:val="40"/>
        </w:rPr>
      </w:pPr>
      <w:r w:rsidRPr="00D9321B">
        <w:drawing>
          <wp:anchor distT="0" distB="0" distL="114300" distR="114300" simplePos="0" relativeHeight="251687936" behindDoc="0" locked="0" layoutInCell="1" allowOverlap="1">
            <wp:simplePos x="0" y="0"/>
            <wp:positionH relativeFrom="margin">
              <wp:posOffset>5369244</wp:posOffset>
            </wp:positionH>
            <wp:positionV relativeFrom="paragraph">
              <wp:posOffset>-639488</wp:posOffset>
            </wp:positionV>
            <wp:extent cx="2063027" cy="62904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1264" cy="63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321B">
        <w:drawing>
          <wp:anchor distT="0" distB="0" distL="114300" distR="114300" simplePos="0" relativeHeight="251683840" behindDoc="0" locked="0" layoutInCell="1" allowOverlap="1">
            <wp:simplePos x="0" y="0"/>
            <wp:positionH relativeFrom="page">
              <wp:posOffset>-282371</wp:posOffset>
            </wp:positionH>
            <wp:positionV relativeFrom="paragraph">
              <wp:posOffset>82294</wp:posOffset>
            </wp:positionV>
            <wp:extent cx="8266430" cy="2511238"/>
            <wp:effectExtent l="0" t="0" r="127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66430" cy="25112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0" locked="0" layoutInCell="1" allowOverlap="1" wp14:anchorId="21B1B0C4" wp14:editId="38D71A82">
                <wp:simplePos x="0" y="0"/>
                <wp:positionH relativeFrom="column">
                  <wp:posOffset>136397</wp:posOffset>
                </wp:positionH>
                <wp:positionV relativeFrom="paragraph">
                  <wp:posOffset>-532519</wp:posOffset>
                </wp:positionV>
                <wp:extent cx="1828800" cy="18288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902FDF" w:rsidRPr="00902FDF" w:rsidRDefault="00902FDF" w:rsidP="00DA6298">
                            <w:pPr>
                              <w:rPr>
                                <w:sz w:val="48"/>
                                <w:szCs w:val="48"/>
                              </w:rPr>
                            </w:pPr>
                            <w:r w:rsidRPr="00902FDF">
                              <w:rPr>
                                <w:rFonts w:asciiTheme="majorHAnsi" w:hAnsiTheme="majorHAnsi"/>
                                <w:b/>
                                <w:noProof/>
                                <w:sz w:val="48"/>
                                <w:szCs w:val="48"/>
                              </w:rPr>
                              <w:t>Occidental Chemical Corporation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1B1B0C4" id="_x0000_t202" coordsize="21600,21600" o:spt="202" path="m,l,21600r21600,l21600,xe">
                <v:stroke joinstyle="miter"/>
                <v:path gradientshapeok="t" o:connecttype="rect"/>
              </v:shapetype>
              <v:shape id="Text Box 1" o:spid="_x0000_s1026" type="#_x0000_t202" style="position:absolute;margin-left:10.75pt;margin-top:-41.95pt;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PJQIAAFAEAAAOAAAAZHJzL2Uyb0RvYy54bWysVFtv2jAYfZ+0/2D5fSQw2rGIULFWTJOq&#10;thJMfTaOA5F8k21I2K/fsRMo6vY07cX5bv4u5zvO/K5TkhyF843RJR2PckqE5qZq9K6kPzerTzNK&#10;fGC6YtJoUdKT8PRu8fHDvLWFmJi9kZVwBEm0L1pb0n0Itsgyz/dCMT8yVmg4a+MUC1DdLqsca5Fd&#10;yWyS57dZa1xlneHCe1gfeiddpPx1LXh4rmsvApElRW8hnS6d23hmizkrdo7ZfcOHNtg/dKFYo1H0&#10;kuqBBUYOrvkjlWq4M97UYcSNykxdN1ykGTDNOH83zXrPrEizABxvLzD5/5eWPx1fHGkq7I4SzRRW&#10;tBFdIN9MR8YRndb6AkFri7DQwRwjB7uHMQ7d1U7FL8Yh8APn0wXbmIzHS7PJbJbDxeE7K8iTvV23&#10;zofvwigShZI6LC9hyo6PPvSh55BYTZtVIyXsrJCatCW9/XyTpwsXD5JLjRpxiL7ZKIVu2w0TbE11&#10;wmDO9MTwlq8aFH9kPrwwByagYbA7POOopUERM0iU7I379Td7jMeC4KWkBbNKqkF9SuQPjcV9HU+n&#10;kYhJmd58mUBx157ttUcf1L0BdbEc9JbEGB/kWaydUa94AstYEy6mOSqXNJzF+9CzHU+Ii+UyBYF6&#10;loVHvbY8po4IRmA33StzdkA/YHFP5sxAVrxbQh8bb3q7PASsIm0owttjOqAO2qYdD08svotrPUW9&#10;/QgWvwEAAP//AwBQSwMEFAAGAAgAAAAhALknyd7fAAAACgEAAA8AAABkcnMvZG93bnJldi54bWxM&#10;j8FOwzAMhu9IvENkJG5b0hXQVppOaBK7IA4MBFe38dqqTVI1WVd4esyJHe3/0+/P+Xa2vZhoDK13&#10;GpKlAkGu8qZ1tYaP9+fFGkSI6Az23pGGbwqwLa6vcsyMP7s3mg6xFlziQoYamhiHTMpQNWQxLP1A&#10;jrOjHy1GHsdamhHPXG57uVLqQVpsHV9ocKBdQ1V3OFkNr/i5j9PcVftuOJovO5S79OdF69ub+ekR&#10;RKQ5/sPwp8/qULBT6U/OBNFrWCX3TGpYrNMNCAZSteFNyYm6S0AWubx8ofgFAAD//wMAUEsBAi0A&#10;FAAGAAgAAAAhALaDOJL+AAAA4QEAABMAAAAAAAAAAAAAAAAAAAAAAFtDb250ZW50X1R5cGVzXS54&#10;bWxQSwECLQAUAAYACAAAACEAOP0h/9YAAACUAQAACwAAAAAAAAAAAAAAAAAvAQAAX3JlbHMvLnJl&#10;bHNQSwECLQAUAAYACAAAACEAhI/oTyUCAABQBAAADgAAAAAAAAAAAAAAAAAuAgAAZHJzL2Uyb0Rv&#10;Yy54bWxQSwECLQAUAAYACAAAACEAuSfJ3t8AAAAKAQAADwAAAAAAAAAAAAAAAAB/BAAAZHJzL2Rv&#10;d25yZXYueG1sUEsFBgAAAAAEAAQA8wAAAIsFAAAAAA==&#10;" filled="f" stroked="f" strokeweight=".5pt">
                <v:fill o:detectmouseclick="t"/>
                <v:textbox style="mso-fit-shape-to-text:t">
                  <w:txbxContent>
                    <w:p w:rsidR="00902FDF" w:rsidRPr="00902FDF" w:rsidRDefault="00902FDF" w:rsidP="00DA6298">
                      <w:pPr>
                        <w:rPr>
                          <w:sz w:val="48"/>
                          <w:szCs w:val="48"/>
                        </w:rPr>
                      </w:pPr>
                      <w:r w:rsidRPr="00902FDF">
                        <w:rPr>
                          <w:rFonts w:asciiTheme="majorHAnsi" w:hAnsiTheme="majorHAnsi"/>
                          <w:b/>
                          <w:noProof/>
                          <w:sz w:val="48"/>
                          <w:szCs w:val="48"/>
                        </w:rPr>
                        <w:t>Occidental Chemical Corporation</w:t>
                      </w:r>
                    </w:p>
                  </w:txbxContent>
                </v:textbox>
              </v:shape>
            </w:pict>
          </mc:Fallback>
        </mc:AlternateContent>
      </w:r>
      <w:r w:rsidR="00A80A52">
        <w:rPr>
          <w:noProof/>
        </w:rPr>
        <w:t xml:space="preserve"> </w:t>
      </w:r>
    </w:p>
    <w:p w:rsidR="006F4D15" w:rsidRDefault="006F4D15"/>
    <w:p w:rsidR="005245BA" w:rsidRDefault="005245BA"/>
    <w:p w:rsidR="005245BA" w:rsidRDefault="005245BA"/>
    <w:p w:rsidR="005245BA" w:rsidRDefault="005245BA"/>
    <w:p w:rsidR="005245BA" w:rsidRDefault="005245BA"/>
    <w:p w:rsidR="005245BA" w:rsidRDefault="005245BA"/>
    <w:p w:rsidR="005245BA" w:rsidRDefault="005245BA"/>
    <w:p w:rsidR="005245BA" w:rsidRDefault="005245BA"/>
    <w:p w:rsidR="005245BA" w:rsidRDefault="005245BA"/>
    <w:p w:rsidR="005245BA" w:rsidRDefault="00902FDF" w:rsidP="005245BA">
      <w:pPr>
        <w:spacing w:before="100" w:beforeAutospacing="1" w:after="100" w:afterAutospacing="1"/>
        <w:rPr>
          <w:rFonts w:asciiTheme="minorHAnsi" w:eastAsia="Times New Roman" w:hAnsiTheme="minorHAnsi" w:cs="Arial"/>
          <w:b/>
          <w:bCs/>
          <w:color w:val="000000" w:themeColor="text1"/>
          <w:kern w:val="28"/>
          <w:sz w:val="40"/>
          <w:szCs w:val="40"/>
          <w14:cntxtAlts/>
        </w:rPr>
      </w:pPr>
      <w:r>
        <w:rPr>
          <w:noProof/>
          <w:szCs w:val="24"/>
        </w:rPr>
        <mc:AlternateContent>
          <mc:Choice Requires="wps">
            <w:drawing>
              <wp:anchor distT="36576" distB="36576" distL="36576" distR="36576" simplePos="0" relativeHeight="251685888" behindDoc="0" locked="0" layoutInCell="1" allowOverlap="1">
                <wp:simplePos x="0" y="0"/>
                <wp:positionH relativeFrom="page">
                  <wp:align>right</wp:align>
                </wp:positionH>
                <wp:positionV relativeFrom="paragraph">
                  <wp:posOffset>675042</wp:posOffset>
                </wp:positionV>
                <wp:extent cx="7753350" cy="2667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66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9321B" w:rsidRPr="00D9321B" w:rsidRDefault="00D9321B" w:rsidP="00D9321B">
                            <w:pPr>
                              <w:jc w:val="center"/>
                              <w:rPr>
                                <w:rFonts w:ascii="Calibri Light" w:hAnsi="Calibri Light"/>
                                <w:bCs/>
                                <w:color w:val="3B3838" w:themeColor="background2" w:themeShade="40"/>
                                <w:szCs w:val="24"/>
                              </w:rPr>
                            </w:pPr>
                            <w:r w:rsidRPr="00D9321B">
                              <w:rPr>
                                <w:rFonts w:ascii="Calibri Light" w:hAnsi="Calibri Light"/>
                                <w:bCs/>
                                <w:color w:val="3B3838" w:themeColor="background2" w:themeShade="40"/>
                                <w:szCs w:val="24"/>
                              </w:rPr>
                              <w:t>Caustic House, 1920’s.</w:t>
                            </w:r>
                            <w:r>
                              <w:rPr>
                                <w:rFonts w:ascii="Calibri Light" w:hAnsi="Calibri Light"/>
                                <w:bCs/>
                                <w:color w:val="3B3838" w:themeColor="background2" w:themeShade="40"/>
                                <w:szCs w:val="24"/>
                              </w:rPr>
                              <w:t xml:space="preserve"> </w:t>
                            </w:r>
                            <w:r>
                              <w:rPr>
                                <w:rFonts w:ascii="Calibri Light" w:hAnsi="Calibri Light"/>
                                <w:bCs/>
                                <w:color w:val="3B3838" w:themeColor="background2" w:themeShade="40"/>
                                <w:szCs w:val="24"/>
                              </w:rPr>
                              <w:tab/>
                            </w:r>
                            <w:r>
                              <w:rPr>
                                <w:rFonts w:ascii="Calibri Light" w:hAnsi="Calibri Light"/>
                                <w:bCs/>
                                <w:color w:val="3B3838" w:themeColor="background2" w:themeShade="40"/>
                                <w:szCs w:val="24"/>
                              </w:rPr>
                              <w:tab/>
                            </w:r>
                            <w:r>
                              <w:rPr>
                                <w:rFonts w:ascii="Calibri Light" w:hAnsi="Calibri Light"/>
                                <w:bCs/>
                                <w:color w:val="3B3838" w:themeColor="background2" w:themeShade="40"/>
                                <w:szCs w:val="24"/>
                              </w:rPr>
                              <w:tab/>
                            </w:r>
                            <w:r>
                              <w:rPr>
                                <w:rFonts w:ascii="Calibri Light" w:hAnsi="Calibri Light"/>
                                <w:bCs/>
                                <w:color w:val="3B3838" w:themeColor="background2" w:themeShade="40"/>
                                <w:szCs w:val="24"/>
                              </w:rPr>
                              <w:tab/>
                            </w:r>
                            <w:r>
                              <w:rPr>
                                <w:rFonts w:ascii="Calibri Light" w:hAnsi="Calibri Light"/>
                                <w:bCs/>
                                <w:color w:val="3B3838" w:themeColor="background2" w:themeShade="40"/>
                                <w:szCs w:val="24"/>
                              </w:rPr>
                              <w:tab/>
                            </w:r>
                            <w:r>
                              <w:rPr>
                                <w:rFonts w:ascii="Calibri Light" w:hAnsi="Calibri Light"/>
                                <w:bCs/>
                                <w:color w:val="3B3838" w:themeColor="background2" w:themeShade="40"/>
                                <w:szCs w:val="24"/>
                              </w:rPr>
                              <w:tab/>
                            </w:r>
                            <w:r>
                              <w:rPr>
                                <w:rFonts w:ascii="Calibri Light" w:hAnsi="Calibri Light"/>
                                <w:bCs/>
                                <w:color w:val="3B3838" w:themeColor="background2" w:themeShade="40"/>
                                <w:szCs w:val="24"/>
                              </w:rPr>
                              <w:tab/>
                            </w:r>
                            <w:r>
                              <w:rPr>
                                <w:rFonts w:ascii="Calibri Light" w:hAnsi="Calibri Light"/>
                                <w:bCs/>
                                <w:color w:val="3B3838" w:themeColor="background2" w:themeShade="40"/>
                                <w:szCs w:val="24"/>
                              </w:rPr>
                              <w:tab/>
                            </w:r>
                            <w:r>
                              <w:rPr>
                                <w:rFonts w:ascii="Calibri Light" w:hAnsi="Calibri Light"/>
                                <w:bCs/>
                                <w:color w:val="3B3838" w:themeColor="background2" w:themeShade="40"/>
                                <w:szCs w:val="24"/>
                              </w:rPr>
                              <w:tab/>
                              <w:t xml:space="preserve"> </w:t>
                            </w:r>
                            <w:r w:rsidRPr="00D9321B">
                              <w:rPr>
                                <w:rFonts w:ascii="Calibri Light" w:hAnsi="Calibri Light"/>
                                <w:bCs/>
                                <w:color w:val="3B3838" w:themeColor="background2" w:themeShade="40"/>
                                <w:szCs w:val="24"/>
                              </w:rPr>
                              <w:t>Source: Glenn Springs Hold</w:t>
                            </w:r>
                            <w:r>
                              <w:rPr>
                                <w:rFonts w:ascii="Calibri Light" w:hAnsi="Calibri Light"/>
                                <w:bCs/>
                                <w:color w:val="3B3838" w:themeColor="background2" w:themeShade="40"/>
                                <w:szCs w:val="24"/>
                              </w:rPr>
                              <w:t>i</w:t>
                            </w:r>
                            <w:r w:rsidRPr="00D9321B">
                              <w:rPr>
                                <w:rFonts w:ascii="Calibri Light" w:hAnsi="Calibri Light"/>
                                <w:bCs/>
                                <w:color w:val="3B3838" w:themeColor="background2" w:themeShade="40"/>
                                <w:szCs w:val="24"/>
                              </w:rPr>
                              <w:t>ngs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559.3pt;margin-top:53.15pt;width:610.5pt;height:21pt;z-index:251685888;visibility:visible;mso-wrap-style:square;mso-width-percent:0;mso-height-percent:0;mso-wrap-distance-left:2.88pt;mso-wrap-distance-top:2.88pt;mso-wrap-distance-right:2.88pt;mso-wrap-distance-bottom:2.88pt;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31CgMAALQGAAAOAAAAZHJzL2Uyb0RvYy54bWysVduOmzAQfa/Uf7D8zgIJkAQtWSUQqkrb&#10;i7TbD3DABKtgU9sJ2Vb9945NkiXbPlTd5gHZ4/F4zpwzk9u7Y9ugA5WKCZ5g/8bDiPJClIzvEvzl&#10;MXfmGClNeEkawWmCn6jCd8u3b277LqYTUYumpBJBEK7ivktwrXUXu64qatoSdSM6yuGwErIlGrZy&#10;55aS9BC9bdyJ50VuL2TZSVFQpcCaDYd4aeNXFS30p6pSVKMmwZCbtl9pv1vzdZe3JN5J0tWsOKVB&#10;/iGLljAOj15CZUQTtJfst1AtK6RQotI3hWhdUVWsoBYDoPG9F2geatJRiwWKo7pLmdT/C1t8PHyW&#10;iJUJDjHipAWKHulRo7U4otBUp+9UDE4PHbjpI5iBZYtUdfei+KoQF2lN+I6upBR9TUkJ2fnmpju6&#10;OsRRJsi2/yBKeIbstbCBjpVsTemgGAiiA0tPF2ZMKgUYZ7NwOg3hqICzSRTNPEudS+Lz7U4q/Y6K&#10;FplFgiUwb6OTw73SJhsSn13MY1zkrGks+w2/MoDjYKFWPsNtEkMmsDSeJidL7Y+Ft9jMN/PACSbR&#10;xgm8LHNWeRo4Ue7PwmyapWnm/zRZ+EFcs7Kk3Dx6lpkf/B2NJ8EPArkITYmGlSacSUnJ3TZtJDoQ&#10;kHm4Xqwzyx1AGbm512nYkgCWF5D8SeCtJwsnj+YzJ8iD0FnMvLnj+Yv1IvKCRZDl15DuGaevh4R6&#10;4DUMgFaL5wqcmQX0Aq/8Ouiv2bcgpAHyqY/BBN0+MpkCnG9bvKNykLhlGmZPw9oEzz3zG6aB0fCG&#10;l1YbmrBmWI+qZxD/uXqrPPRmwXTuGL06wXTjOet5njqr1AfNbtbpevNCEBsrMvX6AloaR4od5Xt6&#10;4zllKMtZzrZJTV8OHaqP26OdBraDTQNvRfkEXSsFNBX0H4x6WNRCfseoh7GZYPVtTyTFqHnPofOn&#10;UTiLYM6ON3K82Y43hBcQKsEao2GZ6mE27zvJdjW8NHDNxQqmRcVsIz9nBYjMBkajxXYa42b2jvfW&#10;6/nPZvkLAAD//wMAUEsDBBQABgAIAAAAIQAyzPPY3gAAAAkBAAAPAAAAZHJzL2Rvd25yZXYueG1s&#10;TI/BTsMwEETvSPyDtUhcEHWaoNKmcaoKCYlDL4Rwd2I3iWqvI9tNwt+zPcFtd2Y1+6Y4LNawSfsw&#10;OBSwXiXANLZODdgJqL/en7fAQpSopHGoBfzoAIfy/q6QuXIzfuqpih2jEAy5FNDHOOach7bXVoaV&#10;GzWSd3beykir77jycqZwa3iaJBtu5YD0oZejfut1e6muVoD0U7U7mZOrsXn9frrUc/axOwrx+LAc&#10;98CiXuLfMdzwCR1KYmrcFVVgRgAViaQmmwzYzU7TNUkNTS/bDHhZ8P8Nyl8AAAD//wMAUEsBAi0A&#10;FAAGAAgAAAAhALaDOJL+AAAA4QEAABMAAAAAAAAAAAAAAAAAAAAAAFtDb250ZW50X1R5cGVzXS54&#10;bWxQSwECLQAUAAYACAAAACEAOP0h/9YAAACUAQAACwAAAAAAAAAAAAAAAAAvAQAAX3JlbHMvLnJl&#10;bHNQSwECLQAUAAYACAAAACEAacpN9QoDAAC0BgAADgAAAAAAAAAAAAAAAAAuAgAAZHJzL2Uyb0Rv&#10;Yy54bWxQSwECLQAUAAYACAAAACEAMszz2N4AAAAJAQAADwAAAAAAAAAAAAAAAABkBQAAZHJzL2Rv&#10;d25yZXYueG1sUEsFBgAAAAAEAAQA8wAAAG8GAAAAAA==&#10;" filled="f" fillcolor="#5b9bd5" stroked="f" strokecolor="black [0]" strokeweight="2pt">
                <v:textbox inset="2.88pt,2.88pt,2.88pt,2.88pt">
                  <w:txbxContent>
                    <w:p w:rsidR="00D9321B" w:rsidRPr="00D9321B" w:rsidRDefault="00D9321B" w:rsidP="00D9321B">
                      <w:pPr>
                        <w:jc w:val="center"/>
                        <w:rPr>
                          <w:rFonts w:ascii="Calibri Light" w:hAnsi="Calibri Light"/>
                          <w:bCs/>
                          <w:color w:val="3B3838" w:themeColor="background2" w:themeShade="40"/>
                          <w:szCs w:val="24"/>
                        </w:rPr>
                      </w:pPr>
                      <w:r w:rsidRPr="00D9321B">
                        <w:rPr>
                          <w:rFonts w:ascii="Calibri Light" w:hAnsi="Calibri Light"/>
                          <w:bCs/>
                          <w:color w:val="3B3838" w:themeColor="background2" w:themeShade="40"/>
                          <w:szCs w:val="24"/>
                        </w:rPr>
                        <w:t>Caustic House, 1920’s.</w:t>
                      </w:r>
                      <w:r>
                        <w:rPr>
                          <w:rFonts w:ascii="Calibri Light" w:hAnsi="Calibri Light"/>
                          <w:bCs/>
                          <w:color w:val="3B3838" w:themeColor="background2" w:themeShade="40"/>
                          <w:szCs w:val="24"/>
                        </w:rPr>
                        <w:t xml:space="preserve"> </w:t>
                      </w:r>
                      <w:r>
                        <w:rPr>
                          <w:rFonts w:ascii="Calibri Light" w:hAnsi="Calibri Light"/>
                          <w:bCs/>
                          <w:color w:val="3B3838" w:themeColor="background2" w:themeShade="40"/>
                          <w:szCs w:val="24"/>
                        </w:rPr>
                        <w:tab/>
                      </w:r>
                      <w:r>
                        <w:rPr>
                          <w:rFonts w:ascii="Calibri Light" w:hAnsi="Calibri Light"/>
                          <w:bCs/>
                          <w:color w:val="3B3838" w:themeColor="background2" w:themeShade="40"/>
                          <w:szCs w:val="24"/>
                        </w:rPr>
                        <w:tab/>
                      </w:r>
                      <w:r>
                        <w:rPr>
                          <w:rFonts w:ascii="Calibri Light" w:hAnsi="Calibri Light"/>
                          <w:bCs/>
                          <w:color w:val="3B3838" w:themeColor="background2" w:themeShade="40"/>
                          <w:szCs w:val="24"/>
                        </w:rPr>
                        <w:tab/>
                      </w:r>
                      <w:r>
                        <w:rPr>
                          <w:rFonts w:ascii="Calibri Light" w:hAnsi="Calibri Light"/>
                          <w:bCs/>
                          <w:color w:val="3B3838" w:themeColor="background2" w:themeShade="40"/>
                          <w:szCs w:val="24"/>
                        </w:rPr>
                        <w:tab/>
                      </w:r>
                      <w:r>
                        <w:rPr>
                          <w:rFonts w:ascii="Calibri Light" w:hAnsi="Calibri Light"/>
                          <w:bCs/>
                          <w:color w:val="3B3838" w:themeColor="background2" w:themeShade="40"/>
                          <w:szCs w:val="24"/>
                        </w:rPr>
                        <w:tab/>
                      </w:r>
                      <w:r>
                        <w:rPr>
                          <w:rFonts w:ascii="Calibri Light" w:hAnsi="Calibri Light"/>
                          <w:bCs/>
                          <w:color w:val="3B3838" w:themeColor="background2" w:themeShade="40"/>
                          <w:szCs w:val="24"/>
                        </w:rPr>
                        <w:tab/>
                      </w:r>
                      <w:r>
                        <w:rPr>
                          <w:rFonts w:ascii="Calibri Light" w:hAnsi="Calibri Light"/>
                          <w:bCs/>
                          <w:color w:val="3B3838" w:themeColor="background2" w:themeShade="40"/>
                          <w:szCs w:val="24"/>
                        </w:rPr>
                        <w:tab/>
                      </w:r>
                      <w:r>
                        <w:rPr>
                          <w:rFonts w:ascii="Calibri Light" w:hAnsi="Calibri Light"/>
                          <w:bCs/>
                          <w:color w:val="3B3838" w:themeColor="background2" w:themeShade="40"/>
                          <w:szCs w:val="24"/>
                        </w:rPr>
                        <w:tab/>
                      </w:r>
                      <w:r>
                        <w:rPr>
                          <w:rFonts w:ascii="Calibri Light" w:hAnsi="Calibri Light"/>
                          <w:bCs/>
                          <w:color w:val="3B3838" w:themeColor="background2" w:themeShade="40"/>
                          <w:szCs w:val="24"/>
                        </w:rPr>
                        <w:tab/>
                        <w:t xml:space="preserve"> </w:t>
                      </w:r>
                      <w:r w:rsidRPr="00D9321B">
                        <w:rPr>
                          <w:rFonts w:ascii="Calibri Light" w:hAnsi="Calibri Light"/>
                          <w:bCs/>
                          <w:color w:val="3B3838" w:themeColor="background2" w:themeShade="40"/>
                          <w:szCs w:val="24"/>
                        </w:rPr>
                        <w:t>Source: Glenn Springs Hold</w:t>
                      </w:r>
                      <w:r>
                        <w:rPr>
                          <w:rFonts w:ascii="Calibri Light" w:hAnsi="Calibri Light"/>
                          <w:bCs/>
                          <w:color w:val="3B3838" w:themeColor="background2" w:themeShade="40"/>
                          <w:szCs w:val="24"/>
                        </w:rPr>
                        <w:t>i</w:t>
                      </w:r>
                      <w:r w:rsidRPr="00D9321B">
                        <w:rPr>
                          <w:rFonts w:ascii="Calibri Light" w:hAnsi="Calibri Light"/>
                          <w:bCs/>
                          <w:color w:val="3B3838" w:themeColor="background2" w:themeShade="40"/>
                          <w:szCs w:val="24"/>
                        </w:rPr>
                        <w:t>ngs</w:t>
                      </w:r>
                    </w:p>
                  </w:txbxContent>
                </v:textbox>
                <w10:wrap anchorx="page"/>
              </v:shape>
            </w:pict>
          </mc:Fallback>
        </mc:AlternateContent>
      </w:r>
    </w:p>
    <w:p w:rsidR="005245BA" w:rsidRDefault="005245BA" w:rsidP="005245BA">
      <w:pPr>
        <w:spacing w:before="100" w:beforeAutospacing="1" w:after="100" w:afterAutospacing="1"/>
        <w:rPr>
          <w:rFonts w:asciiTheme="minorHAnsi" w:eastAsia="Times New Roman" w:hAnsiTheme="minorHAnsi" w:cs="Arial"/>
          <w:b/>
          <w:bCs/>
          <w:color w:val="000000" w:themeColor="text1"/>
          <w:kern w:val="28"/>
          <w:sz w:val="40"/>
          <w:szCs w:val="40"/>
          <w14:cntxtAlts/>
        </w:rPr>
      </w:pPr>
    </w:p>
    <w:p w:rsidR="00902FDF" w:rsidRDefault="00902FDF" w:rsidP="00902FDF">
      <w:pPr>
        <w:spacing w:before="100" w:beforeAutospacing="1" w:after="100" w:afterAutospacing="1"/>
        <w:rPr>
          <w:rFonts w:asciiTheme="minorHAnsi" w:eastAsia="Times New Roman" w:hAnsiTheme="minorHAnsi" w:cs="Arial"/>
          <w:b/>
          <w:bCs/>
          <w:color w:val="000000" w:themeColor="text1"/>
          <w:kern w:val="28"/>
          <w:sz w:val="20"/>
          <w:szCs w:val="20"/>
          <w14:cntxtAlts/>
        </w:rPr>
        <w:sectPr w:rsidR="00902FDF" w:rsidSect="00131261">
          <w:headerReference w:type="default" r:id="rId9"/>
          <w:footerReference w:type="default" r:id="rId10"/>
          <w:pgSz w:w="12240" w:h="15840"/>
          <w:pgMar w:top="245" w:right="245" w:bottom="245" w:left="245" w:header="720" w:footer="576" w:gutter="0"/>
          <w:cols w:space="720"/>
          <w:docGrid w:linePitch="360"/>
        </w:sectPr>
      </w:pPr>
    </w:p>
    <w:p w:rsidR="005245BA" w:rsidRPr="005245BA" w:rsidRDefault="005245BA" w:rsidP="005245BA">
      <w:pPr>
        <w:spacing w:before="100" w:beforeAutospacing="1" w:after="100" w:afterAutospacing="1"/>
        <w:rPr>
          <w:rStyle w:val="tx"/>
          <w:rFonts w:asciiTheme="minorHAnsi" w:eastAsia="Times New Roman" w:hAnsiTheme="minorHAnsi" w:cs="Arial"/>
          <w:b/>
          <w:bCs/>
          <w:color w:val="3B3838" w:themeColor="background2" w:themeShade="40"/>
          <w:kern w:val="28"/>
          <w:sz w:val="40"/>
          <w:szCs w:val="40"/>
          <w14:cntxtAlts/>
        </w:rPr>
      </w:pPr>
      <w:r w:rsidRPr="005245BA">
        <w:rPr>
          <w:rFonts w:asciiTheme="minorHAnsi" w:eastAsia="Times New Roman" w:hAnsiTheme="minorHAnsi" w:cs="Arial"/>
          <w:b/>
          <w:bCs/>
          <w:color w:val="3B3838" w:themeColor="background2" w:themeShade="40"/>
          <w:kern w:val="28"/>
          <w:sz w:val="40"/>
          <w:szCs w:val="40"/>
          <w14:cntxtAlts/>
        </w:rPr>
        <w:t>Legal Agreement Between Occid</w:t>
      </w:r>
      <w:bookmarkStart w:id="0" w:name="_GoBack"/>
      <w:bookmarkEnd w:id="0"/>
      <w:r w:rsidRPr="005245BA">
        <w:rPr>
          <w:rFonts w:asciiTheme="minorHAnsi" w:eastAsia="Times New Roman" w:hAnsiTheme="minorHAnsi" w:cs="Arial"/>
          <w:b/>
          <w:bCs/>
          <w:color w:val="3B3838" w:themeColor="background2" w:themeShade="40"/>
          <w:kern w:val="28"/>
          <w:sz w:val="40"/>
          <w:szCs w:val="40"/>
          <w14:cntxtAlts/>
        </w:rPr>
        <w:t>ental and Ecology</w:t>
      </w:r>
      <w:r w:rsidRPr="005245BA">
        <w:rPr>
          <w:rStyle w:val="tx"/>
          <w:rFonts w:asciiTheme="minorHAnsi" w:eastAsia="Times New Roman" w:hAnsiTheme="minorHAnsi" w:cs="Arial"/>
          <w:b/>
          <w:bCs/>
          <w:color w:val="3B3838" w:themeColor="background2" w:themeShade="40"/>
          <w:kern w:val="28"/>
          <w:sz w:val="40"/>
          <w:szCs w:val="40"/>
          <w14:cntxtAlts/>
        </w:rPr>
        <w:t xml:space="preserve"> </w:t>
      </w:r>
    </w:p>
    <w:p w:rsidR="005245BA" w:rsidRPr="000951E0" w:rsidRDefault="005245BA" w:rsidP="005245BA">
      <w:pPr>
        <w:pStyle w:val="NoSpacing"/>
        <w:spacing w:line="276" w:lineRule="auto"/>
        <w:rPr>
          <w:rStyle w:val="tx"/>
          <w:rFonts w:asciiTheme="majorHAnsi" w:hAnsiTheme="majorHAnsi" w:cs="Times New Roman"/>
          <w:color w:val="000000" w:themeColor="text1"/>
          <w:sz w:val="24"/>
          <w:szCs w:val="24"/>
          <w:bdr w:val="none" w:sz="0" w:space="0" w:color="auto" w:frame="1"/>
        </w:rPr>
      </w:pPr>
      <w:r w:rsidRPr="000951E0">
        <w:rPr>
          <w:rStyle w:val="tx"/>
          <w:rFonts w:asciiTheme="majorHAnsi" w:hAnsiTheme="majorHAnsi" w:cs="Times New Roman"/>
          <w:color w:val="000000" w:themeColor="text1"/>
          <w:sz w:val="24"/>
          <w:szCs w:val="24"/>
          <w:bdr w:val="none" w:sz="0" w:space="0" w:color="auto" w:frame="1"/>
        </w:rPr>
        <w:t>The goal of the draft Agreed Order (AO) is to provide remedial action at the Occidental Chemical Corporation’s (OCC) Tacoma site. The order requires Occidental to:</w:t>
      </w:r>
    </w:p>
    <w:p w:rsidR="005245BA" w:rsidRPr="000951E0" w:rsidRDefault="005245BA" w:rsidP="005245BA">
      <w:pPr>
        <w:pStyle w:val="NoSpacing"/>
        <w:numPr>
          <w:ilvl w:val="0"/>
          <w:numId w:val="10"/>
        </w:numPr>
        <w:spacing w:line="276" w:lineRule="auto"/>
        <w:rPr>
          <w:rStyle w:val="tx"/>
          <w:rFonts w:asciiTheme="majorHAnsi" w:hAnsiTheme="majorHAnsi" w:cs="Times New Roman"/>
          <w:color w:val="000000" w:themeColor="text1"/>
          <w:sz w:val="24"/>
          <w:szCs w:val="24"/>
          <w:bdr w:val="none" w:sz="0" w:space="0" w:color="auto" w:frame="1"/>
        </w:rPr>
      </w:pPr>
      <w:r w:rsidRPr="000951E0">
        <w:rPr>
          <w:rStyle w:val="tx"/>
          <w:rFonts w:asciiTheme="majorHAnsi" w:hAnsiTheme="majorHAnsi" w:cs="Times New Roman"/>
          <w:color w:val="000000" w:themeColor="text1"/>
          <w:sz w:val="24"/>
          <w:szCs w:val="24"/>
          <w:bdr w:val="none" w:sz="0" w:space="0" w:color="auto" w:frame="1"/>
        </w:rPr>
        <w:t>Complete a Feasibility Study.</w:t>
      </w:r>
    </w:p>
    <w:p w:rsidR="005245BA" w:rsidRPr="000951E0" w:rsidRDefault="005245BA" w:rsidP="005245BA">
      <w:pPr>
        <w:pStyle w:val="NoSpacing"/>
        <w:numPr>
          <w:ilvl w:val="0"/>
          <w:numId w:val="10"/>
        </w:numPr>
        <w:spacing w:line="276" w:lineRule="auto"/>
        <w:rPr>
          <w:rStyle w:val="tx"/>
          <w:rFonts w:asciiTheme="majorHAnsi" w:hAnsiTheme="majorHAnsi" w:cs="Times New Roman"/>
          <w:color w:val="000000" w:themeColor="text1"/>
          <w:sz w:val="24"/>
          <w:szCs w:val="24"/>
          <w:bdr w:val="none" w:sz="0" w:space="0" w:color="auto" w:frame="1"/>
        </w:rPr>
      </w:pPr>
      <w:r w:rsidRPr="000951E0">
        <w:rPr>
          <w:rStyle w:val="tx"/>
          <w:rFonts w:asciiTheme="majorHAnsi" w:hAnsiTheme="majorHAnsi" w:cs="Times New Roman"/>
          <w:color w:val="000000" w:themeColor="text1"/>
          <w:sz w:val="24"/>
          <w:szCs w:val="24"/>
          <w:bdr w:val="none" w:sz="0" w:space="0" w:color="auto" w:frame="1"/>
        </w:rPr>
        <w:t>Perform a longer-term pumping test at extraction well EXT-9.</w:t>
      </w:r>
    </w:p>
    <w:p w:rsidR="005245BA" w:rsidRPr="000951E0" w:rsidRDefault="005245BA" w:rsidP="005245BA">
      <w:pPr>
        <w:pStyle w:val="NoSpacing"/>
        <w:numPr>
          <w:ilvl w:val="0"/>
          <w:numId w:val="10"/>
        </w:numPr>
        <w:spacing w:line="276" w:lineRule="auto"/>
        <w:rPr>
          <w:rStyle w:val="tx"/>
          <w:rFonts w:asciiTheme="majorHAnsi" w:hAnsiTheme="majorHAnsi" w:cs="Times New Roman"/>
          <w:color w:val="000000" w:themeColor="text1"/>
          <w:sz w:val="24"/>
          <w:szCs w:val="24"/>
          <w:bdr w:val="none" w:sz="0" w:space="0" w:color="auto" w:frame="1"/>
        </w:rPr>
      </w:pPr>
      <w:r w:rsidRPr="000951E0">
        <w:rPr>
          <w:rStyle w:val="tx"/>
          <w:rFonts w:asciiTheme="majorHAnsi" w:hAnsiTheme="majorHAnsi" w:cs="Times New Roman"/>
          <w:color w:val="000000" w:themeColor="text1"/>
          <w:sz w:val="24"/>
          <w:szCs w:val="24"/>
          <w:bdr w:val="none" w:sz="0" w:space="0" w:color="auto" w:frame="1"/>
        </w:rPr>
        <w:t>Develop a baseline monitoring program.</w:t>
      </w:r>
    </w:p>
    <w:p w:rsidR="005245BA" w:rsidRPr="000951E0" w:rsidRDefault="005245BA" w:rsidP="005245BA">
      <w:pPr>
        <w:pStyle w:val="NoSpacing"/>
        <w:numPr>
          <w:ilvl w:val="0"/>
          <w:numId w:val="10"/>
        </w:numPr>
        <w:spacing w:line="276" w:lineRule="auto"/>
        <w:rPr>
          <w:rStyle w:val="tx"/>
          <w:rFonts w:asciiTheme="majorHAnsi" w:hAnsiTheme="majorHAnsi" w:cs="Times New Roman"/>
          <w:color w:val="000000" w:themeColor="text1"/>
          <w:sz w:val="24"/>
          <w:szCs w:val="24"/>
          <w:bdr w:val="none" w:sz="0" w:space="0" w:color="auto" w:frame="1"/>
        </w:rPr>
      </w:pPr>
      <w:r w:rsidRPr="000951E0">
        <w:rPr>
          <w:rStyle w:val="tx"/>
          <w:rFonts w:asciiTheme="majorHAnsi" w:hAnsiTheme="majorHAnsi" w:cs="Times New Roman"/>
          <w:color w:val="000000" w:themeColor="text1"/>
          <w:sz w:val="24"/>
          <w:szCs w:val="24"/>
          <w:bdr w:val="none" w:sz="0" w:space="0" w:color="auto" w:frame="1"/>
        </w:rPr>
        <w:t>Submit a draft Cleanup Action Plan (</w:t>
      </w:r>
      <w:proofErr w:type="spellStart"/>
      <w:r w:rsidRPr="000951E0">
        <w:rPr>
          <w:rStyle w:val="tx"/>
          <w:rFonts w:asciiTheme="majorHAnsi" w:hAnsiTheme="majorHAnsi" w:cs="Times New Roman"/>
          <w:color w:val="000000" w:themeColor="text1"/>
          <w:sz w:val="24"/>
          <w:szCs w:val="24"/>
          <w:bdr w:val="none" w:sz="0" w:space="0" w:color="auto" w:frame="1"/>
        </w:rPr>
        <w:t>dCAP</w:t>
      </w:r>
      <w:proofErr w:type="spellEnd"/>
      <w:r w:rsidRPr="000951E0">
        <w:rPr>
          <w:rStyle w:val="tx"/>
          <w:rFonts w:asciiTheme="majorHAnsi" w:hAnsiTheme="majorHAnsi" w:cs="Times New Roman"/>
          <w:color w:val="000000" w:themeColor="text1"/>
          <w:sz w:val="24"/>
          <w:szCs w:val="24"/>
          <w:bdr w:val="none" w:sz="0" w:space="0" w:color="auto" w:frame="1"/>
        </w:rPr>
        <w:t>).</w:t>
      </w:r>
    </w:p>
    <w:p w:rsidR="005245BA" w:rsidRPr="000951E0" w:rsidRDefault="005245BA" w:rsidP="005245BA">
      <w:pPr>
        <w:pStyle w:val="NoSpacing"/>
        <w:spacing w:line="276" w:lineRule="auto"/>
        <w:rPr>
          <w:rStyle w:val="tx"/>
          <w:rFonts w:asciiTheme="majorHAnsi" w:hAnsiTheme="majorHAnsi" w:cs="Times New Roman"/>
          <w:color w:val="000000" w:themeColor="text1"/>
          <w:sz w:val="24"/>
          <w:szCs w:val="24"/>
          <w:bdr w:val="none" w:sz="0" w:space="0" w:color="auto" w:frame="1"/>
        </w:rPr>
      </w:pPr>
    </w:p>
    <w:p w:rsidR="005245BA" w:rsidRPr="000951E0" w:rsidRDefault="005245BA" w:rsidP="005245BA">
      <w:pPr>
        <w:pStyle w:val="NoSpacing"/>
        <w:spacing w:line="276" w:lineRule="auto"/>
        <w:rPr>
          <w:rStyle w:val="tx"/>
          <w:rFonts w:asciiTheme="majorHAnsi" w:hAnsiTheme="majorHAnsi" w:cs="Times New Roman"/>
          <w:color w:val="000000" w:themeColor="text1"/>
          <w:sz w:val="24"/>
          <w:szCs w:val="24"/>
          <w:bdr w:val="none" w:sz="0" w:space="0" w:color="auto" w:frame="1"/>
        </w:rPr>
      </w:pPr>
      <w:r w:rsidRPr="000951E0">
        <w:rPr>
          <w:rStyle w:val="tx"/>
          <w:rFonts w:asciiTheme="majorHAnsi" w:hAnsiTheme="majorHAnsi" w:cs="Times New Roman"/>
          <w:color w:val="000000" w:themeColor="text1"/>
          <w:sz w:val="24"/>
          <w:szCs w:val="24"/>
          <w:bdr w:val="none" w:sz="0" w:space="0" w:color="auto" w:frame="1"/>
        </w:rPr>
        <w:t>The AO will replace the Administrative Order on Consent (AOC) among the U.S. Environmental Protection Agency (EPA), Ecology, and OCC.</w:t>
      </w:r>
    </w:p>
    <w:p w:rsidR="005245BA" w:rsidRPr="000951E0" w:rsidRDefault="005245BA" w:rsidP="005245BA">
      <w:pPr>
        <w:pStyle w:val="NoSpacing"/>
        <w:spacing w:line="276" w:lineRule="auto"/>
        <w:rPr>
          <w:rStyle w:val="tx"/>
          <w:rFonts w:asciiTheme="majorHAnsi" w:hAnsiTheme="majorHAnsi" w:cs="Times New Roman"/>
          <w:color w:val="000000" w:themeColor="text1"/>
          <w:sz w:val="24"/>
          <w:szCs w:val="24"/>
          <w:bdr w:val="none" w:sz="0" w:space="0" w:color="auto" w:frame="1"/>
        </w:rPr>
      </w:pPr>
    </w:p>
    <w:p w:rsidR="005245BA" w:rsidRPr="000951E0" w:rsidRDefault="005245BA" w:rsidP="005245BA">
      <w:pPr>
        <w:pStyle w:val="NoSpacing"/>
        <w:spacing w:line="276" w:lineRule="auto"/>
        <w:rPr>
          <w:rStyle w:val="tx"/>
          <w:rFonts w:asciiTheme="majorHAnsi" w:hAnsiTheme="majorHAnsi" w:cs="Times New Roman"/>
          <w:color w:val="000000" w:themeColor="text1"/>
          <w:sz w:val="24"/>
          <w:szCs w:val="24"/>
          <w:bdr w:val="none" w:sz="0" w:space="0" w:color="auto" w:frame="1"/>
        </w:rPr>
      </w:pPr>
      <w:r w:rsidRPr="000951E0">
        <w:rPr>
          <w:rStyle w:val="tx"/>
          <w:rFonts w:asciiTheme="majorHAnsi" w:hAnsiTheme="majorHAnsi" w:cs="Times New Roman"/>
          <w:color w:val="000000" w:themeColor="text1"/>
          <w:sz w:val="24"/>
          <w:szCs w:val="24"/>
          <w:bdr w:val="none" w:sz="0" w:space="0" w:color="auto" w:frame="1"/>
        </w:rPr>
        <w:t>The Potentially Liable Parties are Occidental Chemical Corporation (OCC), Mariana Properties, and Glenn Springs Holdings, Inc.</w:t>
      </w:r>
    </w:p>
    <w:p w:rsidR="005245BA" w:rsidRPr="000951E0" w:rsidRDefault="005245BA" w:rsidP="005245BA">
      <w:pPr>
        <w:spacing w:after="120"/>
        <w:rPr>
          <w:rStyle w:val="tx"/>
          <w:rFonts w:asciiTheme="majorHAnsi" w:hAnsiTheme="majorHAnsi"/>
          <w:color w:val="000000" w:themeColor="text1"/>
          <w:sz w:val="28"/>
          <w:szCs w:val="28"/>
          <w:bdr w:val="none" w:sz="0" w:space="0" w:color="auto" w:frame="1"/>
        </w:rPr>
      </w:pPr>
    </w:p>
    <w:p w:rsidR="005245BA" w:rsidRPr="005245BA" w:rsidRDefault="005245BA" w:rsidP="005245BA">
      <w:pPr>
        <w:spacing w:after="120"/>
        <w:rPr>
          <w:rFonts w:ascii="Franklin Gothic Medium" w:eastAsia="Times New Roman" w:hAnsi="Franklin Gothic Medium" w:cs="Arial"/>
          <w:b/>
          <w:bCs/>
          <w:color w:val="3B3838" w:themeColor="background2" w:themeShade="40"/>
          <w:kern w:val="28"/>
          <w:sz w:val="32"/>
          <w:szCs w:val="32"/>
          <w14:cntxtAlts/>
        </w:rPr>
      </w:pPr>
      <w:r w:rsidRPr="005245BA">
        <w:rPr>
          <w:rFonts w:ascii="Franklin Gothic Medium" w:eastAsia="Times New Roman" w:hAnsi="Franklin Gothic Medium" w:cs="Arial"/>
          <w:b/>
          <w:bCs/>
          <w:color w:val="3B3838" w:themeColor="background2" w:themeShade="40"/>
          <w:kern w:val="28"/>
          <w:sz w:val="32"/>
          <w:szCs w:val="32"/>
          <w14:cntxtAlts/>
        </w:rPr>
        <w:t>Work to be Performed</w:t>
      </w:r>
    </w:p>
    <w:p w:rsidR="005245BA" w:rsidRPr="000951E0" w:rsidRDefault="005245BA" w:rsidP="005245BA">
      <w:pPr>
        <w:spacing w:after="120" w:line="276" w:lineRule="auto"/>
        <w:rPr>
          <w:rStyle w:val="tx"/>
          <w:rFonts w:asciiTheme="majorHAnsi" w:hAnsiTheme="majorHAnsi"/>
          <w:color w:val="000000" w:themeColor="text1"/>
          <w:szCs w:val="24"/>
          <w:bdr w:val="none" w:sz="0" w:space="0" w:color="auto" w:frame="1"/>
        </w:rPr>
      </w:pPr>
      <w:r w:rsidRPr="000951E0">
        <w:rPr>
          <w:rStyle w:val="tx"/>
          <w:rFonts w:asciiTheme="majorHAnsi" w:hAnsiTheme="majorHAnsi"/>
          <w:color w:val="000000" w:themeColor="text1"/>
          <w:szCs w:val="24"/>
          <w:bdr w:val="none" w:sz="0" w:space="0" w:color="auto" w:frame="1"/>
        </w:rPr>
        <w:t xml:space="preserve">Companies striving to reduce their chemical footprint can now make a first move using the </w:t>
      </w:r>
      <w:proofErr w:type="spellStart"/>
      <w:r w:rsidRPr="000951E0">
        <w:rPr>
          <w:rStyle w:val="tx"/>
          <w:rFonts w:asciiTheme="majorHAnsi" w:hAnsiTheme="majorHAnsi"/>
          <w:color w:val="000000" w:themeColor="text1"/>
          <w:szCs w:val="24"/>
          <w:bdr w:val="none" w:sz="0" w:space="0" w:color="auto" w:frame="1"/>
        </w:rPr>
        <w:t>GreenScreen</w:t>
      </w:r>
      <w:proofErr w:type="spellEnd"/>
      <w:r w:rsidRPr="000951E0">
        <w:rPr>
          <w:rStyle w:val="tx"/>
          <w:rFonts w:asciiTheme="majorHAnsi" w:hAnsiTheme="majorHAnsi" w:cstheme="minorHAnsi"/>
          <w:color w:val="000000" w:themeColor="text1"/>
          <w:szCs w:val="24"/>
          <w:bdr w:val="none" w:sz="0" w:space="0" w:color="auto" w:frame="1"/>
        </w:rPr>
        <w:t>®</w:t>
      </w:r>
      <w:r w:rsidRPr="000951E0">
        <w:rPr>
          <w:rStyle w:val="tx"/>
          <w:rFonts w:asciiTheme="majorHAnsi" w:hAnsiTheme="majorHAnsi"/>
          <w:color w:val="000000" w:themeColor="text1"/>
          <w:szCs w:val="24"/>
          <w:bdr w:val="none" w:sz="0" w:space="0" w:color="auto" w:frame="1"/>
        </w:rPr>
        <w:t xml:space="preserve"> List Translator. This automated tool is an abbreviated version of the </w:t>
      </w:r>
      <w:proofErr w:type="spellStart"/>
      <w:r w:rsidRPr="000951E0">
        <w:rPr>
          <w:rFonts w:asciiTheme="majorHAnsi" w:hAnsiTheme="majorHAnsi"/>
          <w:color w:val="000000" w:themeColor="text1"/>
          <w:szCs w:val="24"/>
        </w:rPr>
        <w:t>GreenScreen</w:t>
      </w:r>
      <w:proofErr w:type="spellEnd"/>
      <w:r w:rsidRPr="000951E0">
        <w:rPr>
          <w:rFonts w:asciiTheme="majorHAnsi" w:hAnsiTheme="majorHAnsi"/>
          <w:color w:val="000000" w:themeColor="text1"/>
          <w:szCs w:val="24"/>
        </w:rPr>
        <w:t xml:space="preserve">® for Safer Chemicals, a globally recognized chemical hazard assessment method used to identify chemicals of high concern and safer alternatives. </w:t>
      </w:r>
      <w:r w:rsidRPr="000951E0">
        <w:rPr>
          <w:rStyle w:val="tx"/>
          <w:rFonts w:asciiTheme="majorHAnsi" w:hAnsiTheme="majorHAnsi"/>
          <w:color w:val="000000" w:themeColor="text1"/>
          <w:szCs w:val="24"/>
          <w:bdr w:val="none" w:sz="0" w:space="0" w:color="auto" w:frame="1"/>
        </w:rPr>
        <w:t xml:space="preserve">The </w:t>
      </w:r>
      <w:proofErr w:type="spellStart"/>
      <w:r w:rsidRPr="000951E0">
        <w:rPr>
          <w:rStyle w:val="tx"/>
          <w:rFonts w:asciiTheme="majorHAnsi" w:hAnsiTheme="majorHAnsi"/>
          <w:color w:val="000000" w:themeColor="text1"/>
          <w:szCs w:val="24"/>
          <w:bdr w:val="none" w:sz="0" w:space="0" w:color="auto" w:frame="1"/>
        </w:rPr>
        <w:t>GreenScreen</w:t>
      </w:r>
      <w:proofErr w:type="spellEnd"/>
      <w:r w:rsidRPr="000951E0">
        <w:rPr>
          <w:rStyle w:val="tx"/>
          <w:rFonts w:asciiTheme="majorHAnsi" w:hAnsiTheme="majorHAnsi" w:cstheme="minorHAnsi"/>
          <w:color w:val="000000" w:themeColor="text1"/>
          <w:szCs w:val="24"/>
          <w:bdr w:val="none" w:sz="0" w:space="0" w:color="auto" w:frame="1"/>
        </w:rPr>
        <w:t>®</w:t>
      </w:r>
      <w:r w:rsidRPr="000951E0">
        <w:rPr>
          <w:rStyle w:val="tx"/>
          <w:rFonts w:asciiTheme="majorHAnsi" w:hAnsiTheme="majorHAnsi"/>
          <w:color w:val="000000" w:themeColor="text1"/>
          <w:szCs w:val="24"/>
          <w:bdr w:val="none" w:sz="0" w:space="0" w:color="auto" w:frame="1"/>
        </w:rPr>
        <w:t xml:space="preserve"> List Translator helps you understand known impacts of chemicals on human health and the environment and categorize which chemicals to avoid when purchasing and designing</w:t>
      </w:r>
      <w:r w:rsidRPr="000951E0">
        <w:rPr>
          <w:rStyle w:val="tx"/>
          <w:rFonts w:asciiTheme="majorHAnsi" w:hAnsiTheme="majorHAnsi"/>
          <w:color w:val="000000" w:themeColor="text1"/>
          <w:spacing w:val="-1"/>
          <w:szCs w:val="24"/>
          <w:bdr w:val="none" w:sz="0" w:space="0" w:color="auto" w:frame="1"/>
        </w:rPr>
        <w:t>. </w:t>
      </w:r>
      <w:r w:rsidRPr="000951E0">
        <w:rPr>
          <w:rStyle w:val="tx"/>
          <w:rFonts w:asciiTheme="majorHAnsi" w:hAnsiTheme="majorHAnsi"/>
          <w:color w:val="000000" w:themeColor="text1"/>
          <w:szCs w:val="24"/>
          <w:bdr w:val="none" w:sz="0" w:space="0" w:color="auto" w:frame="1"/>
        </w:rPr>
        <w:t>The tool is easy for anyone to use regardless of experience or knowledge related to chemical hazards and can be applied to chemicals you currently use or may use in the future. </w:t>
      </w:r>
    </w:p>
    <w:p w:rsidR="005245BA" w:rsidRDefault="005245BA">
      <w:pPr>
        <w:sectPr w:rsidR="005245BA" w:rsidSect="00902FDF">
          <w:type w:val="continuous"/>
          <w:pgSz w:w="12240" w:h="15840"/>
          <w:pgMar w:top="245" w:right="1080" w:bottom="245" w:left="1080" w:header="720" w:footer="576" w:gutter="0"/>
          <w:cols w:space="720"/>
          <w:docGrid w:linePitch="360"/>
        </w:sectPr>
      </w:pPr>
    </w:p>
    <w:p w:rsidR="000951E0" w:rsidRPr="005245BA" w:rsidRDefault="000951E0" w:rsidP="005245BA">
      <w:pPr>
        <w:pStyle w:val="NoSpacing"/>
        <w:numPr>
          <w:ilvl w:val="0"/>
          <w:numId w:val="11"/>
        </w:numPr>
        <w:spacing w:line="276" w:lineRule="auto"/>
        <w:rPr>
          <w:rStyle w:val="tx"/>
          <w:b/>
          <w:color w:val="3B3838" w:themeColor="background2" w:themeShade="40"/>
          <w:sz w:val="24"/>
          <w:szCs w:val="24"/>
          <w:bdr w:val="none" w:sz="0" w:space="0" w:color="auto" w:frame="1"/>
        </w:rPr>
      </w:pPr>
      <w:r w:rsidRPr="005245BA">
        <w:rPr>
          <w:rStyle w:val="tx"/>
          <w:b/>
          <w:color w:val="3B3838" w:themeColor="background2" w:themeShade="40"/>
          <w:sz w:val="24"/>
          <w:szCs w:val="24"/>
          <w:bdr w:val="none" w:sz="0" w:space="0" w:color="auto" w:frame="1"/>
        </w:rPr>
        <w:lastRenderedPageBreak/>
        <w:t>Site Baseline Monitoring</w:t>
      </w:r>
    </w:p>
    <w:p w:rsidR="000951E0" w:rsidRPr="005245BA" w:rsidRDefault="000951E0" w:rsidP="005245BA">
      <w:pPr>
        <w:pStyle w:val="NoSpacing"/>
        <w:spacing w:line="276" w:lineRule="auto"/>
        <w:rPr>
          <w:rStyle w:val="tx"/>
          <w:rFonts w:asciiTheme="majorHAnsi" w:hAnsiTheme="majorHAnsi"/>
          <w:color w:val="000000" w:themeColor="text1"/>
          <w:sz w:val="24"/>
          <w:szCs w:val="24"/>
          <w:bdr w:val="none" w:sz="0" w:space="0" w:color="auto" w:frame="1"/>
        </w:rPr>
      </w:pPr>
      <w:r w:rsidRPr="005245BA">
        <w:rPr>
          <w:rStyle w:val="tx"/>
          <w:rFonts w:asciiTheme="majorHAnsi" w:hAnsiTheme="majorHAnsi"/>
          <w:color w:val="000000" w:themeColor="text1"/>
          <w:sz w:val="24"/>
          <w:szCs w:val="24"/>
          <w:bdr w:val="none" w:sz="0" w:space="0" w:color="auto" w:frame="1"/>
        </w:rPr>
        <w:t xml:space="preserve">The PLPs shall conduct baseline monitoring activities. The purpose of this monitoring is to complete on-going collection of information already in progress and to provide information for remedy design for the </w:t>
      </w:r>
      <w:proofErr w:type="spellStart"/>
      <w:r w:rsidRPr="005245BA">
        <w:rPr>
          <w:rStyle w:val="tx"/>
          <w:rFonts w:asciiTheme="majorHAnsi" w:hAnsiTheme="majorHAnsi"/>
          <w:color w:val="000000" w:themeColor="text1"/>
          <w:sz w:val="24"/>
          <w:szCs w:val="24"/>
          <w:bdr w:val="none" w:sz="0" w:space="0" w:color="auto" w:frame="1"/>
        </w:rPr>
        <w:t>dCAP</w:t>
      </w:r>
      <w:proofErr w:type="spellEnd"/>
      <w:r w:rsidRPr="005245BA">
        <w:rPr>
          <w:rStyle w:val="tx"/>
          <w:rFonts w:asciiTheme="majorHAnsi" w:hAnsiTheme="majorHAnsi"/>
          <w:color w:val="000000" w:themeColor="text1"/>
          <w:sz w:val="24"/>
          <w:szCs w:val="24"/>
          <w:bdr w:val="none" w:sz="0" w:space="0" w:color="auto" w:frame="1"/>
        </w:rPr>
        <w:t xml:space="preserve">. Components include groundwater quality, groundwater levels, and soil vapor. Baseline porewater sampling was completed in 2016. Quality Assurance/Quality Control measures and a safety and health plan. </w:t>
      </w:r>
    </w:p>
    <w:p w:rsidR="005245BA" w:rsidRDefault="005245BA" w:rsidP="005245BA">
      <w:pPr>
        <w:pStyle w:val="NoSpacing"/>
        <w:spacing w:line="276" w:lineRule="auto"/>
        <w:rPr>
          <w:rStyle w:val="tx"/>
          <w:rFonts w:asciiTheme="majorHAnsi" w:hAnsiTheme="majorHAnsi"/>
          <w:color w:val="000000" w:themeColor="text1"/>
          <w:sz w:val="24"/>
          <w:szCs w:val="24"/>
          <w:bdr w:val="none" w:sz="0" w:space="0" w:color="auto" w:frame="1"/>
        </w:rPr>
      </w:pPr>
    </w:p>
    <w:p w:rsidR="000951E0" w:rsidRPr="005245BA" w:rsidRDefault="000951E0" w:rsidP="005245BA">
      <w:pPr>
        <w:pStyle w:val="NoSpacing"/>
        <w:numPr>
          <w:ilvl w:val="0"/>
          <w:numId w:val="11"/>
        </w:numPr>
        <w:spacing w:line="276" w:lineRule="auto"/>
        <w:rPr>
          <w:rStyle w:val="tx"/>
          <w:b/>
          <w:color w:val="3B3838" w:themeColor="background2" w:themeShade="40"/>
          <w:sz w:val="24"/>
          <w:szCs w:val="24"/>
          <w:bdr w:val="none" w:sz="0" w:space="0" w:color="auto" w:frame="1"/>
        </w:rPr>
      </w:pPr>
      <w:r w:rsidRPr="005245BA">
        <w:rPr>
          <w:rStyle w:val="tx"/>
          <w:b/>
          <w:color w:val="3B3838" w:themeColor="background2" w:themeShade="40"/>
          <w:sz w:val="24"/>
          <w:szCs w:val="24"/>
          <w:bdr w:val="none" w:sz="0" w:space="0" w:color="auto" w:frame="1"/>
        </w:rPr>
        <w:t>Baseline Monitoring Report</w:t>
      </w:r>
    </w:p>
    <w:p w:rsidR="000951E0" w:rsidRPr="005245BA" w:rsidRDefault="000951E0" w:rsidP="005245BA">
      <w:pPr>
        <w:pStyle w:val="NoSpacing"/>
        <w:spacing w:line="276" w:lineRule="auto"/>
        <w:rPr>
          <w:rStyle w:val="tx"/>
          <w:rFonts w:asciiTheme="majorHAnsi" w:hAnsiTheme="majorHAnsi"/>
          <w:color w:val="000000" w:themeColor="text1"/>
          <w:sz w:val="24"/>
          <w:szCs w:val="24"/>
          <w:bdr w:val="none" w:sz="0" w:space="0" w:color="auto" w:frame="1"/>
        </w:rPr>
      </w:pPr>
      <w:r w:rsidRPr="005245BA">
        <w:rPr>
          <w:rStyle w:val="tx"/>
          <w:rFonts w:asciiTheme="majorHAnsi" w:hAnsiTheme="majorHAnsi"/>
          <w:color w:val="000000" w:themeColor="text1"/>
          <w:sz w:val="24"/>
          <w:szCs w:val="24"/>
          <w:bdr w:val="none" w:sz="0" w:space="0" w:color="auto" w:frame="1"/>
        </w:rPr>
        <w:t xml:space="preserve">Baseline Monitoring Report will provide results of field measurements and laboratory analyses of samples in electronic form to be entered into Ecology’s Environmental Information Management System (EIM).  </w:t>
      </w:r>
    </w:p>
    <w:p w:rsidR="005245BA" w:rsidRDefault="005245BA" w:rsidP="005245BA">
      <w:pPr>
        <w:pStyle w:val="NoSpacing"/>
        <w:spacing w:line="276" w:lineRule="auto"/>
        <w:rPr>
          <w:rStyle w:val="tx"/>
          <w:rFonts w:asciiTheme="majorHAnsi" w:hAnsiTheme="majorHAnsi"/>
          <w:color w:val="000000" w:themeColor="text1"/>
          <w:sz w:val="24"/>
          <w:szCs w:val="24"/>
          <w:bdr w:val="none" w:sz="0" w:space="0" w:color="auto" w:frame="1"/>
        </w:rPr>
      </w:pPr>
    </w:p>
    <w:p w:rsidR="000951E0" w:rsidRPr="005245BA" w:rsidRDefault="000951E0" w:rsidP="005245BA">
      <w:pPr>
        <w:pStyle w:val="NoSpacing"/>
        <w:numPr>
          <w:ilvl w:val="0"/>
          <w:numId w:val="11"/>
        </w:numPr>
        <w:spacing w:line="276" w:lineRule="auto"/>
        <w:rPr>
          <w:rStyle w:val="tx"/>
          <w:b/>
          <w:color w:val="3B3838" w:themeColor="background2" w:themeShade="40"/>
          <w:sz w:val="24"/>
          <w:szCs w:val="24"/>
          <w:bdr w:val="none" w:sz="0" w:space="0" w:color="auto" w:frame="1"/>
        </w:rPr>
      </w:pPr>
      <w:r w:rsidRPr="005245BA">
        <w:rPr>
          <w:rStyle w:val="tx"/>
          <w:b/>
          <w:color w:val="3B3838" w:themeColor="background2" w:themeShade="40"/>
          <w:sz w:val="24"/>
          <w:szCs w:val="24"/>
          <w:bdr w:val="none" w:sz="0" w:space="0" w:color="auto" w:frame="1"/>
        </w:rPr>
        <w:t>Feasibility Study</w:t>
      </w:r>
    </w:p>
    <w:p w:rsidR="000951E0" w:rsidRPr="005245BA" w:rsidRDefault="000951E0" w:rsidP="005245BA">
      <w:pPr>
        <w:pStyle w:val="NoSpacing"/>
        <w:spacing w:line="276" w:lineRule="auto"/>
        <w:rPr>
          <w:rStyle w:val="tx"/>
          <w:rFonts w:asciiTheme="majorHAnsi" w:hAnsiTheme="majorHAnsi"/>
          <w:color w:val="000000" w:themeColor="text1"/>
          <w:sz w:val="24"/>
          <w:szCs w:val="24"/>
          <w:bdr w:val="none" w:sz="0" w:space="0" w:color="auto" w:frame="1"/>
        </w:rPr>
      </w:pPr>
      <w:r w:rsidRPr="005245BA">
        <w:rPr>
          <w:rStyle w:val="tx"/>
          <w:rFonts w:asciiTheme="majorHAnsi" w:hAnsiTheme="majorHAnsi"/>
          <w:color w:val="000000" w:themeColor="text1"/>
          <w:sz w:val="24"/>
          <w:szCs w:val="24"/>
          <w:bdr w:val="none" w:sz="0" w:space="0" w:color="auto" w:frame="1"/>
        </w:rPr>
        <w:t>The PLPs received written comments from Ecology and EPA on the preliminary draft FS submitted in May 2015. Several revisions have been made and the PLPs resubmitted the FS on June 13, 2016, December 9, 2016, and January 11, 2017. The PLPs shall submit any subsequent drafts to Ecology.</w:t>
      </w:r>
    </w:p>
    <w:p w:rsidR="005245BA" w:rsidRDefault="005245BA" w:rsidP="005245BA">
      <w:pPr>
        <w:pStyle w:val="NoSpacing"/>
        <w:spacing w:line="276" w:lineRule="auto"/>
        <w:rPr>
          <w:rStyle w:val="tx"/>
          <w:rFonts w:asciiTheme="majorHAnsi" w:hAnsiTheme="majorHAnsi"/>
          <w:color w:val="000000" w:themeColor="text1"/>
          <w:sz w:val="24"/>
          <w:szCs w:val="24"/>
          <w:bdr w:val="none" w:sz="0" w:space="0" w:color="auto" w:frame="1"/>
        </w:rPr>
      </w:pPr>
    </w:p>
    <w:p w:rsidR="000951E0" w:rsidRPr="005245BA" w:rsidRDefault="000951E0" w:rsidP="005245BA">
      <w:pPr>
        <w:pStyle w:val="NoSpacing"/>
        <w:numPr>
          <w:ilvl w:val="0"/>
          <w:numId w:val="11"/>
        </w:numPr>
        <w:spacing w:line="276" w:lineRule="auto"/>
        <w:rPr>
          <w:rStyle w:val="tx"/>
          <w:b/>
          <w:color w:val="3B3838" w:themeColor="background2" w:themeShade="40"/>
          <w:sz w:val="24"/>
          <w:szCs w:val="24"/>
          <w:bdr w:val="none" w:sz="0" w:space="0" w:color="auto" w:frame="1"/>
        </w:rPr>
      </w:pPr>
      <w:r w:rsidRPr="005245BA">
        <w:rPr>
          <w:rStyle w:val="tx"/>
          <w:b/>
          <w:color w:val="3B3838" w:themeColor="background2" w:themeShade="40"/>
          <w:sz w:val="24"/>
          <w:szCs w:val="24"/>
          <w:bdr w:val="none" w:sz="0" w:space="0" w:color="auto" w:frame="1"/>
        </w:rPr>
        <w:t>Groundwater Extraction Demonstration</w:t>
      </w:r>
    </w:p>
    <w:p w:rsidR="000951E0" w:rsidRPr="005245BA" w:rsidRDefault="000951E0" w:rsidP="005245BA">
      <w:pPr>
        <w:pStyle w:val="NoSpacing"/>
        <w:spacing w:line="276" w:lineRule="auto"/>
        <w:rPr>
          <w:rStyle w:val="tx"/>
          <w:rFonts w:asciiTheme="majorHAnsi" w:hAnsiTheme="majorHAnsi"/>
          <w:color w:val="000000" w:themeColor="text1"/>
          <w:sz w:val="24"/>
          <w:szCs w:val="24"/>
          <w:bdr w:val="none" w:sz="0" w:space="0" w:color="auto" w:frame="1"/>
        </w:rPr>
      </w:pPr>
      <w:r w:rsidRPr="005245BA">
        <w:rPr>
          <w:rStyle w:val="tx"/>
          <w:rFonts w:asciiTheme="majorHAnsi" w:hAnsiTheme="majorHAnsi"/>
          <w:color w:val="000000" w:themeColor="text1"/>
          <w:sz w:val="24"/>
          <w:szCs w:val="24"/>
          <w:bdr w:val="none" w:sz="0" w:space="0" w:color="auto" w:frame="1"/>
        </w:rPr>
        <w:t>The PLPs shall submit a work plan for longer-term groundwater pumping test at well EXT-9. Upon the completion of the pumping tests, EXT-9 will be permanently connected to the treatment system and pumped at 20 gallons per minute unless there are operational issues within the treatment plant.</w:t>
      </w:r>
    </w:p>
    <w:p w:rsidR="000951E0" w:rsidRPr="005245BA" w:rsidRDefault="000951E0" w:rsidP="005245BA">
      <w:pPr>
        <w:pStyle w:val="NoSpacing"/>
        <w:spacing w:line="276" w:lineRule="auto"/>
        <w:rPr>
          <w:rStyle w:val="tx"/>
          <w:rFonts w:asciiTheme="majorHAnsi" w:hAnsiTheme="majorHAnsi"/>
          <w:color w:val="000000" w:themeColor="text1"/>
          <w:sz w:val="24"/>
          <w:szCs w:val="24"/>
          <w:bdr w:val="none" w:sz="0" w:space="0" w:color="auto" w:frame="1"/>
        </w:rPr>
      </w:pPr>
      <w:r w:rsidRPr="005245BA">
        <w:rPr>
          <w:rStyle w:val="tx"/>
          <w:rFonts w:asciiTheme="majorHAnsi" w:hAnsiTheme="majorHAnsi"/>
          <w:color w:val="000000" w:themeColor="text1"/>
          <w:sz w:val="24"/>
          <w:szCs w:val="24"/>
          <w:bdr w:val="none" w:sz="0" w:space="0" w:color="auto" w:frame="1"/>
        </w:rPr>
        <w:t>Data and a summary report shall be submitted to Ecology when the pumping tests are complete.</w:t>
      </w:r>
    </w:p>
    <w:p w:rsidR="005245BA" w:rsidRDefault="005245BA" w:rsidP="005245BA">
      <w:pPr>
        <w:pStyle w:val="NoSpacing"/>
        <w:spacing w:line="276" w:lineRule="auto"/>
        <w:rPr>
          <w:rStyle w:val="tx"/>
          <w:rFonts w:asciiTheme="majorHAnsi" w:hAnsiTheme="majorHAnsi"/>
          <w:color w:val="000000" w:themeColor="text1"/>
          <w:sz w:val="24"/>
          <w:szCs w:val="24"/>
          <w:bdr w:val="none" w:sz="0" w:space="0" w:color="auto" w:frame="1"/>
        </w:rPr>
      </w:pPr>
    </w:p>
    <w:p w:rsidR="000951E0" w:rsidRPr="005245BA" w:rsidRDefault="000951E0" w:rsidP="005245BA">
      <w:pPr>
        <w:pStyle w:val="NoSpacing"/>
        <w:numPr>
          <w:ilvl w:val="0"/>
          <w:numId w:val="11"/>
        </w:numPr>
        <w:spacing w:line="276" w:lineRule="auto"/>
        <w:rPr>
          <w:rStyle w:val="tx"/>
          <w:b/>
          <w:color w:val="3B3838" w:themeColor="background2" w:themeShade="40"/>
          <w:sz w:val="24"/>
          <w:szCs w:val="24"/>
          <w:bdr w:val="none" w:sz="0" w:space="0" w:color="auto" w:frame="1"/>
        </w:rPr>
      </w:pPr>
      <w:r w:rsidRPr="005245BA">
        <w:rPr>
          <w:rStyle w:val="tx"/>
          <w:b/>
          <w:color w:val="3B3838" w:themeColor="background2" w:themeShade="40"/>
          <w:sz w:val="24"/>
          <w:szCs w:val="24"/>
          <w:bdr w:val="none" w:sz="0" w:space="0" w:color="auto" w:frame="1"/>
        </w:rPr>
        <w:t>Risk Assessments</w:t>
      </w:r>
    </w:p>
    <w:p w:rsidR="000951E0" w:rsidRPr="005245BA" w:rsidRDefault="000951E0" w:rsidP="005245BA">
      <w:pPr>
        <w:pStyle w:val="NoSpacing"/>
        <w:spacing w:line="276" w:lineRule="auto"/>
        <w:rPr>
          <w:rStyle w:val="tx"/>
          <w:rFonts w:asciiTheme="majorHAnsi" w:hAnsiTheme="majorHAnsi"/>
          <w:color w:val="000000" w:themeColor="text1"/>
          <w:sz w:val="24"/>
          <w:szCs w:val="24"/>
          <w:bdr w:val="none" w:sz="0" w:space="0" w:color="auto" w:frame="1"/>
        </w:rPr>
      </w:pPr>
      <w:r w:rsidRPr="005245BA">
        <w:rPr>
          <w:rStyle w:val="tx"/>
          <w:rFonts w:asciiTheme="majorHAnsi" w:hAnsiTheme="majorHAnsi"/>
          <w:color w:val="000000" w:themeColor="text1"/>
          <w:sz w:val="24"/>
          <w:szCs w:val="24"/>
          <w:bdr w:val="none" w:sz="0" w:space="0" w:color="auto" w:frame="1"/>
        </w:rPr>
        <w:t>Ecology may determine that a quantitative or ecological risk assessment of cleanup action alternatives is required. Ecology will notify the PLPs by letter if such a determination has been made.</w:t>
      </w:r>
    </w:p>
    <w:p w:rsidR="005245BA" w:rsidRDefault="005245BA" w:rsidP="005245BA">
      <w:pPr>
        <w:pStyle w:val="NoSpacing"/>
        <w:spacing w:line="276" w:lineRule="auto"/>
        <w:rPr>
          <w:rStyle w:val="tx"/>
          <w:rFonts w:asciiTheme="majorHAnsi" w:hAnsiTheme="majorHAnsi"/>
          <w:color w:val="000000" w:themeColor="text1"/>
          <w:sz w:val="24"/>
          <w:szCs w:val="24"/>
          <w:bdr w:val="none" w:sz="0" w:space="0" w:color="auto" w:frame="1"/>
        </w:rPr>
      </w:pPr>
    </w:p>
    <w:p w:rsidR="000951E0" w:rsidRPr="005245BA" w:rsidRDefault="000951E0" w:rsidP="005245BA">
      <w:pPr>
        <w:pStyle w:val="NoSpacing"/>
        <w:numPr>
          <w:ilvl w:val="0"/>
          <w:numId w:val="11"/>
        </w:numPr>
        <w:spacing w:line="276" w:lineRule="auto"/>
        <w:rPr>
          <w:rStyle w:val="tx"/>
          <w:b/>
          <w:color w:val="3B3838" w:themeColor="background2" w:themeShade="40"/>
          <w:sz w:val="24"/>
          <w:szCs w:val="24"/>
          <w:bdr w:val="none" w:sz="0" w:space="0" w:color="auto" w:frame="1"/>
        </w:rPr>
      </w:pPr>
      <w:r w:rsidRPr="005245BA">
        <w:rPr>
          <w:rStyle w:val="tx"/>
          <w:b/>
          <w:color w:val="3B3838" w:themeColor="background2" w:themeShade="40"/>
          <w:sz w:val="24"/>
          <w:szCs w:val="24"/>
          <w:bdr w:val="none" w:sz="0" w:space="0" w:color="auto" w:frame="1"/>
        </w:rPr>
        <w:t>Draft Cleanup Action Plan</w:t>
      </w:r>
    </w:p>
    <w:p w:rsidR="000951E0" w:rsidRPr="005245BA" w:rsidRDefault="000951E0" w:rsidP="005245BA">
      <w:pPr>
        <w:pStyle w:val="NoSpacing"/>
        <w:spacing w:line="276" w:lineRule="auto"/>
        <w:rPr>
          <w:rStyle w:val="tx"/>
          <w:rFonts w:asciiTheme="majorHAnsi" w:hAnsiTheme="majorHAnsi"/>
          <w:color w:val="000000" w:themeColor="text1"/>
          <w:sz w:val="24"/>
          <w:szCs w:val="24"/>
          <w:bdr w:val="none" w:sz="0" w:space="0" w:color="auto" w:frame="1"/>
        </w:rPr>
      </w:pPr>
      <w:r w:rsidRPr="005245BA">
        <w:rPr>
          <w:rStyle w:val="tx"/>
          <w:rFonts w:asciiTheme="majorHAnsi" w:hAnsiTheme="majorHAnsi"/>
          <w:color w:val="000000" w:themeColor="text1"/>
          <w:sz w:val="24"/>
          <w:szCs w:val="24"/>
          <w:bdr w:val="none" w:sz="0" w:space="0" w:color="auto" w:frame="1"/>
        </w:rPr>
        <w:t xml:space="preserve">Once Ecology has approved the FS, Ecology will select cleanup actions consistent with the procedures and requirements in MTCA. Ecology will either direct the PLPs to prepare an agency review </w:t>
      </w:r>
      <w:proofErr w:type="spellStart"/>
      <w:r w:rsidRPr="005245BA">
        <w:rPr>
          <w:rStyle w:val="tx"/>
          <w:rFonts w:asciiTheme="majorHAnsi" w:hAnsiTheme="majorHAnsi"/>
          <w:color w:val="000000" w:themeColor="text1"/>
          <w:sz w:val="24"/>
          <w:szCs w:val="24"/>
          <w:bdr w:val="none" w:sz="0" w:space="0" w:color="auto" w:frame="1"/>
        </w:rPr>
        <w:t>dCAP</w:t>
      </w:r>
      <w:proofErr w:type="spellEnd"/>
      <w:r w:rsidRPr="005245BA">
        <w:rPr>
          <w:rStyle w:val="tx"/>
          <w:rFonts w:asciiTheme="majorHAnsi" w:hAnsiTheme="majorHAnsi"/>
          <w:color w:val="000000" w:themeColor="text1"/>
          <w:sz w:val="24"/>
          <w:szCs w:val="24"/>
          <w:bdr w:val="none" w:sz="0" w:space="0" w:color="auto" w:frame="1"/>
        </w:rPr>
        <w:t xml:space="preserve"> or Ecology will prepare the public review </w:t>
      </w:r>
      <w:proofErr w:type="spellStart"/>
      <w:r w:rsidRPr="005245BA">
        <w:rPr>
          <w:rStyle w:val="tx"/>
          <w:rFonts w:asciiTheme="majorHAnsi" w:hAnsiTheme="majorHAnsi"/>
          <w:color w:val="000000" w:themeColor="text1"/>
          <w:sz w:val="24"/>
          <w:szCs w:val="24"/>
          <w:bdr w:val="none" w:sz="0" w:space="0" w:color="auto" w:frame="1"/>
        </w:rPr>
        <w:t>dCAP</w:t>
      </w:r>
      <w:proofErr w:type="spellEnd"/>
      <w:r w:rsidRPr="005245BA">
        <w:rPr>
          <w:rStyle w:val="tx"/>
          <w:rFonts w:asciiTheme="majorHAnsi" w:hAnsiTheme="majorHAnsi"/>
          <w:color w:val="000000" w:themeColor="text1"/>
          <w:sz w:val="24"/>
          <w:szCs w:val="24"/>
          <w:bdr w:val="none" w:sz="0" w:space="0" w:color="auto" w:frame="1"/>
        </w:rPr>
        <w:t>.</w:t>
      </w:r>
    </w:p>
    <w:p w:rsidR="005245BA" w:rsidRDefault="005245BA" w:rsidP="005245BA">
      <w:pPr>
        <w:pStyle w:val="NoSpacing"/>
        <w:spacing w:line="276" w:lineRule="auto"/>
        <w:rPr>
          <w:rStyle w:val="tx"/>
          <w:rFonts w:asciiTheme="majorHAnsi" w:hAnsiTheme="majorHAnsi"/>
          <w:color w:val="000000" w:themeColor="text1"/>
          <w:sz w:val="24"/>
          <w:szCs w:val="24"/>
          <w:bdr w:val="none" w:sz="0" w:space="0" w:color="auto" w:frame="1"/>
        </w:rPr>
      </w:pPr>
    </w:p>
    <w:p w:rsidR="000951E0" w:rsidRPr="005245BA" w:rsidRDefault="000951E0" w:rsidP="005245BA">
      <w:pPr>
        <w:pStyle w:val="NoSpacing"/>
        <w:numPr>
          <w:ilvl w:val="0"/>
          <w:numId w:val="11"/>
        </w:numPr>
        <w:spacing w:line="276" w:lineRule="auto"/>
        <w:rPr>
          <w:rStyle w:val="tx"/>
          <w:b/>
          <w:color w:val="3B3838" w:themeColor="background2" w:themeShade="40"/>
          <w:sz w:val="24"/>
          <w:szCs w:val="24"/>
          <w:bdr w:val="none" w:sz="0" w:space="0" w:color="auto" w:frame="1"/>
        </w:rPr>
      </w:pPr>
      <w:r w:rsidRPr="005245BA">
        <w:rPr>
          <w:rStyle w:val="tx"/>
          <w:b/>
          <w:color w:val="3B3838" w:themeColor="background2" w:themeShade="40"/>
          <w:sz w:val="24"/>
          <w:szCs w:val="24"/>
          <w:bdr w:val="none" w:sz="0" w:space="0" w:color="auto" w:frame="1"/>
        </w:rPr>
        <w:t>Progress Reports</w:t>
      </w:r>
    </w:p>
    <w:p w:rsidR="00106BB0" w:rsidRPr="005245BA" w:rsidRDefault="000951E0" w:rsidP="005245BA">
      <w:pPr>
        <w:pStyle w:val="NoSpacing"/>
        <w:spacing w:line="276" w:lineRule="auto"/>
        <w:rPr>
          <w:rStyle w:val="tx"/>
          <w:rFonts w:asciiTheme="majorHAnsi" w:hAnsiTheme="majorHAnsi" w:cs="Times New Roman"/>
          <w:color w:val="000000" w:themeColor="text1"/>
          <w:sz w:val="24"/>
          <w:szCs w:val="24"/>
        </w:rPr>
      </w:pPr>
      <w:r w:rsidRPr="005245BA">
        <w:rPr>
          <w:rStyle w:val="tx"/>
          <w:rFonts w:asciiTheme="majorHAnsi" w:hAnsiTheme="majorHAnsi"/>
          <w:color w:val="000000" w:themeColor="text1"/>
          <w:sz w:val="24"/>
          <w:szCs w:val="24"/>
          <w:bdr w:val="none" w:sz="0" w:space="0" w:color="auto" w:frame="1"/>
        </w:rPr>
        <w:t>The PLPs shall submit semiannual progress reports on the 15th of January and July.</w:t>
      </w:r>
    </w:p>
    <w:sectPr w:rsidR="00106BB0" w:rsidRPr="005245BA" w:rsidSect="00D66CC8">
      <w:footerReference w:type="default" r:id="rId11"/>
      <w:pgSz w:w="12240" w:h="15840"/>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D14" w:rsidRDefault="00DF5D14" w:rsidP="00D73523">
      <w:r>
        <w:separator/>
      </w:r>
    </w:p>
  </w:endnote>
  <w:endnote w:type="continuationSeparator" w:id="0">
    <w:p w:rsidR="00DF5D14" w:rsidRDefault="00DF5D14" w:rsidP="00D73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Pro-Regular">
    <w:altName w:val="Heavy Heap"/>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6CC8" w:rsidRDefault="00D66CC8" w:rsidP="00D66CC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0626449"/>
      <w:docPartObj>
        <w:docPartGallery w:val="Page Numbers (Bottom of Page)"/>
        <w:docPartUnique/>
      </w:docPartObj>
    </w:sdtPr>
    <w:sdtEndPr>
      <w:rPr>
        <w:noProof/>
      </w:rPr>
    </w:sdtEndPr>
    <w:sdtContent>
      <w:p w:rsidR="00D66CC8" w:rsidRDefault="00D66CC8" w:rsidP="00D66CC8">
        <w:pPr>
          <w:pStyle w:val="Footer"/>
          <w:jc w:val="center"/>
        </w:pPr>
        <w:r>
          <w:fldChar w:fldCharType="begin"/>
        </w:r>
        <w:r>
          <w:instrText xml:space="preserve"> PAGE   \* MERGEFORMAT </w:instrText>
        </w:r>
        <w:r>
          <w:fldChar w:fldCharType="separate"/>
        </w:r>
        <w:r w:rsidR="00902FDF">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D14" w:rsidRDefault="00DF5D14" w:rsidP="00D73523">
      <w:r>
        <w:separator/>
      </w:r>
    </w:p>
  </w:footnote>
  <w:footnote w:type="continuationSeparator" w:id="0">
    <w:p w:rsidR="00DF5D14" w:rsidRDefault="00DF5D14" w:rsidP="00D73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523" w:rsidRPr="00A80A52" w:rsidRDefault="00D73523">
    <w:pPr>
      <w:pStyle w:val="Header"/>
      <w:rPr>
        <w:sz w:val="22"/>
      </w:rPr>
    </w:pPr>
  </w:p>
  <w:p w:rsidR="00D73523" w:rsidRPr="00A80A52" w:rsidRDefault="00D73523">
    <w:pPr>
      <w:pStyle w:val="Header"/>
      <w:rPr>
        <w:sz w:val="22"/>
      </w:rPr>
    </w:pPr>
  </w:p>
  <w:p w:rsidR="00D73523" w:rsidRPr="00A80A52" w:rsidRDefault="00D73523" w:rsidP="006F4D15">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75BD4"/>
    <w:multiLevelType w:val="hybridMultilevel"/>
    <w:tmpl w:val="23AE2120"/>
    <w:lvl w:ilvl="0" w:tplc="AB60F2FE">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A23305A"/>
    <w:multiLevelType w:val="hybridMultilevel"/>
    <w:tmpl w:val="67B27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451BDF"/>
    <w:multiLevelType w:val="hybridMultilevel"/>
    <w:tmpl w:val="D42642C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15:restartNumberingAfterBreak="0">
    <w:nsid w:val="40577F57"/>
    <w:multiLevelType w:val="hybridMultilevel"/>
    <w:tmpl w:val="10284CC6"/>
    <w:lvl w:ilvl="0" w:tplc="AB60F2F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564A64"/>
    <w:multiLevelType w:val="hybridMultilevel"/>
    <w:tmpl w:val="3DFA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EA3028"/>
    <w:multiLevelType w:val="hybridMultilevel"/>
    <w:tmpl w:val="495CC844"/>
    <w:lvl w:ilvl="0" w:tplc="AB60F2FE">
      <w:start w:val="1"/>
      <w:numFmt w:val="bullet"/>
      <w:lvlText w:val=""/>
      <w:lvlJc w:val="left"/>
      <w:pPr>
        <w:ind w:left="360" w:hanging="360"/>
      </w:pPr>
      <w:rPr>
        <w:rFonts w:ascii="Symbol" w:hAnsi="Symbol" w:hint="default"/>
        <w:b w:val="0"/>
        <w:i w:val="0"/>
        <w:color w:val="0070C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7754553"/>
    <w:multiLevelType w:val="hybridMultilevel"/>
    <w:tmpl w:val="9628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F86FE6"/>
    <w:multiLevelType w:val="hybridMultilevel"/>
    <w:tmpl w:val="19124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A5057CD"/>
    <w:multiLevelType w:val="hybridMultilevel"/>
    <w:tmpl w:val="4FCCAA44"/>
    <w:lvl w:ilvl="0" w:tplc="AB60F2FE">
      <w:start w:val="1"/>
      <w:numFmt w:val="bullet"/>
      <w:lvlText w:val=""/>
      <w:lvlJc w:val="left"/>
      <w:pPr>
        <w:ind w:left="360" w:hanging="360"/>
      </w:pPr>
      <w:rPr>
        <w:rFonts w:ascii="Symbol" w:hAnsi="Symbol" w:hint="default"/>
        <w:b w:val="0"/>
        <w:i w:val="0"/>
        <w:color w:val="0070C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E5513D0"/>
    <w:multiLevelType w:val="hybridMultilevel"/>
    <w:tmpl w:val="80EAFD80"/>
    <w:lvl w:ilvl="0" w:tplc="BF1C2486">
      <w:start w:val="1"/>
      <w:numFmt w:val="bullet"/>
      <w:lvlText w:val=""/>
      <w:lvlJc w:val="left"/>
      <w:pPr>
        <w:ind w:left="360" w:hanging="360"/>
      </w:pPr>
      <w:rPr>
        <w:rFonts w:ascii="Symbol" w:hAnsi="Symbol" w:hint="default"/>
        <w:b w:val="0"/>
        <w:i w:val="0"/>
        <w:color w:val="0070C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2740E2F"/>
    <w:multiLevelType w:val="hybridMultilevel"/>
    <w:tmpl w:val="206071F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8"/>
  </w:num>
  <w:num w:numId="3">
    <w:abstractNumId w:val="5"/>
  </w:num>
  <w:num w:numId="4">
    <w:abstractNumId w:val="3"/>
  </w:num>
  <w:num w:numId="5">
    <w:abstractNumId w:val="1"/>
  </w:num>
  <w:num w:numId="6">
    <w:abstractNumId w:val="7"/>
  </w:num>
  <w:num w:numId="7">
    <w:abstractNumId w:val="0"/>
  </w:num>
  <w:num w:numId="8">
    <w:abstractNumId w:val="2"/>
  </w:num>
  <w:num w:numId="9">
    <w:abstractNumId w:val="4"/>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523"/>
    <w:rsid w:val="000352FF"/>
    <w:rsid w:val="0008082D"/>
    <w:rsid w:val="000951E0"/>
    <w:rsid w:val="000C00B0"/>
    <w:rsid w:val="00106BB0"/>
    <w:rsid w:val="00131261"/>
    <w:rsid w:val="00140BC2"/>
    <w:rsid w:val="00177019"/>
    <w:rsid w:val="001D0039"/>
    <w:rsid w:val="00222955"/>
    <w:rsid w:val="002E2386"/>
    <w:rsid w:val="00327671"/>
    <w:rsid w:val="0034139E"/>
    <w:rsid w:val="00365B50"/>
    <w:rsid w:val="00443E55"/>
    <w:rsid w:val="00463CA4"/>
    <w:rsid w:val="00465D22"/>
    <w:rsid w:val="004B3437"/>
    <w:rsid w:val="004B489B"/>
    <w:rsid w:val="004F1F9B"/>
    <w:rsid w:val="005245BA"/>
    <w:rsid w:val="00544EF1"/>
    <w:rsid w:val="00571CCC"/>
    <w:rsid w:val="005E3D84"/>
    <w:rsid w:val="00640A02"/>
    <w:rsid w:val="006D0835"/>
    <w:rsid w:val="006F4D15"/>
    <w:rsid w:val="00725872"/>
    <w:rsid w:val="007C19E8"/>
    <w:rsid w:val="007F1E87"/>
    <w:rsid w:val="00902FDF"/>
    <w:rsid w:val="009176B7"/>
    <w:rsid w:val="0095095F"/>
    <w:rsid w:val="009812CD"/>
    <w:rsid w:val="00A21579"/>
    <w:rsid w:val="00A26EA4"/>
    <w:rsid w:val="00A4436E"/>
    <w:rsid w:val="00A80A52"/>
    <w:rsid w:val="00AA149F"/>
    <w:rsid w:val="00B72821"/>
    <w:rsid w:val="00C27BA0"/>
    <w:rsid w:val="00C7121A"/>
    <w:rsid w:val="00C82747"/>
    <w:rsid w:val="00CB3163"/>
    <w:rsid w:val="00CB7825"/>
    <w:rsid w:val="00CD7728"/>
    <w:rsid w:val="00CE71E4"/>
    <w:rsid w:val="00D058EB"/>
    <w:rsid w:val="00D13EC5"/>
    <w:rsid w:val="00D17ED8"/>
    <w:rsid w:val="00D415C4"/>
    <w:rsid w:val="00D61A9A"/>
    <w:rsid w:val="00D66CC8"/>
    <w:rsid w:val="00D73523"/>
    <w:rsid w:val="00D9321B"/>
    <w:rsid w:val="00DA7CAB"/>
    <w:rsid w:val="00DF5D14"/>
    <w:rsid w:val="00DF6EEC"/>
    <w:rsid w:val="00E64512"/>
    <w:rsid w:val="00E709AA"/>
    <w:rsid w:val="00E76E97"/>
    <w:rsid w:val="00EB7DC8"/>
    <w:rsid w:val="00EC3E50"/>
    <w:rsid w:val="00F21447"/>
    <w:rsid w:val="00F22FBE"/>
    <w:rsid w:val="00F76E4B"/>
    <w:rsid w:val="00F81194"/>
    <w:rsid w:val="00F85B97"/>
    <w:rsid w:val="00FD3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F3791B"/>
  <w15:chartTrackingRefBased/>
  <w15:docId w15:val="{C5CB4573-79DB-4BBD-802D-B05D2F80D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21579"/>
    <w:pPr>
      <w:widowControl w:val="0"/>
      <w:spacing w:after="0" w:line="24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3523"/>
    <w:pPr>
      <w:tabs>
        <w:tab w:val="center" w:pos="4680"/>
        <w:tab w:val="right" w:pos="9360"/>
      </w:tabs>
    </w:pPr>
  </w:style>
  <w:style w:type="character" w:customStyle="1" w:styleId="HeaderChar">
    <w:name w:val="Header Char"/>
    <w:basedOn w:val="DefaultParagraphFont"/>
    <w:link w:val="Header"/>
    <w:uiPriority w:val="99"/>
    <w:rsid w:val="00D73523"/>
    <w:rPr>
      <w:rFonts w:ascii="Times New Roman" w:hAnsi="Times New Roman"/>
      <w:sz w:val="24"/>
    </w:rPr>
  </w:style>
  <w:style w:type="paragraph" w:styleId="Footer">
    <w:name w:val="footer"/>
    <w:basedOn w:val="Normal"/>
    <w:link w:val="FooterChar"/>
    <w:uiPriority w:val="99"/>
    <w:unhideWhenUsed/>
    <w:rsid w:val="00D73523"/>
    <w:pPr>
      <w:tabs>
        <w:tab w:val="center" w:pos="4680"/>
        <w:tab w:val="right" w:pos="9360"/>
      </w:tabs>
    </w:pPr>
  </w:style>
  <w:style w:type="character" w:customStyle="1" w:styleId="FooterChar">
    <w:name w:val="Footer Char"/>
    <w:basedOn w:val="DefaultParagraphFont"/>
    <w:link w:val="Footer"/>
    <w:uiPriority w:val="99"/>
    <w:rsid w:val="00D73523"/>
    <w:rPr>
      <w:rFonts w:ascii="Times New Roman" w:hAnsi="Times New Roman"/>
      <w:sz w:val="24"/>
    </w:rPr>
  </w:style>
  <w:style w:type="table" w:styleId="TableGrid">
    <w:name w:val="Table Grid"/>
    <w:basedOn w:val="TableNormal"/>
    <w:uiPriority w:val="39"/>
    <w:rsid w:val="00D735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rsid w:val="00A80A52"/>
    <w:pPr>
      <w:widowControl/>
      <w:spacing w:line="288" w:lineRule="auto"/>
    </w:pPr>
    <w:rPr>
      <w:rFonts w:ascii="MinionPro-Regular" w:eastAsia="Times New Roman" w:hAnsi="MinionPro-Regular" w:cs="Times New Roman"/>
      <w:color w:val="000000"/>
      <w:kern w:val="28"/>
      <w:szCs w:val="24"/>
      <w14:ligatures w14:val="standard"/>
      <w14:cntxtAlts/>
    </w:rPr>
  </w:style>
  <w:style w:type="character" w:styleId="Hyperlink">
    <w:name w:val="Hyperlink"/>
    <w:basedOn w:val="DefaultParagraphFont"/>
    <w:uiPriority w:val="99"/>
    <w:unhideWhenUsed/>
    <w:rsid w:val="00A4436E"/>
    <w:rPr>
      <w:color w:val="085296"/>
      <w:u w:val="single"/>
    </w:rPr>
  </w:style>
  <w:style w:type="paragraph" w:customStyle="1" w:styleId="Bodytitle">
    <w:name w:val="Body title"/>
    <w:basedOn w:val="Normal"/>
    <w:rsid w:val="00A4436E"/>
    <w:pPr>
      <w:widowControl/>
      <w:spacing w:line="288" w:lineRule="auto"/>
    </w:pPr>
    <w:rPr>
      <w:rFonts w:ascii="Century Gothic" w:eastAsia="Times New Roman" w:hAnsi="Century Gothic" w:cs="Times New Roman"/>
      <w:b/>
      <w:bCs/>
      <w:color w:val="000000"/>
      <w:kern w:val="28"/>
      <w:sz w:val="26"/>
      <w:szCs w:val="26"/>
      <w14:ligatures w14:val="standard"/>
      <w14:cntxtAlts/>
    </w:rPr>
  </w:style>
  <w:style w:type="paragraph" w:styleId="BlockText">
    <w:name w:val="Block Text"/>
    <w:basedOn w:val="Normal"/>
    <w:uiPriority w:val="2"/>
    <w:unhideWhenUsed/>
    <w:qFormat/>
    <w:rsid w:val="00D61A9A"/>
    <w:pPr>
      <w:widowControl/>
      <w:spacing w:after="160" w:line="252" w:lineRule="auto"/>
      <w:ind w:left="504" w:right="504"/>
    </w:pPr>
    <w:rPr>
      <w:rFonts w:asciiTheme="minorHAnsi" w:hAnsiTheme="minorHAnsi"/>
      <w:color w:val="FFFFFF" w:themeColor="background1"/>
      <w:kern w:val="2"/>
      <w:sz w:val="22"/>
      <w:lang w:eastAsia="ja-JP"/>
      <w14:ligatures w14:val="standard"/>
    </w:rPr>
  </w:style>
  <w:style w:type="paragraph" w:styleId="ListParagraph">
    <w:name w:val="List Paragraph"/>
    <w:basedOn w:val="Normal"/>
    <w:uiPriority w:val="34"/>
    <w:qFormat/>
    <w:rsid w:val="00F21447"/>
    <w:pPr>
      <w:ind w:left="720"/>
      <w:contextualSpacing/>
    </w:pPr>
  </w:style>
  <w:style w:type="paragraph" w:customStyle="1" w:styleId="paragraph">
    <w:name w:val="paragraph"/>
    <w:basedOn w:val="Normal"/>
    <w:uiPriority w:val="99"/>
    <w:rsid w:val="004F1F9B"/>
    <w:pPr>
      <w:widowControl/>
    </w:pPr>
    <w:rPr>
      <w:rFonts w:cs="Times New Roman"/>
      <w:szCs w:val="24"/>
    </w:rPr>
  </w:style>
  <w:style w:type="character" w:customStyle="1" w:styleId="spellingerror">
    <w:name w:val="spellingerror"/>
    <w:basedOn w:val="DefaultParagraphFont"/>
    <w:rsid w:val="004F1F9B"/>
  </w:style>
  <w:style w:type="character" w:customStyle="1" w:styleId="normaltextrun">
    <w:name w:val="normaltextrun"/>
    <w:basedOn w:val="DefaultParagraphFont"/>
    <w:rsid w:val="004F1F9B"/>
  </w:style>
  <w:style w:type="character" w:customStyle="1" w:styleId="eop">
    <w:name w:val="eop"/>
    <w:basedOn w:val="DefaultParagraphFont"/>
    <w:rsid w:val="004F1F9B"/>
  </w:style>
  <w:style w:type="paragraph" w:customStyle="1" w:styleId="Default">
    <w:name w:val="Default"/>
    <w:rsid w:val="00E64512"/>
    <w:pPr>
      <w:autoSpaceDE w:val="0"/>
      <w:autoSpaceDN w:val="0"/>
      <w:adjustRightInd w:val="0"/>
      <w:spacing w:after="0" w:line="240" w:lineRule="auto"/>
    </w:pPr>
    <w:rPr>
      <w:rFonts w:ascii="Calibri" w:hAnsi="Calibri" w:cs="Calibri"/>
      <w:color w:val="000000"/>
      <w:sz w:val="24"/>
      <w:szCs w:val="24"/>
    </w:rPr>
  </w:style>
  <w:style w:type="character" w:customStyle="1" w:styleId="tx">
    <w:name w:val="tx"/>
    <w:basedOn w:val="DefaultParagraphFont"/>
    <w:rsid w:val="00106BB0"/>
  </w:style>
  <w:style w:type="paragraph" w:styleId="NoSpacing">
    <w:name w:val="No Spacing"/>
    <w:uiPriority w:val="1"/>
    <w:qFormat/>
    <w:rsid w:val="00106BB0"/>
    <w:pPr>
      <w:spacing w:after="0" w:line="240" w:lineRule="auto"/>
    </w:pPr>
    <w:rPr>
      <w:lang w:val="en-CA"/>
    </w:rPr>
  </w:style>
  <w:style w:type="character" w:styleId="CommentReference">
    <w:name w:val="annotation reference"/>
    <w:basedOn w:val="DefaultParagraphFont"/>
    <w:uiPriority w:val="99"/>
    <w:semiHidden/>
    <w:unhideWhenUsed/>
    <w:rsid w:val="0034139E"/>
    <w:rPr>
      <w:sz w:val="16"/>
      <w:szCs w:val="16"/>
    </w:rPr>
  </w:style>
  <w:style w:type="paragraph" w:styleId="CommentText">
    <w:name w:val="annotation text"/>
    <w:basedOn w:val="Normal"/>
    <w:link w:val="CommentTextChar"/>
    <w:uiPriority w:val="99"/>
    <w:semiHidden/>
    <w:unhideWhenUsed/>
    <w:rsid w:val="0034139E"/>
    <w:rPr>
      <w:sz w:val="20"/>
      <w:szCs w:val="20"/>
    </w:rPr>
  </w:style>
  <w:style w:type="character" w:customStyle="1" w:styleId="CommentTextChar">
    <w:name w:val="Comment Text Char"/>
    <w:basedOn w:val="DefaultParagraphFont"/>
    <w:link w:val="CommentText"/>
    <w:uiPriority w:val="99"/>
    <w:semiHidden/>
    <w:rsid w:val="0034139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4139E"/>
    <w:rPr>
      <w:b/>
      <w:bCs/>
    </w:rPr>
  </w:style>
  <w:style w:type="character" w:customStyle="1" w:styleId="CommentSubjectChar">
    <w:name w:val="Comment Subject Char"/>
    <w:basedOn w:val="CommentTextChar"/>
    <w:link w:val="CommentSubject"/>
    <w:uiPriority w:val="99"/>
    <w:semiHidden/>
    <w:rsid w:val="0034139E"/>
    <w:rPr>
      <w:rFonts w:ascii="Times New Roman" w:hAnsi="Times New Roman"/>
      <w:b/>
      <w:bCs/>
      <w:sz w:val="20"/>
      <w:szCs w:val="20"/>
    </w:rPr>
  </w:style>
  <w:style w:type="paragraph" w:styleId="BalloonText">
    <w:name w:val="Balloon Text"/>
    <w:basedOn w:val="Normal"/>
    <w:link w:val="BalloonTextChar"/>
    <w:uiPriority w:val="99"/>
    <w:semiHidden/>
    <w:unhideWhenUsed/>
    <w:rsid w:val="00341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3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44096">
      <w:bodyDiv w:val="1"/>
      <w:marLeft w:val="0"/>
      <w:marRight w:val="0"/>
      <w:marTop w:val="0"/>
      <w:marBottom w:val="0"/>
      <w:divBdr>
        <w:top w:val="none" w:sz="0" w:space="0" w:color="auto"/>
        <w:left w:val="none" w:sz="0" w:space="0" w:color="auto"/>
        <w:bottom w:val="none" w:sz="0" w:space="0" w:color="auto"/>
        <w:right w:val="none" w:sz="0" w:space="0" w:color="auto"/>
      </w:divBdr>
    </w:div>
    <w:div w:id="211307156">
      <w:bodyDiv w:val="1"/>
      <w:marLeft w:val="0"/>
      <w:marRight w:val="0"/>
      <w:marTop w:val="0"/>
      <w:marBottom w:val="0"/>
      <w:divBdr>
        <w:top w:val="none" w:sz="0" w:space="0" w:color="auto"/>
        <w:left w:val="none" w:sz="0" w:space="0" w:color="auto"/>
        <w:bottom w:val="none" w:sz="0" w:space="0" w:color="auto"/>
        <w:right w:val="none" w:sz="0" w:space="0" w:color="auto"/>
      </w:divBdr>
    </w:div>
    <w:div w:id="291637497">
      <w:bodyDiv w:val="1"/>
      <w:marLeft w:val="0"/>
      <w:marRight w:val="0"/>
      <w:marTop w:val="0"/>
      <w:marBottom w:val="0"/>
      <w:divBdr>
        <w:top w:val="none" w:sz="0" w:space="0" w:color="auto"/>
        <w:left w:val="none" w:sz="0" w:space="0" w:color="auto"/>
        <w:bottom w:val="none" w:sz="0" w:space="0" w:color="auto"/>
        <w:right w:val="none" w:sz="0" w:space="0" w:color="auto"/>
      </w:divBdr>
    </w:div>
    <w:div w:id="617881922">
      <w:bodyDiv w:val="1"/>
      <w:marLeft w:val="0"/>
      <w:marRight w:val="0"/>
      <w:marTop w:val="0"/>
      <w:marBottom w:val="0"/>
      <w:divBdr>
        <w:top w:val="none" w:sz="0" w:space="0" w:color="auto"/>
        <w:left w:val="none" w:sz="0" w:space="0" w:color="auto"/>
        <w:bottom w:val="none" w:sz="0" w:space="0" w:color="auto"/>
        <w:right w:val="none" w:sz="0" w:space="0" w:color="auto"/>
      </w:divBdr>
    </w:div>
    <w:div w:id="663631370">
      <w:bodyDiv w:val="1"/>
      <w:marLeft w:val="0"/>
      <w:marRight w:val="0"/>
      <w:marTop w:val="0"/>
      <w:marBottom w:val="0"/>
      <w:divBdr>
        <w:top w:val="none" w:sz="0" w:space="0" w:color="auto"/>
        <w:left w:val="none" w:sz="0" w:space="0" w:color="auto"/>
        <w:bottom w:val="none" w:sz="0" w:space="0" w:color="auto"/>
        <w:right w:val="none" w:sz="0" w:space="0" w:color="auto"/>
      </w:divBdr>
    </w:div>
    <w:div w:id="749161031">
      <w:bodyDiv w:val="1"/>
      <w:marLeft w:val="0"/>
      <w:marRight w:val="0"/>
      <w:marTop w:val="0"/>
      <w:marBottom w:val="0"/>
      <w:divBdr>
        <w:top w:val="none" w:sz="0" w:space="0" w:color="auto"/>
        <w:left w:val="none" w:sz="0" w:space="0" w:color="auto"/>
        <w:bottom w:val="none" w:sz="0" w:space="0" w:color="auto"/>
        <w:right w:val="none" w:sz="0" w:space="0" w:color="auto"/>
      </w:divBdr>
    </w:div>
    <w:div w:id="751197989">
      <w:bodyDiv w:val="1"/>
      <w:marLeft w:val="0"/>
      <w:marRight w:val="0"/>
      <w:marTop w:val="0"/>
      <w:marBottom w:val="0"/>
      <w:divBdr>
        <w:top w:val="none" w:sz="0" w:space="0" w:color="auto"/>
        <w:left w:val="none" w:sz="0" w:space="0" w:color="auto"/>
        <w:bottom w:val="none" w:sz="0" w:space="0" w:color="auto"/>
        <w:right w:val="none" w:sz="0" w:space="0" w:color="auto"/>
      </w:divBdr>
    </w:div>
    <w:div w:id="1259673995">
      <w:bodyDiv w:val="1"/>
      <w:marLeft w:val="0"/>
      <w:marRight w:val="0"/>
      <w:marTop w:val="0"/>
      <w:marBottom w:val="0"/>
      <w:divBdr>
        <w:top w:val="none" w:sz="0" w:space="0" w:color="auto"/>
        <w:left w:val="none" w:sz="0" w:space="0" w:color="auto"/>
        <w:bottom w:val="none" w:sz="0" w:space="0" w:color="auto"/>
        <w:right w:val="none" w:sz="0" w:space="0" w:color="auto"/>
      </w:divBdr>
    </w:div>
    <w:div w:id="1518423073">
      <w:bodyDiv w:val="1"/>
      <w:marLeft w:val="0"/>
      <w:marRight w:val="0"/>
      <w:marTop w:val="0"/>
      <w:marBottom w:val="0"/>
      <w:divBdr>
        <w:top w:val="none" w:sz="0" w:space="0" w:color="auto"/>
        <w:left w:val="none" w:sz="0" w:space="0" w:color="auto"/>
        <w:bottom w:val="none" w:sz="0" w:space="0" w:color="auto"/>
        <w:right w:val="none" w:sz="0" w:space="0" w:color="auto"/>
      </w:divBdr>
    </w:div>
    <w:div w:id="165263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503</Words>
  <Characters>2869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Perfluorinated Compounds</vt:lpstr>
    </vt:vector>
  </TitlesOfParts>
  <Company>WA Department of Ecology</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Perfluorinated Compounds</dc:title>
  <dc:subject>PFASs</dc:subject>
  <dc:creator>Andrew Wineke</dc:creator>
  <cp:keywords>toxic chemicals perfluorinated poly fluorinated alkyl compounds</cp:keywords>
  <dc:description/>
  <cp:lastModifiedBy>Administrator</cp:lastModifiedBy>
  <cp:revision>4</cp:revision>
  <cp:lastPrinted>2016-11-30T17:51:00Z</cp:lastPrinted>
  <dcterms:created xsi:type="dcterms:W3CDTF">2017-02-16T19:32:00Z</dcterms:created>
  <dcterms:modified xsi:type="dcterms:W3CDTF">2017-02-16T20:07:00Z</dcterms:modified>
</cp:coreProperties>
</file>