
<file path=[Content_Types].xml><?xml version="1.0" encoding="utf-8"?>
<Types xmlns="http://schemas.openxmlformats.org/package/2006/content-types">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02B7E" w:rsidRPr="009570C4" w:rsidRDefault="00F02B7E" w:rsidP="0024789D">
      <w:pPr>
        <w:jc w:val="center"/>
        <w:rPr>
          <w:b/>
          <w:u w:val="single"/>
        </w:rPr>
      </w:pPr>
      <w:bookmarkStart w:id="0" w:name="_GoBack"/>
      <w:bookmarkEnd w:id="0"/>
    </w:p>
    <w:p w:rsidR="00F02B7E" w:rsidRDefault="00F02B7E" w:rsidP="00F02B7E">
      <w:pPr>
        <w:rPr>
          <w:b/>
        </w:rPr>
      </w:pPr>
    </w:p>
    <w:p w:rsidR="00F02B7E" w:rsidRDefault="00F02B7E"/>
    <w:p w:rsidR="00F02B7E" w:rsidRDefault="00F02B7E"/>
    <w:p w:rsidR="00F02B7E" w:rsidRDefault="00F02B7E"/>
    <w:p w:rsidR="00F02B7E" w:rsidRDefault="00F02B7E"/>
    <w:p w:rsidR="00F02B7E" w:rsidRDefault="00A34834">
      <w:pPr>
        <w:jc w:val="center"/>
      </w:pPr>
      <w:r>
        <w:rPr>
          <w:noProof/>
        </w:rPr>
        <w:drawing>
          <wp:inline distT="0" distB="0" distL="0" distR="0">
            <wp:extent cx="2876550" cy="742950"/>
            <wp:effectExtent l="19050" t="0" r="0" b="0"/>
            <wp:docPr id="1" name="Picture 1" descr="ECOLOGO_W-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LOGO_W-C"/>
                    <pic:cNvPicPr>
                      <a:picLocks noChangeAspect="1" noChangeArrowheads="1"/>
                    </pic:cNvPicPr>
                  </pic:nvPicPr>
                  <pic:blipFill>
                    <a:blip r:embed="rId8" cstate="print"/>
                    <a:srcRect/>
                    <a:stretch>
                      <a:fillRect/>
                    </a:stretch>
                  </pic:blipFill>
                  <pic:spPr bwMode="auto">
                    <a:xfrm>
                      <a:off x="0" y="0"/>
                      <a:ext cx="2876550" cy="742950"/>
                    </a:xfrm>
                    <a:prstGeom prst="rect">
                      <a:avLst/>
                    </a:prstGeom>
                    <a:noFill/>
                    <a:ln w="9525">
                      <a:noFill/>
                      <a:miter lim="800000"/>
                      <a:headEnd/>
                      <a:tailEnd/>
                    </a:ln>
                  </pic:spPr>
                </pic:pic>
              </a:graphicData>
            </a:graphic>
          </wp:inline>
        </w:drawing>
      </w:r>
    </w:p>
    <w:p w:rsidR="00F02B7E" w:rsidRDefault="00F02B7E">
      <w:pPr>
        <w:jc w:val="center"/>
      </w:pPr>
    </w:p>
    <w:p w:rsidR="00F02B7E" w:rsidRDefault="00F02B7E">
      <w:pPr>
        <w:jc w:val="center"/>
      </w:pPr>
    </w:p>
    <w:p w:rsidR="00F02B7E" w:rsidRDefault="00F02B7E">
      <w:pPr>
        <w:jc w:val="center"/>
      </w:pPr>
    </w:p>
    <w:p w:rsidR="00F02B7E" w:rsidRDefault="00F02B7E">
      <w:pPr>
        <w:jc w:val="center"/>
      </w:pPr>
    </w:p>
    <w:p w:rsidR="00F02B7E" w:rsidRDefault="00F02B7E" w:rsidP="007807A4"/>
    <w:p w:rsidR="00F02B7E" w:rsidRDefault="00F02B7E">
      <w:pPr>
        <w:jc w:val="center"/>
      </w:pPr>
    </w:p>
    <w:p w:rsidR="00F02B7E" w:rsidRDefault="00F02B7E">
      <w:pPr>
        <w:jc w:val="center"/>
      </w:pPr>
    </w:p>
    <w:p w:rsidR="00F02B7E" w:rsidRDefault="001633D6" w:rsidP="004E6062">
      <w:pPr>
        <w:jc w:val="center"/>
        <w:rPr>
          <w:b/>
          <w:bCs/>
          <w:sz w:val="36"/>
        </w:rPr>
      </w:pPr>
      <w:r>
        <w:rPr>
          <w:b/>
          <w:bCs/>
          <w:sz w:val="36"/>
        </w:rPr>
        <w:t>PERIODIC</w:t>
      </w:r>
      <w:r w:rsidR="00F02B7E" w:rsidRPr="004E6062">
        <w:rPr>
          <w:b/>
          <w:bCs/>
          <w:sz w:val="36"/>
        </w:rPr>
        <w:t xml:space="preserve"> REVIEW</w:t>
      </w:r>
      <w:r w:rsidR="00525225">
        <w:rPr>
          <w:b/>
          <w:bCs/>
          <w:sz w:val="36"/>
        </w:rPr>
        <w:t xml:space="preserve"> REPORT</w:t>
      </w:r>
    </w:p>
    <w:p w:rsidR="00525225" w:rsidRPr="004E6062" w:rsidRDefault="002C2456" w:rsidP="004E6062">
      <w:pPr>
        <w:jc w:val="center"/>
        <w:rPr>
          <w:b/>
          <w:bCs/>
          <w:sz w:val="36"/>
        </w:rPr>
      </w:pPr>
      <w:r>
        <w:rPr>
          <w:b/>
          <w:bCs/>
          <w:sz w:val="36"/>
        </w:rPr>
        <w:t>FINAL</w:t>
      </w:r>
    </w:p>
    <w:p w:rsidR="00F02B7E" w:rsidRPr="00963B68" w:rsidRDefault="00F02B7E">
      <w:pPr>
        <w:jc w:val="center"/>
        <w:rPr>
          <w:sz w:val="32"/>
          <w:szCs w:val="32"/>
        </w:rPr>
      </w:pPr>
    </w:p>
    <w:p w:rsidR="00247C30" w:rsidRPr="00963B68" w:rsidRDefault="00247C30">
      <w:pPr>
        <w:jc w:val="center"/>
        <w:rPr>
          <w:b/>
          <w:sz w:val="36"/>
        </w:rPr>
      </w:pPr>
    </w:p>
    <w:p w:rsidR="00F02B7E" w:rsidRDefault="00945D36">
      <w:pPr>
        <w:jc w:val="center"/>
        <w:rPr>
          <w:rFonts w:ascii="CG Times (W1)" w:hAnsi="CG Times (W1)"/>
          <w:b/>
          <w:sz w:val="36"/>
        </w:rPr>
      </w:pPr>
      <w:r>
        <w:rPr>
          <w:rFonts w:ascii="CG Times (W1)" w:hAnsi="CG Times (W1)"/>
          <w:b/>
          <w:sz w:val="36"/>
        </w:rPr>
        <w:t>BPA TACOMA OCCIDENTAL SLUDGE</w:t>
      </w:r>
    </w:p>
    <w:p w:rsidR="00805501" w:rsidRPr="00805501" w:rsidRDefault="007807A4" w:rsidP="00805501">
      <w:pPr>
        <w:jc w:val="center"/>
        <w:rPr>
          <w:rFonts w:ascii="CG Times (W1)" w:hAnsi="CG Times (W1)"/>
          <w:b/>
          <w:sz w:val="36"/>
        </w:rPr>
      </w:pPr>
      <w:r>
        <w:rPr>
          <w:rFonts w:ascii="CG Times (W1)" w:hAnsi="CG Times (W1)"/>
          <w:b/>
          <w:sz w:val="36"/>
        </w:rPr>
        <w:t>F</w:t>
      </w:r>
      <w:r w:rsidR="002B2C14">
        <w:rPr>
          <w:rFonts w:ascii="CG Times (W1)" w:hAnsi="CG Times (W1)"/>
          <w:b/>
          <w:sz w:val="36"/>
        </w:rPr>
        <w:t xml:space="preserve">acility </w:t>
      </w:r>
      <w:r>
        <w:rPr>
          <w:rFonts w:ascii="CG Times (W1)" w:hAnsi="CG Times (W1)"/>
          <w:b/>
          <w:sz w:val="36"/>
        </w:rPr>
        <w:t>S</w:t>
      </w:r>
      <w:r w:rsidR="002B2C14">
        <w:rPr>
          <w:rFonts w:ascii="CG Times (W1)" w:hAnsi="CG Times (W1)"/>
          <w:b/>
          <w:sz w:val="36"/>
        </w:rPr>
        <w:t>ite</w:t>
      </w:r>
      <w:r>
        <w:rPr>
          <w:rFonts w:ascii="CG Times (W1)" w:hAnsi="CG Times (W1)"/>
          <w:b/>
          <w:sz w:val="36"/>
        </w:rPr>
        <w:t xml:space="preserve"> ID#: </w:t>
      </w:r>
      <w:r w:rsidR="00945D36">
        <w:rPr>
          <w:rFonts w:ascii="CG Times (W1)" w:hAnsi="CG Times (W1)"/>
          <w:b/>
          <w:sz w:val="36"/>
        </w:rPr>
        <w:t>1262</w:t>
      </w:r>
    </w:p>
    <w:p w:rsidR="00F02B7E" w:rsidRDefault="00F02B7E">
      <w:pPr>
        <w:jc w:val="center"/>
      </w:pPr>
    </w:p>
    <w:p w:rsidR="007807A4" w:rsidRPr="00963B68" w:rsidRDefault="007807A4">
      <w:pPr>
        <w:jc w:val="center"/>
      </w:pPr>
    </w:p>
    <w:p w:rsidR="00872669" w:rsidRDefault="00945D36" w:rsidP="00195D2F">
      <w:pPr>
        <w:jc w:val="center"/>
        <w:rPr>
          <w:rFonts w:ascii="CG Times (W1)" w:hAnsi="CG Times (W1)"/>
          <w:b/>
          <w:sz w:val="32"/>
          <w:szCs w:val="32"/>
        </w:rPr>
      </w:pPr>
      <w:r>
        <w:rPr>
          <w:rFonts w:ascii="CG Times (W1)" w:hAnsi="CG Times (W1)"/>
          <w:b/>
          <w:sz w:val="32"/>
          <w:szCs w:val="32"/>
        </w:rPr>
        <w:t>Taylor Way &amp; E West Road</w:t>
      </w:r>
      <w:r w:rsidR="00872669">
        <w:rPr>
          <w:rFonts w:ascii="CG Times (W1)" w:hAnsi="CG Times (W1)"/>
          <w:b/>
          <w:sz w:val="32"/>
          <w:szCs w:val="32"/>
        </w:rPr>
        <w:t xml:space="preserve"> </w:t>
      </w:r>
    </w:p>
    <w:p w:rsidR="00963B68" w:rsidRPr="00963B68" w:rsidRDefault="00945D36" w:rsidP="00195D2F">
      <w:pPr>
        <w:jc w:val="center"/>
      </w:pPr>
      <w:r>
        <w:rPr>
          <w:rFonts w:ascii="CG Times (W1)" w:hAnsi="CG Times (W1)"/>
          <w:b/>
          <w:sz w:val="32"/>
          <w:szCs w:val="32"/>
        </w:rPr>
        <w:t>Tacoma</w:t>
      </w:r>
      <w:r w:rsidR="00BE164E">
        <w:rPr>
          <w:rFonts w:ascii="CG Times (W1)" w:hAnsi="CG Times (W1)"/>
          <w:b/>
          <w:sz w:val="32"/>
          <w:szCs w:val="32"/>
        </w:rPr>
        <w:t>, WA 98</w:t>
      </w:r>
      <w:r>
        <w:rPr>
          <w:rFonts w:ascii="CG Times (W1)" w:hAnsi="CG Times (W1)"/>
          <w:b/>
          <w:sz w:val="32"/>
          <w:szCs w:val="32"/>
        </w:rPr>
        <w:t>421-3505</w:t>
      </w:r>
    </w:p>
    <w:p w:rsidR="00F02B7E" w:rsidRPr="00963B68" w:rsidRDefault="00F02B7E"/>
    <w:p w:rsidR="00F02B7E" w:rsidRPr="00963B68" w:rsidRDefault="00F02B7E"/>
    <w:p w:rsidR="00F02B7E" w:rsidRPr="00963B68" w:rsidRDefault="00F02B7E"/>
    <w:p w:rsidR="00F02B7E" w:rsidRPr="00963B68" w:rsidRDefault="00F02B7E"/>
    <w:p w:rsidR="00F02B7E" w:rsidRPr="00963B68" w:rsidRDefault="00F02B7E"/>
    <w:p w:rsidR="00F02B7E" w:rsidRPr="00963B68" w:rsidRDefault="00F02B7E"/>
    <w:p w:rsidR="00F02B7E" w:rsidRPr="00963B68" w:rsidRDefault="00F02B7E"/>
    <w:p w:rsidR="00195D2F" w:rsidRPr="00963B68" w:rsidRDefault="00E152C7" w:rsidP="00195D2F">
      <w:pPr>
        <w:jc w:val="center"/>
        <w:rPr>
          <w:b/>
          <w:sz w:val="28"/>
          <w:szCs w:val="28"/>
        </w:rPr>
      </w:pPr>
      <w:r>
        <w:rPr>
          <w:b/>
          <w:sz w:val="28"/>
          <w:szCs w:val="28"/>
        </w:rPr>
        <w:t>Southwest</w:t>
      </w:r>
      <w:r w:rsidR="00963B68" w:rsidRPr="00963B68">
        <w:rPr>
          <w:b/>
          <w:sz w:val="28"/>
          <w:szCs w:val="28"/>
        </w:rPr>
        <w:t xml:space="preserve"> Region Office</w:t>
      </w:r>
    </w:p>
    <w:p w:rsidR="00F02B7E" w:rsidRPr="00963B68" w:rsidRDefault="00F02B7E">
      <w:pPr>
        <w:jc w:val="center"/>
        <w:rPr>
          <w:b/>
          <w:sz w:val="28"/>
        </w:rPr>
      </w:pPr>
    </w:p>
    <w:p w:rsidR="00F02B7E" w:rsidRPr="00963B68" w:rsidRDefault="00F02B7E">
      <w:pPr>
        <w:jc w:val="center"/>
        <w:rPr>
          <w:b/>
          <w:sz w:val="28"/>
        </w:rPr>
      </w:pPr>
      <w:r w:rsidRPr="00963B68">
        <w:rPr>
          <w:b/>
          <w:sz w:val="28"/>
        </w:rPr>
        <w:t>TOXICS CLEANUP PROGRAM</w:t>
      </w:r>
    </w:p>
    <w:p w:rsidR="00F02B7E" w:rsidRPr="00963B68" w:rsidRDefault="00F02B7E">
      <w:pPr>
        <w:jc w:val="center"/>
        <w:rPr>
          <w:b/>
          <w:sz w:val="28"/>
        </w:rPr>
      </w:pPr>
    </w:p>
    <w:p w:rsidR="002A78E6" w:rsidRDefault="002C2456" w:rsidP="0058750F">
      <w:pPr>
        <w:tabs>
          <w:tab w:val="left" w:pos="540"/>
          <w:tab w:val="left" w:pos="900"/>
          <w:tab w:val="left" w:pos="9180"/>
        </w:tabs>
        <w:jc w:val="center"/>
        <w:rPr>
          <w:noProof/>
        </w:rPr>
      </w:pPr>
      <w:r>
        <w:rPr>
          <w:b/>
          <w:sz w:val="28"/>
        </w:rPr>
        <w:t>March</w:t>
      </w:r>
      <w:r w:rsidR="00BE164E">
        <w:rPr>
          <w:b/>
          <w:sz w:val="28"/>
        </w:rPr>
        <w:t xml:space="preserve"> 201</w:t>
      </w:r>
      <w:r w:rsidR="003737AA">
        <w:rPr>
          <w:b/>
          <w:sz w:val="28"/>
        </w:rPr>
        <w:t>5</w:t>
      </w:r>
      <w:r w:rsidR="009A3B06">
        <w:br w:type="page"/>
      </w:r>
    </w:p>
    <w:p w:rsidR="001927FA" w:rsidRPr="001927FA" w:rsidRDefault="001927FA" w:rsidP="001927FA">
      <w:pPr>
        <w:jc w:val="center"/>
        <w:rPr>
          <w:b/>
          <w:sz w:val="28"/>
          <w:szCs w:val="28"/>
          <w:u w:val="single"/>
        </w:rPr>
      </w:pPr>
      <w:r>
        <w:rPr>
          <w:b/>
          <w:sz w:val="28"/>
          <w:szCs w:val="28"/>
          <w:u w:val="single"/>
        </w:rPr>
        <w:lastRenderedPageBreak/>
        <w:t>TABLE OF CONTENTS</w:t>
      </w:r>
    </w:p>
    <w:p w:rsidR="001927FA" w:rsidRDefault="001927FA" w:rsidP="001927FA"/>
    <w:p w:rsidR="001927FA" w:rsidRDefault="001927FA" w:rsidP="001927FA">
      <w:pPr>
        <w:pStyle w:val="TOC1"/>
      </w:pPr>
    </w:p>
    <w:p w:rsidR="002A78E6" w:rsidRDefault="002A78E6" w:rsidP="001927FA">
      <w:pPr>
        <w:pStyle w:val="TOC1"/>
        <w:rPr>
          <w:rFonts w:ascii="Calibri" w:hAnsi="Calibri" w:cs="Times New Roman"/>
          <w:sz w:val="22"/>
          <w:szCs w:val="22"/>
        </w:rPr>
      </w:pPr>
      <w:r w:rsidRPr="001927FA">
        <w:t>1.0</w:t>
      </w:r>
      <w:r>
        <w:rPr>
          <w:rFonts w:ascii="Calibri" w:hAnsi="Calibri" w:cs="Times New Roman"/>
          <w:sz w:val="22"/>
          <w:szCs w:val="22"/>
        </w:rPr>
        <w:tab/>
      </w:r>
      <w:r w:rsidRPr="001927FA">
        <w:t>INTRODUCTION</w:t>
      </w:r>
      <w:r>
        <w:rPr>
          <w:webHidden/>
        </w:rPr>
        <w:tab/>
      </w:r>
      <w:r w:rsidR="00456062">
        <w:rPr>
          <w:webHidden/>
        </w:rPr>
        <w:t>3</w:t>
      </w:r>
    </w:p>
    <w:p w:rsidR="001927FA" w:rsidRDefault="001927FA" w:rsidP="001927FA">
      <w:pPr>
        <w:pStyle w:val="TOC1"/>
      </w:pPr>
    </w:p>
    <w:p w:rsidR="002A78E6" w:rsidRDefault="002A78E6" w:rsidP="001927FA">
      <w:pPr>
        <w:pStyle w:val="TOC1"/>
        <w:rPr>
          <w:webHidden/>
        </w:rPr>
      </w:pPr>
      <w:r w:rsidRPr="001927FA">
        <w:t>2.0</w:t>
      </w:r>
      <w:r>
        <w:rPr>
          <w:rFonts w:ascii="Calibri" w:hAnsi="Calibri" w:cs="Times New Roman"/>
          <w:sz w:val="22"/>
          <w:szCs w:val="22"/>
        </w:rPr>
        <w:tab/>
      </w:r>
      <w:r w:rsidRPr="001927FA">
        <w:t>SUMMARY OF SITE CONDITIONS</w:t>
      </w:r>
      <w:r>
        <w:rPr>
          <w:webHidden/>
        </w:rPr>
        <w:tab/>
      </w:r>
      <w:r w:rsidR="00456062">
        <w:rPr>
          <w:webHidden/>
        </w:rPr>
        <w:t>4</w:t>
      </w:r>
    </w:p>
    <w:p w:rsidR="002A78E6" w:rsidRDefault="002A78E6">
      <w:pPr>
        <w:pStyle w:val="TOC2"/>
        <w:rPr>
          <w:rFonts w:ascii="Calibri" w:hAnsi="Calibri"/>
          <w:noProof/>
          <w:sz w:val="22"/>
          <w:szCs w:val="22"/>
        </w:rPr>
      </w:pPr>
      <w:r w:rsidRPr="001927FA">
        <w:rPr>
          <w:noProof/>
        </w:rPr>
        <w:t>2.1</w:t>
      </w:r>
      <w:r>
        <w:rPr>
          <w:rFonts w:ascii="Calibri" w:hAnsi="Calibri"/>
          <w:noProof/>
          <w:sz w:val="22"/>
          <w:szCs w:val="22"/>
        </w:rPr>
        <w:tab/>
      </w:r>
      <w:r w:rsidRPr="001927FA">
        <w:rPr>
          <w:noProof/>
        </w:rPr>
        <w:t>Site History</w:t>
      </w:r>
      <w:r>
        <w:rPr>
          <w:noProof/>
          <w:webHidden/>
        </w:rPr>
        <w:tab/>
      </w:r>
      <w:r w:rsidR="00456062">
        <w:rPr>
          <w:noProof/>
          <w:webHidden/>
        </w:rPr>
        <w:t>4</w:t>
      </w:r>
    </w:p>
    <w:p w:rsidR="0024187F" w:rsidRDefault="0024187F">
      <w:pPr>
        <w:pStyle w:val="TOC2"/>
        <w:rPr>
          <w:noProof/>
        </w:rPr>
      </w:pPr>
    </w:p>
    <w:p w:rsidR="002A78E6" w:rsidRDefault="002A78E6">
      <w:pPr>
        <w:pStyle w:val="TOC2"/>
        <w:rPr>
          <w:rFonts w:ascii="Calibri" w:hAnsi="Calibri"/>
          <w:noProof/>
          <w:sz w:val="22"/>
          <w:szCs w:val="22"/>
        </w:rPr>
      </w:pPr>
      <w:r w:rsidRPr="001927FA">
        <w:rPr>
          <w:noProof/>
        </w:rPr>
        <w:t>2.2</w:t>
      </w:r>
      <w:r>
        <w:rPr>
          <w:rFonts w:ascii="Calibri" w:hAnsi="Calibri"/>
          <w:noProof/>
          <w:sz w:val="22"/>
          <w:szCs w:val="22"/>
        </w:rPr>
        <w:tab/>
      </w:r>
      <w:r w:rsidRPr="001927FA">
        <w:rPr>
          <w:noProof/>
        </w:rPr>
        <w:t>Cleanup Levels</w:t>
      </w:r>
      <w:r>
        <w:rPr>
          <w:noProof/>
          <w:webHidden/>
        </w:rPr>
        <w:tab/>
      </w:r>
      <w:r w:rsidR="00456062">
        <w:rPr>
          <w:noProof/>
          <w:webHidden/>
        </w:rPr>
        <w:t>5</w:t>
      </w:r>
    </w:p>
    <w:p w:rsidR="0024187F" w:rsidRDefault="0024187F">
      <w:pPr>
        <w:pStyle w:val="TOC2"/>
        <w:rPr>
          <w:noProof/>
        </w:rPr>
      </w:pPr>
    </w:p>
    <w:p w:rsidR="002A78E6" w:rsidRDefault="002A78E6">
      <w:pPr>
        <w:pStyle w:val="TOC2"/>
        <w:rPr>
          <w:rFonts w:ascii="Calibri" w:hAnsi="Calibri"/>
          <w:noProof/>
          <w:sz w:val="22"/>
          <w:szCs w:val="22"/>
        </w:rPr>
      </w:pPr>
      <w:r w:rsidRPr="001927FA">
        <w:rPr>
          <w:noProof/>
        </w:rPr>
        <w:t>2.3</w:t>
      </w:r>
      <w:r>
        <w:rPr>
          <w:rFonts w:ascii="Calibri" w:hAnsi="Calibri"/>
          <w:noProof/>
          <w:sz w:val="22"/>
          <w:szCs w:val="22"/>
        </w:rPr>
        <w:tab/>
      </w:r>
      <w:r w:rsidR="003C4F3A" w:rsidRPr="003C4F3A">
        <w:rPr>
          <w:noProof/>
          <w:szCs w:val="24"/>
        </w:rPr>
        <w:t>Site Investigations</w:t>
      </w:r>
      <w:r w:rsidR="00B01DFF">
        <w:rPr>
          <w:noProof/>
          <w:szCs w:val="24"/>
        </w:rPr>
        <w:t xml:space="preserve"> and</w:t>
      </w:r>
      <w:r w:rsidR="007218AF" w:rsidRPr="007218AF">
        <w:rPr>
          <w:noProof/>
          <w:szCs w:val="24"/>
        </w:rPr>
        <w:t xml:space="preserve"> Feasibility Study</w:t>
      </w:r>
      <w:r w:rsidR="007D4336">
        <w:rPr>
          <w:rFonts w:ascii="Calibri" w:hAnsi="Calibri"/>
          <w:noProof/>
          <w:sz w:val="22"/>
          <w:szCs w:val="22"/>
        </w:rPr>
        <w:t xml:space="preserve"> </w:t>
      </w:r>
      <w:r>
        <w:rPr>
          <w:noProof/>
          <w:webHidden/>
        </w:rPr>
        <w:tab/>
      </w:r>
      <w:r w:rsidR="00456062">
        <w:rPr>
          <w:noProof/>
          <w:webHidden/>
        </w:rPr>
        <w:t>6</w:t>
      </w:r>
    </w:p>
    <w:p w:rsidR="002A78E6" w:rsidRDefault="002A78E6">
      <w:pPr>
        <w:pStyle w:val="TOC3"/>
        <w:tabs>
          <w:tab w:val="left" w:pos="1320"/>
          <w:tab w:val="right" w:pos="9350"/>
        </w:tabs>
        <w:rPr>
          <w:noProof/>
          <w:webHidden/>
        </w:rPr>
      </w:pPr>
      <w:r w:rsidRPr="001927FA">
        <w:rPr>
          <w:noProof/>
        </w:rPr>
        <w:t>2.3.1</w:t>
      </w:r>
      <w:r w:rsidR="00744477">
        <w:rPr>
          <w:rFonts w:ascii="Calibri" w:hAnsi="Calibri"/>
          <w:noProof/>
          <w:sz w:val="22"/>
          <w:szCs w:val="22"/>
        </w:rPr>
        <w:t xml:space="preserve">       </w:t>
      </w:r>
      <w:r w:rsidR="003C4F3A" w:rsidRPr="003C4F3A">
        <w:rPr>
          <w:noProof/>
          <w:szCs w:val="24"/>
        </w:rPr>
        <w:t>19</w:t>
      </w:r>
      <w:r w:rsidR="00B01DFF">
        <w:rPr>
          <w:noProof/>
          <w:szCs w:val="24"/>
        </w:rPr>
        <w:t>84 Site Investigation…………..………………………………………………….</w:t>
      </w:r>
      <w:r w:rsidR="00456062">
        <w:rPr>
          <w:noProof/>
          <w:szCs w:val="24"/>
        </w:rPr>
        <w:t>6</w:t>
      </w:r>
    </w:p>
    <w:p w:rsidR="00744477" w:rsidRDefault="007D4336" w:rsidP="007D4336">
      <w:r>
        <w:t xml:space="preserve">        </w:t>
      </w:r>
      <w:r w:rsidR="00744477">
        <w:t xml:space="preserve">2.3.2      </w:t>
      </w:r>
      <w:r w:rsidR="00B01DFF">
        <w:t>1990 and 1991 Site Investigations…..</w:t>
      </w:r>
      <w:r w:rsidR="003C4F3A">
        <w:t>…………</w:t>
      </w:r>
      <w:r w:rsidR="00744477">
        <w:t>……………</w:t>
      </w:r>
      <w:r w:rsidR="003C4F3A">
        <w:t>.</w:t>
      </w:r>
      <w:r w:rsidR="00744477">
        <w:t>……………………..</w:t>
      </w:r>
      <w:r w:rsidR="00456062">
        <w:t>6</w:t>
      </w:r>
    </w:p>
    <w:p w:rsidR="00744477" w:rsidRPr="007D4336" w:rsidRDefault="00744477" w:rsidP="007D4336">
      <w:r>
        <w:t xml:space="preserve">        2.3.3      </w:t>
      </w:r>
      <w:r w:rsidR="0033571E">
        <w:t>Preliminary Evaluation of Remedial Alternatives………..</w:t>
      </w:r>
      <w:r w:rsidR="003C4F3A">
        <w:t>….</w:t>
      </w:r>
      <w:r>
        <w:t>…………………….</w:t>
      </w:r>
      <w:r w:rsidR="00456062">
        <w:t>.7</w:t>
      </w:r>
      <w:r>
        <w:t xml:space="preserve">     </w:t>
      </w:r>
    </w:p>
    <w:p w:rsidR="002A78E6" w:rsidRDefault="00744477">
      <w:pPr>
        <w:pStyle w:val="TOC2"/>
        <w:rPr>
          <w:noProof/>
          <w:webHidden/>
        </w:rPr>
      </w:pPr>
      <w:r>
        <w:rPr>
          <w:noProof/>
        </w:rPr>
        <w:t xml:space="preserve">    </w:t>
      </w:r>
      <w:r w:rsidR="002A78E6" w:rsidRPr="003C7840">
        <w:rPr>
          <w:noProof/>
        </w:rPr>
        <w:t>2.</w:t>
      </w:r>
      <w:r>
        <w:rPr>
          <w:noProof/>
        </w:rPr>
        <w:t>3.</w:t>
      </w:r>
      <w:r w:rsidR="002A78E6" w:rsidRPr="003C7840">
        <w:rPr>
          <w:noProof/>
        </w:rPr>
        <w:t>4</w:t>
      </w:r>
      <w:r>
        <w:rPr>
          <w:noProof/>
        </w:rPr>
        <w:t xml:space="preserve">      </w:t>
      </w:r>
      <w:r w:rsidR="0033571E">
        <w:rPr>
          <w:noProof/>
        </w:rPr>
        <w:t>Final Remedial Investigation/Feasibility Study</w:t>
      </w:r>
      <w:r w:rsidR="002A78E6">
        <w:rPr>
          <w:noProof/>
          <w:webHidden/>
        </w:rPr>
        <w:tab/>
      </w:r>
      <w:r w:rsidR="00456062">
        <w:rPr>
          <w:noProof/>
          <w:webHidden/>
        </w:rPr>
        <w:t>7</w:t>
      </w:r>
    </w:p>
    <w:p w:rsidR="003C4F3A" w:rsidRDefault="0033571E" w:rsidP="003C4F3A">
      <w:pPr>
        <w:rPr>
          <w:webHidden/>
        </w:rPr>
      </w:pPr>
      <w:r>
        <w:rPr>
          <w:webHidden/>
        </w:rPr>
        <w:t xml:space="preserve"> </w:t>
      </w:r>
      <w:r w:rsidR="003C4F3A">
        <w:rPr>
          <w:webHidden/>
        </w:rPr>
        <w:t xml:space="preserve">       2.3.5      </w:t>
      </w:r>
      <w:r>
        <w:rPr>
          <w:webHidden/>
        </w:rPr>
        <w:t>Conformational Groundwater Monitoring……</w:t>
      </w:r>
      <w:r w:rsidR="005F6C51">
        <w:rPr>
          <w:webHidden/>
        </w:rPr>
        <w:t>.</w:t>
      </w:r>
      <w:r>
        <w:rPr>
          <w:webHidden/>
        </w:rPr>
        <w:t>…………………..</w:t>
      </w:r>
      <w:r w:rsidR="00C044D5">
        <w:rPr>
          <w:webHidden/>
        </w:rPr>
        <w:t>………………..</w:t>
      </w:r>
      <w:r w:rsidR="00456062">
        <w:rPr>
          <w:webHidden/>
        </w:rPr>
        <w:t>9</w:t>
      </w:r>
    </w:p>
    <w:p w:rsidR="007D4336" w:rsidRPr="007D4336" w:rsidRDefault="00C044D5" w:rsidP="0024187F">
      <w:pPr>
        <w:rPr>
          <w:webHidden/>
        </w:rPr>
      </w:pPr>
      <w:r>
        <w:rPr>
          <w:webHidden/>
        </w:rPr>
        <w:t xml:space="preserve">        </w:t>
      </w:r>
      <w:r w:rsidR="007D4336">
        <w:rPr>
          <w:webHidden/>
        </w:rPr>
        <w:t xml:space="preserve">        </w:t>
      </w:r>
    </w:p>
    <w:p w:rsidR="003C7840" w:rsidRDefault="003C7840" w:rsidP="003C7840">
      <w:r>
        <w:t xml:space="preserve">    2.</w:t>
      </w:r>
      <w:r w:rsidR="0024187F">
        <w:t>4</w:t>
      </w:r>
      <w:r>
        <w:t xml:space="preserve">      </w:t>
      </w:r>
      <w:r w:rsidR="007D4336">
        <w:t>Restrictive Covenant</w:t>
      </w:r>
      <w:r>
        <w:t>……………………………………………………………</w:t>
      </w:r>
      <w:r w:rsidR="007D4336">
        <w:t>..</w:t>
      </w:r>
      <w:r>
        <w:t>…….</w:t>
      </w:r>
      <w:r w:rsidR="00456062">
        <w:t>10</w:t>
      </w:r>
    </w:p>
    <w:p w:rsidR="001927FA" w:rsidRDefault="003C7840" w:rsidP="007D4336">
      <w:r>
        <w:t xml:space="preserve">    </w:t>
      </w:r>
    </w:p>
    <w:p w:rsidR="002A78E6" w:rsidRDefault="002A78E6" w:rsidP="001927FA">
      <w:pPr>
        <w:pStyle w:val="TOC1"/>
        <w:rPr>
          <w:webHidden/>
        </w:rPr>
      </w:pPr>
      <w:r w:rsidRPr="001927FA">
        <w:t>3.0</w:t>
      </w:r>
      <w:r>
        <w:rPr>
          <w:rFonts w:ascii="Calibri" w:hAnsi="Calibri" w:cs="Times New Roman"/>
          <w:sz w:val="22"/>
          <w:szCs w:val="22"/>
        </w:rPr>
        <w:tab/>
      </w:r>
      <w:r w:rsidRPr="001927FA">
        <w:t>PERIODIC REVIEW</w:t>
      </w:r>
      <w:r>
        <w:rPr>
          <w:webHidden/>
        </w:rPr>
        <w:tab/>
      </w:r>
      <w:r w:rsidR="00456062">
        <w:rPr>
          <w:webHidden/>
        </w:rPr>
        <w:t>11</w:t>
      </w:r>
    </w:p>
    <w:p w:rsidR="002A78E6" w:rsidRDefault="002A78E6">
      <w:pPr>
        <w:pStyle w:val="TOC2"/>
        <w:rPr>
          <w:rFonts w:ascii="Calibri" w:hAnsi="Calibri"/>
          <w:noProof/>
          <w:sz w:val="22"/>
          <w:szCs w:val="22"/>
        </w:rPr>
      </w:pPr>
      <w:r w:rsidRPr="001927FA">
        <w:rPr>
          <w:noProof/>
        </w:rPr>
        <w:t>3.1</w:t>
      </w:r>
      <w:r>
        <w:rPr>
          <w:rFonts w:ascii="Calibri" w:hAnsi="Calibri"/>
          <w:noProof/>
          <w:sz w:val="22"/>
          <w:szCs w:val="22"/>
        </w:rPr>
        <w:tab/>
      </w:r>
      <w:r w:rsidRPr="001927FA">
        <w:rPr>
          <w:noProof/>
        </w:rPr>
        <w:t>Effectiveness of completed cleanup actions</w:t>
      </w:r>
      <w:r>
        <w:rPr>
          <w:noProof/>
          <w:webHidden/>
        </w:rPr>
        <w:tab/>
      </w:r>
      <w:r w:rsidR="00456062">
        <w:rPr>
          <w:noProof/>
          <w:webHidden/>
        </w:rPr>
        <w:t>11</w:t>
      </w:r>
    </w:p>
    <w:p w:rsidR="002A78E6" w:rsidRDefault="002A78E6" w:rsidP="002A78E6">
      <w:pPr>
        <w:pStyle w:val="TOC2"/>
        <w:ind w:left="900" w:hanging="660"/>
        <w:rPr>
          <w:rFonts w:ascii="Calibri" w:hAnsi="Calibri"/>
          <w:noProof/>
          <w:sz w:val="22"/>
          <w:szCs w:val="22"/>
        </w:rPr>
      </w:pPr>
      <w:r w:rsidRPr="001927FA">
        <w:rPr>
          <w:noProof/>
        </w:rPr>
        <w:t>3.2</w:t>
      </w:r>
      <w:r>
        <w:rPr>
          <w:rFonts w:ascii="Calibri" w:hAnsi="Calibri"/>
          <w:noProof/>
          <w:sz w:val="22"/>
          <w:szCs w:val="22"/>
        </w:rPr>
        <w:tab/>
      </w:r>
      <w:r w:rsidRPr="001927FA">
        <w:rPr>
          <w:noProof/>
        </w:rPr>
        <w:t>New scientific information for individual hazardous substances for mixtures present at the Site</w:t>
      </w:r>
      <w:r>
        <w:rPr>
          <w:noProof/>
          <w:webHidden/>
        </w:rPr>
        <w:tab/>
      </w:r>
      <w:r w:rsidR="00456062">
        <w:rPr>
          <w:noProof/>
          <w:webHidden/>
        </w:rPr>
        <w:t>11</w:t>
      </w:r>
    </w:p>
    <w:p w:rsidR="002A78E6" w:rsidRDefault="002A78E6">
      <w:pPr>
        <w:pStyle w:val="TOC2"/>
        <w:rPr>
          <w:rFonts w:ascii="Calibri" w:hAnsi="Calibri"/>
          <w:noProof/>
          <w:sz w:val="22"/>
          <w:szCs w:val="22"/>
        </w:rPr>
      </w:pPr>
      <w:r w:rsidRPr="001927FA">
        <w:rPr>
          <w:noProof/>
        </w:rPr>
        <w:t>3.3</w:t>
      </w:r>
      <w:r>
        <w:rPr>
          <w:rFonts w:ascii="Calibri" w:hAnsi="Calibri"/>
          <w:noProof/>
          <w:sz w:val="22"/>
          <w:szCs w:val="22"/>
        </w:rPr>
        <w:tab/>
      </w:r>
      <w:r w:rsidRPr="001927FA">
        <w:rPr>
          <w:noProof/>
        </w:rPr>
        <w:t>New applicable state and federal laws for hazardous substances present at the Site</w:t>
      </w:r>
      <w:r>
        <w:rPr>
          <w:noProof/>
          <w:webHidden/>
        </w:rPr>
        <w:tab/>
      </w:r>
      <w:r w:rsidR="00456062">
        <w:rPr>
          <w:noProof/>
          <w:webHidden/>
        </w:rPr>
        <w:t>11</w:t>
      </w:r>
    </w:p>
    <w:p w:rsidR="002A78E6" w:rsidRDefault="002A78E6">
      <w:pPr>
        <w:pStyle w:val="TOC2"/>
        <w:rPr>
          <w:rFonts w:ascii="Calibri" w:hAnsi="Calibri"/>
          <w:noProof/>
          <w:sz w:val="22"/>
          <w:szCs w:val="22"/>
        </w:rPr>
      </w:pPr>
      <w:r w:rsidRPr="001927FA">
        <w:rPr>
          <w:noProof/>
        </w:rPr>
        <w:t>3.4</w:t>
      </w:r>
      <w:r>
        <w:rPr>
          <w:rFonts w:ascii="Calibri" w:hAnsi="Calibri"/>
          <w:noProof/>
          <w:sz w:val="22"/>
          <w:szCs w:val="22"/>
        </w:rPr>
        <w:tab/>
      </w:r>
      <w:r w:rsidRPr="001927FA">
        <w:rPr>
          <w:noProof/>
        </w:rPr>
        <w:t>Current and projected Site use</w:t>
      </w:r>
      <w:r>
        <w:rPr>
          <w:noProof/>
          <w:webHidden/>
        </w:rPr>
        <w:tab/>
      </w:r>
      <w:r w:rsidR="0033571E">
        <w:rPr>
          <w:noProof/>
          <w:webHidden/>
        </w:rPr>
        <w:t>1</w:t>
      </w:r>
      <w:r w:rsidR="00456062">
        <w:rPr>
          <w:noProof/>
          <w:webHidden/>
        </w:rPr>
        <w:t>2</w:t>
      </w:r>
    </w:p>
    <w:p w:rsidR="002A78E6" w:rsidRDefault="002A78E6">
      <w:pPr>
        <w:pStyle w:val="TOC2"/>
        <w:rPr>
          <w:rFonts w:ascii="Calibri" w:hAnsi="Calibri"/>
          <w:noProof/>
          <w:sz w:val="22"/>
          <w:szCs w:val="22"/>
        </w:rPr>
      </w:pPr>
      <w:r w:rsidRPr="001927FA">
        <w:rPr>
          <w:noProof/>
        </w:rPr>
        <w:t>3.5</w:t>
      </w:r>
      <w:r>
        <w:rPr>
          <w:rFonts w:ascii="Calibri" w:hAnsi="Calibri"/>
          <w:noProof/>
          <w:sz w:val="22"/>
          <w:szCs w:val="22"/>
        </w:rPr>
        <w:tab/>
      </w:r>
      <w:r w:rsidRPr="001927FA">
        <w:rPr>
          <w:noProof/>
        </w:rPr>
        <w:t>Availability and practicability of higher preference technologies</w:t>
      </w:r>
      <w:r>
        <w:rPr>
          <w:noProof/>
          <w:webHidden/>
        </w:rPr>
        <w:tab/>
      </w:r>
      <w:r w:rsidR="0033571E">
        <w:rPr>
          <w:noProof/>
          <w:webHidden/>
        </w:rPr>
        <w:t>1</w:t>
      </w:r>
      <w:r w:rsidR="00456062">
        <w:rPr>
          <w:noProof/>
          <w:webHidden/>
        </w:rPr>
        <w:t>2</w:t>
      </w:r>
    </w:p>
    <w:p w:rsidR="002A78E6" w:rsidRDefault="002A78E6" w:rsidP="002A78E6">
      <w:pPr>
        <w:pStyle w:val="TOC2"/>
        <w:ind w:left="900" w:hanging="660"/>
        <w:rPr>
          <w:rFonts w:ascii="Calibri" w:hAnsi="Calibri"/>
          <w:noProof/>
          <w:sz w:val="22"/>
          <w:szCs w:val="22"/>
        </w:rPr>
      </w:pPr>
      <w:r w:rsidRPr="001927FA">
        <w:rPr>
          <w:noProof/>
        </w:rPr>
        <w:t>3.6</w:t>
      </w:r>
      <w:r>
        <w:rPr>
          <w:rFonts w:ascii="Calibri" w:hAnsi="Calibri"/>
          <w:noProof/>
          <w:sz w:val="22"/>
          <w:szCs w:val="22"/>
        </w:rPr>
        <w:tab/>
      </w:r>
      <w:r w:rsidRPr="001927FA">
        <w:rPr>
          <w:noProof/>
        </w:rPr>
        <w:t>Availability of improved analytical techniques to evaluate compliance with cleanup levels</w:t>
      </w:r>
      <w:r>
        <w:rPr>
          <w:noProof/>
          <w:webHidden/>
        </w:rPr>
        <w:tab/>
      </w:r>
      <w:r w:rsidR="00C71728">
        <w:rPr>
          <w:noProof/>
          <w:webHidden/>
        </w:rPr>
        <w:t>1</w:t>
      </w:r>
      <w:r w:rsidR="00456062">
        <w:rPr>
          <w:noProof/>
          <w:webHidden/>
        </w:rPr>
        <w:t>2</w:t>
      </w:r>
    </w:p>
    <w:p w:rsidR="001927FA" w:rsidRDefault="001927FA" w:rsidP="001927FA">
      <w:pPr>
        <w:pStyle w:val="TOC1"/>
      </w:pPr>
    </w:p>
    <w:p w:rsidR="002A78E6" w:rsidRDefault="002A78E6" w:rsidP="001927FA">
      <w:pPr>
        <w:pStyle w:val="TOC1"/>
        <w:rPr>
          <w:rFonts w:ascii="Calibri" w:hAnsi="Calibri" w:cs="Times New Roman"/>
          <w:sz w:val="22"/>
          <w:szCs w:val="22"/>
        </w:rPr>
      </w:pPr>
      <w:r w:rsidRPr="001927FA">
        <w:t>4.0</w:t>
      </w:r>
      <w:r>
        <w:rPr>
          <w:rFonts w:ascii="Calibri" w:hAnsi="Calibri" w:cs="Times New Roman"/>
          <w:sz w:val="22"/>
          <w:szCs w:val="22"/>
        </w:rPr>
        <w:tab/>
      </w:r>
      <w:r w:rsidRPr="001927FA">
        <w:t>CONCLUSIONS</w:t>
      </w:r>
      <w:r>
        <w:rPr>
          <w:webHidden/>
        </w:rPr>
        <w:tab/>
      </w:r>
      <w:r w:rsidR="00C71728">
        <w:rPr>
          <w:webHidden/>
        </w:rPr>
        <w:t>1</w:t>
      </w:r>
      <w:r w:rsidR="00456062">
        <w:rPr>
          <w:webHidden/>
        </w:rPr>
        <w:t>3</w:t>
      </w:r>
    </w:p>
    <w:p w:rsidR="002A78E6" w:rsidRDefault="002A78E6">
      <w:pPr>
        <w:pStyle w:val="TOC2"/>
        <w:rPr>
          <w:rFonts w:ascii="Calibri" w:hAnsi="Calibri"/>
          <w:noProof/>
          <w:sz w:val="22"/>
          <w:szCs w:val="22"/>
        </w:rPr>
      </w:pPr>
      <w:r w:rsidRPr="001927FA">
        <w:rPr>
          <w:noProof/>
        </w:rPr>
        <w:t>4.1</w:t>
      </w:r>
      <w:r>
        <w:rPr>
          <w:rFonts w:ascii="Calibri" w:hAnsi="Calibri"/>
          <w:noProof/>
          <w:sz w:val="22"/>
          <w:szCs w:val="22"/>
        </w:rPr>
        <w:tab/>
      </w:r>
      <w:r w:rsidRPr="001927FA">
        <w:rPr>
          <w:noProof/>
        </w:rPr>
        <w:t>Next Review</w:t>
      </w:r>
      <w:r>
        <w:rPr>
          <w:noProof/>
          <w:webHidden/>
        </w:rPr>
        <w:tab/>
      </w:r>
      <w:r w:rsidR="00C71728">
        <w:rPr>
          <w:noProof/>
          <w:webHidden/>
        </w:rPr>
        <w:t>1</w:t>
      </w:r>
      <w:r w:rsidR="00456062">
        <w:rPr>
          <w:noProof/>
          <w:webHidden/>
        </w:rPr>
        <w:t>3</w:t>
      </w:r>
    </w:p>
    <w:p w:rsidR="001927FA" w:rsidRDefault="001927FA" w:rsidP="001927FA">
      <w:pPr>
        <w:pStyle w:val="TOC1"/>
      </w:pPr>
    </w:p>
    <w:p w:rsidR="002A78E6" w:rsidRDefault="002A78E6" w:rsidP="001927FA">
      <w:pPr>
        <w:pStyle w:val="TOC1"/>
        <w:rPr>
          <w:rFonts w:ascii="Calibri" w:hAnsi="Calibri" w:cs="Times New Roman"/>
          <w:sz w:val="22"/>
          <w:szCs w:val="22"/>
        </w:rPr>
      </w:pPr>
      <w:r w:rsidRPr="001927FA">
        <w:t>5.0</w:t>
      </w:r>
      <w:r>
        <w:rPr>
          <w:rFonts w:ascii="Calibri" w:hAnsi="Calibri" w:cs="Times New Roman"/>
          <w:sz w:val="22"/>
          <w:szCs w:val="22"/>
        </w:rPr>
        <w:tab/>
      </w:r>
      <w:r w:rsidRPr="001927FA">
        <w:t>REFERENCES</w:t>
      </w:r>
      <w:r>
        <w:rPr>
          <w:webHidden/>
        </w:rPr>
        <w:tab/>
      </w:r>
      <w:r w:rsidR="003C7840">
        <w:rPr>
          <w:webHidden/>
        </w:rPr>
        <w:t>1</w:t>
      </w:r>
      <w:r w:rsidR="00456062">
        <w:rPr>
          <w:webHidden/>
        </w:rPr>
        <w:t>4</w:t>
      </w:r>
    </w:p>
    <w:p w:rsidR="001927FA" w:rsidRDefault="001927FA" w:rsidP="001927FA">
      <w:pPr>
        <w:pStyle w:val="TOC1"/>
      </w:pPr>
    </w:p>
    <w:p w:rsidR="002A78E6" w:rsidRDefault="002A78E6" w:rsidP="001927FA">
      <w:pPr>
        <w:pStyle w:val="TOC1"/>
        <w:rPr>
          <w:rFonts w:ascii="Calibri" w:hAnsi="Calibri" w:cs="Times New Roman"/>
          <w:sz w:val="22"/>
          <w:szCs w:val="22"/>
        </w:rPr>
      </w:pPr>
      <w:r w:rsidRPr="001927FA">
        <w:t>6.0</w:t>
      </w:r>
      <w:r>
        <w:rPr>
          <w:rFonts w:ascii="Calibri" w:hAnsi="Calibri" w:cs="Times New Roman"/>
          <w:sz w:val="22"/>
          <w:szCs w:val="22"/>
        </w:rPr>
        <w:tab/>
      </w:r>
      <w:r w:rsidRPr="001927FA">
        <w:t>APPENDICES</w:t>
      </w:r>
      <w:r w:rsidR="003C7840">
        <w:rPr>
          <w:webHidden/>
        </w:rPr>
        <w:tab/>
        <w:t>1</w:t>
      </w:r>
      <w:r w:rsidR="00456062">
        <w:rPr>
          <w:webHidden/>
        </w:rPr>
        <w:t>5</w:t>
      </w:r>
    </w:p>
    <w:p w:rsidR="002A78E6" w:rsidRDefault="002A78E6">
      <w:pPr>
        <w:pStyle w:val="TOC2"/>
        <w:rPr>
          <w:rFonts w:ascii="Calibri" w:hAnsi="Calibri"/>
          <w:noProof/>
          <w:sz w:val="22"/>
          <w:szCs w:val="22"/>
        </w:rPr>
      </w:pPr>
      <w:r w:rsidRPr="001927FA">
        <w:rPr>
          <w:noProof/>
        </w:rPr>
        <w:t>6.1</w:t>
      </w:r>
      <w:r>
        <w:rPr>
          <w:rFonts w:ascii="Calibri" w:hAnsi="Calibri"/>
          <w:noProof/>
          <w:sz w:val="22"/>
          <w:szCs w:val="22"/>
        </w:rPr>
        <w:tab/>
      </w:r>
      <w:r w:rsidRPr="001927FA">
        <w:rPr>
          <w:noProof/>
        </w:rPr>
        <w:t>Vicinity Map</w:t>
      </w:r>
      <w:r>
        <w:rPr>
          <w:noProof/>
          <w:webHidden/>
        </w:rPr>
        <w:tab/>
        <w:t>1</w:t>
      </w:r>
      <w:r w:rsidR="00456062">
        <w:rPr>
          <w:noProof/>
          <w:webHidden/>
        </w:rPr>
        <w:t>6</w:t>
      </w:r>
    </w:p>
    <w:p w:rsidR="002A78E6" w:rsidRDefault="002A78E6">
      <w:pPr>
        <w:pStyle w:val="TOC2"/>
        <w:rPr>
          <w:rFonts w:ascii="Calibri" w:hAnsi="Calibri"/>
          <w:noProof/>
          <w:sz w:val="22"/>
          <w:szCs w:val="22"/>
        </w:rPr>
      </w:pPr>
      <w:r w:rsidRPr="001927FA">
        <w:rPr>
          <w:noProof/>
        </w:rPr>
        <w:t>6.2</w:t>
      </w:r>
      <w:r>
        <w:rPr>
          <w:rFonts w:ascii="Calibri" w:hAnsi="Calibri"/>
          <w:noProof/>
          <w:sz w:val="22"/>
          <w:szCs w:val="22"/>
        </w:rPr>
        <w:tab/>
      </w:r>
      <w:r w:rsidRPr="001927FA">
        <w:rPr>
          <w:noProof/>
        </w:rPr>
        <w:t>Site Plan</w:t>
      </w:r>
      <w:r>
        <w:rPr>
          <w:noProof/>
          <w:webHidden/>
        </w:rPr>
        <w:tab/>
        <w:t>1</w:t>
      </w:r>
      <w:r w:rsidR="00456062">
        <w:rPr>
          <w:noProof/>
          <w:webHidden/>
        </w:rPr>
        <w:t>7</w:t>
      </w:r>
    </w:p>
    <w:p w:rsidR="002A78E6" w:rsidRPr="00143336" w:rsidRDefault="002A78E6">
      <w:pPr>
        <w:pStyle w:val="TOC2"/>
        <w:rPr>
          <w:noProof/>
          <w:szCs w:val="24"/>
        </w:rPr>
      </w:pPr>
      <w:r w:rsidRPr="001927FA">
        <w:rPr>
          <w:noProof/>
        </w:rPr>
        <w:t>6.3</w:t>
      </w:r>
      <w:r>
        <w:rPr>
          <w:rFonts w:ascii="Calibri" w:hAnsi="Calibri"/>
          <w:noProof/>
          <w:sz w:val="22"/>
          <w:szCs w:val="22"/>
        </w:rPr>
        <w:tab/>
      </w:r>
      <w:r w:rsidR="0033571E" w:rsidRPr="005608F1">
        <w:rPr>
          <w:noProof/>
          <w:szCs w:val="24"/>
        </w:rPr>
        <w:t xml:space="preserve">1984, 1990 and 1991 Site Investigations </w:t>
      </w:r>
      <w:r w:rsidR="0024187F" w:rsidRPr="005608F1">
        <w:rPr>
          <w:noProof/>
          <w:szCs w:val="24"/>
        </w:rPr>
        <w:t>Sampling Locations</w:t>
      </w:r>
      <w:r w:rsidRPr="00143336">
        <w:rPr>
          <w:noProof/>
          <w:webHidden/>
          <w:szCs w:val="24"/>
        </w:rPr>
        <w:tab/>
        <w:t>1</w:t>
      </w:r>
      <w:r w:rsidR="00456062">
        <w:rPr>
          <w:noProof/>
          <w:webHidden/>
          <w:szCs w:val="24"/>
        </w:rPr>
        <w:t>9</w:t>
      </w:r>
    </w:p>
    <w:p w:rsidR="002A78E6" w:rsidRDefault="002A78E6">
      <w:pPr>
        <w:pStyle w:val="TOC2"/>
        <w:rPr>
          <w:noProof/>
          <w:webHidden/>
        </w:rPr>
      </w:pPr>
      <w:r w:rsidRPr="00143336">
        <w:rPr>
          <w:noProof/>
          <w:szCs w:val="24"/>
        </w:rPr>
        <w:t>6.4</w:t>
      </w:r>
      <w:r w:rsidRPr="00143336">
        <w:rPr>
          <w:noProof/>
          <w:szCs w:val="24"/>
        </w:rPr>
        <w:tab/>
      </w:r>
      <w:r w:rsidR="005608F1">
        <w:rPr>
          <w:noProof/>
          <w:szCs w:val="24"/>
        </w:rPr>
        <w:t>Landfill / Containment Facility Layout and Cap Cross-Section</w:t>
      </w:r>
      <w:r>
        <w:rPr>
          <w:noProof/>
          <w:webHidden/>
        </w:rPr>
        <w:tab/>
      </w:r>
      <w:r w:rsidR="005608F1">
        <w:rPr>
          <w:noProof/>
          <w:webHidden/>
        </w:rPr>
        <w:t>2</w:t>
      </w:r>
      <w:r w:rsidR="00456062">
        <w:rPr>
          <w:noProof/>
          <w:webHidden/>
        </w:rPr>
        <w:t>3</w:t>
      </w:r>
    </w:p>
    <w:p w:rsidR="005608F1" w:rsidRDefault="003C7840" w:rsidP="003C7840">
      <w:r>
        <w:t xml:space="preserve">    6.5      </w:t>
      </w:r>
      <w:r w:rsidR="005608F1">
        <w:t xml:space="preserve">Compliance Groundwater Monitoring: Monitoring Well Locations, cis-1,2 DCE and </w:t>
      </w:r>
    </w:p>
    <w:p w:rsidR="0024187F" w:rsidRDefault="005608F1" w:rsidP="003C7840">
      <w:r>
        <w:t xml:space="preserve">               Vinyl Chloride Concentrations Trend and November 2013 Sampling Results………..2</w:t>
      </w:r>
      <w:r w:rsidR="00456062">
        <w:t>6</w:t>
      </w:r>
      <w:r w:rsidR="007D70C9">
        <w:t xml:space="preserve"> </w:t>
      </w:r>
      <w:r w:rsidR="0024187F">
        <w:t xml:space="preserve"> </w:t>
      </w:r>
    </w:p>
    <w:p w:rsidR="00F37046" w:rsidRDefault="0024187F" w:rsidP="003C7840">
      <w:r>
        <w:t xml:space="preserve">    </w:t>
      </w:r>
      <w:r w:rsidR="00F37046">
        <w:t xml:space="preserve">6.6      </w:t>
      </w:r>
      <w:r w:rsidR="005608F1">
        <w:t>Quit Claim Deed and Environmental Covenant…………………………..</w:t>
      </w:r>
      <w:r w:rsidR="007D70C9">
        <w:t>………</w:t>
      </w:r>
      <w:r w:rsidR="00F37046">
        <w:t>…...</w:t>
      </w:r>
      <w:r w:rsidR="00456062">
        <w:t>30</w:t>
      </w:r>
    </w:p>
    <w:p w:rsidR="00F37046" w:rsidRDefault="00F37046" w:rsidP="003C7840">
      <w:r>
        <w:t xml:space="preserve">    6.7      </w:t>
      </w:r>
      <w:r w:rsidR="005608F1">
        <w:t>Photo Log…………………………………..</w:t>
      </w:r>
      <w:r w:rsidR="007D70C9">
        <w:t>………………….</w:t>
      </w:r>
      <w:r>
        <w:t>………………………</w:t>
      </w:r>
      <w:r w:rsidR="00456062">
        <w:t>40</w:t>
      </w:r>
    </w:p>
    <w:p w:rsidR="005608F1" w:rsidRDefault="007D70C9" w:rsidP="005608F1">
      <w:r>
        <w:t xml:space="preserve">    </w:t>
      </w:r>
      <w:bookmarkStart w:id="1" w:name="_Toc313360081"/>
    </w:p>
    <w:p w:rsidR="005608F1" w:rsidRDefault="005608F1" w:rsidP="005608F1"/>
    <w:p w:rsidR="005608F1" w:rsidRDefault="005608F1" w:rsidP="005608F1"/>
    <w:p w:rsidR="00181312" w:rsidRPr="005608F1" w:rsidRDefault="009A3B06" w:rsidP="005608F1">
      <w:pPr>
        <w:pStyle w:val="ListParagraph"/>
        <w:numPr>
          <w:ilvl w:val="0"/>
          <w:numId w:val="49"/>
        </w:numPr>
        <w:rPr>
          <w:rFonts w:ascii="Arial" w:hAnsi="Arial" w:cs="Arial"/>
          <w:b/>
          <w:sz w:val="28"/>
          <w:szCs w:val="28"/>
        </w:rPr>
      </w:pPr>
      <w:r w:rsidRPr="005608F1">
        <w:rPr>
          <w:rFonts w:ascii="Arial" w:hAnsi="Arial" w:cs="Arial"/>
          <w:b/>
          <w:sz w:val="28"/>
          <w:szCs w:val="28"/>
        </w:rPr>
        <w:lastRenderedPageBreak/>
        <w:t>INTRODUCTION</w:t>
      </w:r>
      <w:bookmarkEnd w:id="1"/>
    </w:p>
    <w:p w:rsidR="00181312" w:rsidRDefault="00181312" w:rsidP="00181312">
      <w:pPr>
        <w:ind w:left="720"/>
      </w:pPr>
    </w:p>
    <w:p w:rsidR="003F3AE4" w:rsidRDefault="00181312" w:rsidP="003F3AE4">
      <w:r>
        <w:t xml:space="preserve">This </w:t>
      </w:r>
      <w:r w:rsidR="00544A5D">
        <w:t>document is</w:t>
      </w:r>
      <w:r>
        <w:t xml:space="preserve"> </w:t>
      </w:r>
      <w:r w:rsidR="002D32BC">
        <w:t xml:space="preserve">a review by the Washington State </w:t>
      </w:r>
      <w:r>
        <w:t>Department of Ecology</w:t>
      </w:r>
      <w:r w:rsidR="002D32BC">
        <w:t xml:space="preserve"> (Ecology) </w:t>
      </w:r>
      <w:r>
        <w:t xml:space="preserve">of post-cleanup conditions and monitoring data to </w:t>
      </w:r>
      <w:r w:rsidR="004B4DAD">
        <w:t>en</w:t>
      </w:r>
      <w:r>
        <w:t xml:space="preserve">sure that human health and the environment are being protected at the </w:t>
      </w:r>
      <w:r w:rsidR="00945D36">
        <w:t>BPA Tacoma Occidental Sludge</w:t>
      </w:r>
      <w:r w:rsidR="003F42FA">
        <w:t xml:space="preserve"> </w:t>
      </w:r>
      <w:r w:rsidR="003D0132">
        <w:t>site</w:t>
      </w:r>
      <w:r w:rsidR="0058750F">
        <w:t xml:space="preserve"> (Site)</w:t>
      </w:r>
      <w:r w:rsidR="00FA1FDD">
        <w:t>.</w:t>
      </w:r>
      <w:r w:rsidR="006D06B1">
        <w:t xml:space="preserve">  </w:t>
      </w:r>
      <w:r w:rsidR="003F3AE4">
        <w:t>Cleanup at this Site was implemented under the Model Toxics Control Act</w:t>
      </w:r>
      <w:r w:rsidR="00E87AAD">
        <w:t xml:space="preserve"> (MTCA)</w:t>
      </w:r>
      <w:r w:rsidR="006926EA">
        <w:t xml:space="preserve"> regulations</w:t>
      </w:r>
      <w:r w:rsidR="003F3AE4">
        <w:t>, Chapter 173-340</w:t>
      </w:r>
      <w:r w:rsidR="00201550">
        <w:t xml:space="preserve"> W</w:t>
      </w:r>
      <w:r w:rsidR="006926EA">
        <w:t xml:space="preserve">ashington </w:t>
      </w:r>
      <w:r w:rsidR="00201550">
        <w:t>A</w:t>
      </w:r>
      <w:r w:rsidR="006926EA">
        <w:t xml:space="preserve">dministrative </w:t>
      </w:r>
      <w:r w:rsidR="00201550">
        <w:t>C</w:t>
      </w:r>
      <w:r w:rsidR="006926EA">
        <w:t>ode (WAC)</w:t>
      </w:r>
      <w:r w:rsidR="003F3AE4">
        <w:t xml:space="preserve">. </w:t>
      </w:r>
    </w:p>
    <w:p w:rsidR="003F3AE4" w:rsidRDefault="003F3AE4" w:rsidP="003F3AE4">
      <w:pPr>
        <w:ind w:left="450"/>
      </w:pPr>
    </w:p>
    <w:p w:rsidR="00474978" w:rsidRDefault="007D11DE" w:rsidP="00474978">
      <w:r>
        <w:t>Cleanup activitie</w:t>
      </w:r>
      <w:r w:rsidRPr="00963B68">
        <w:t>s at this Site were completed</w:t>
      </w:r>
      <w:r>
        <w:t xml:space="preserve"> under the </w:t>
      </w:r>
      <w:r w:rsidR="00DD2274">
        <w:t>Consent Decree Number 97 2 06046 5 dated March 3, 1997</w:t>
      </w:r>
      <w:r>
        <w:t>.</w:t>
      </w:r>
      <w:r w:rsidRPr="00963B68">
        <w:t xml:space="preserve">  </w:t>
      </w:r>
      <w:r w:rsidR="0096089B" w:rsidRPr="00963B68">
        <w:t>The cleanup a</w:t>
      </w:r>
      <w:r w:rsidR="00E37CDE" w:rsidRPr="00963B68">
        <w:t>ction</w:t>
      </w:r>
      <w:r w:rsidR="0096089B" w:rsidRPr="00963B68">
        <w:t xml:space="preserve">s </w:t>
      </w:r>
      <w:r w:rsidR="003F42FA">
        <w:t xml:space="preserve">resulted in concentrations of </w:t>
      </w:r>
      <w:r w:rsidR="00DD2274">
        <w:t>arsenic</w:t>
      </w:r>
      <w:r w:rsidR="004D6D00">
        <w:t xml:space="preserve"> and</w:t>
      </w:r>
      <w:r w:rsidR="00DD2274">
        <w:t xml:space="preserve"> lead </w:t>
      </w:r>
      <w:r w:rsidR="00892F32">
        <w:t xml:space="preserve">in </w:t>
      </w:r>
      <w:r w:rsidR="00A12907">
        <w:t>soil</w:t>
      </w:r>
      <w:r w:rsidR="004D6D00">
        <w:t xml:space="preserve"> and cis-1,2-dichloroethene (DCE) and vinyl chloride (VC)  in groundwater </w:t>
      </w:r>
      <w:r w:rsidR="00A12907">
        <w:t>that exceeds</w:t>
      </w:r>
      <w:r w:rsidR="00E37CDE" w:rsidRPr="00963B68">
        <w:t xml:space="preserve"> </w:t>
      </w:r>
      <w:r w:rsidR="00E87AAD" w:rsidRPr="00963B68">
        <w:t xml:space="preserve">MTCA </w:t>
      </w:r>
      <w:r w:rsidR="00E37CDE" w:rsidRPr="00963B68">
        <w:t xml:space="preserve">Method </w:t>
      </w:r>
      <w:r w:rsidR="004D6D00">
        <w:t xml:space="preserve">C and Method B </w:t>
      </w:r>
      <w:r w:rsidR="00E37CDE" w:rsidRPr="00963B68">
        <w:t>cleanup level</w:t>
      </w:r>
      <w:r w:rsidR="004D6D00">
        <w:t>s respectively</w:t>
      </w:r>
      <w:r w:rsidR="00D43244">
        <w:t xml:space="preserve">.  </w:t>
      </w:r>
      <w:r w:rsidR="00474978">
        <w:t xml:space="preserve">The MTCA Method </w:t>
      </w:r>
      <w:r w:rsidR="004D6D00">
        <w:t>C</w:t>
      </w:r>
      <w:r w:rsidR="00474978">
        <w:t xml:space="preserve"> </w:t>
      </w:r>
      <w:r w:rsidR="00B3067D">
        <w:t>c</w:t>
      </w:r>
      <w:r w:rsidR="00474978">
        <w:t xml:space="preserve">leanup </w:t>
      </w:r>
      <w:r w:rsidR="004D6D00">
        <w:t>levels for soil are</w:t>
      </w:r>
      <w:r w:rsidR="00474978">
        <w:t xml:space="preserve"> </w:t>
      </w:r>
      <w:r w:rsidR="00474978" w:rsidRPr="00963B68">
        <w:t>established under WAC 173-340-74</w:t>
      </w:r>
      <w:r w:rsidR="00DD2274">
        <w:t>5</w:t>
      </w:r>
      <w:r w:rsidR="00474978" w:rsidRPr="00963B68">
        <w:t>(2)</w:t>
      </w:r>
      <w:r w:rsidR="00A1200A">
        <w:t>.</w:t>
      </w:r>
      <w:r w:rsidR="00474978" w:rsidRPr="00963B68">
        <w:t xml:space="preserve">  </w:t>
      </w:r>
      <w:r w:rsidR="004D6D00">
        <w:t xml:space="preserve">The Method B cleanup levels were established under WAC 173-340-720(4).  </w:t>
      </w:r>
      <w:r w:rsidR="00474978" w:rsidRPr="00963B68">
        <w:t>WAC 173-340-420</w:t>
      </w:r>
      <w:r w:rsidR="00474978">
        <w:t xml:space="preserve"> (2</w:t>
      </w:r>
      <w:r w:rsidR="00474978" w:rsidRPr="00963B68">
        <w:t xml:space="preserve">) requires that </w:t>
      </w:r>
      <w:r w:rsidR="00474978">
        <w:t>Ecology conduct a periodic review of a site every five years under the following conditions:</w:t>
      </w:r>
    </w:p>
    <w:p w:rsidR="00474978" w:rsidRDefault="00474978" w:rsidP="00474978"/>
    <w:p w:rsidR="00474978" w:rsidRDefault="00474978" w:rsidP="00474978">
      <w:pPr>
        <w:numPr>
          <w:ilvl w:val="0"/>
          <w:numId w:val="25"/>
        </w:numPr>
      </w:pPr>
      <w:r>
        <w:t>Whenever the department conducts a cleanup action</w:t>
      </w:r>
      <w:r w:rsidR="00927275">
        <w:t>.</w:t>
      </w:r>
    </w:p>
    <w:p w:rsidR="00474978" w:rsidRDefault="00474978" w:rsidP="00474978">
      <w:pPr>
        <w:numPr>
          <w:ilvl w:val="0"/>
          <w:numId w:val="25"/>
        </w:numPr>
      </w:pPr>
      <w:r>
        <w:t>Whenever the department approves a cleanup action under an order, agreed order or consent decree</w:t>
      </w:r>
      <w:r w:rsidR="00927275">
        <w:t>.</w:t>
      </w:r>
    </w:p>
    <w:p w:rsidR="00004F0D" w:rsidRDefault="00474978" w:rsidP="00474978">
      <w:pPr>
        <w:numPr>
          <w:ilvl w:val="0"/>
          <w:numId w:val="25"/>
        </w:numPr>
      </w:pPr>
      <w:r>
        <w:t xml:space="preserve">Or, as resources permit, whenever the department issues a no further action </w:t>
      </w:r>
      <w:r w:rsidR="00927275">
        <w:t xml:space="preserve">(NFA) </w:t>
      </w:r>
      <w:r>
        <w:t>opinion</w:t>
      </w:r>
      <w:r w:rsidR="00927275">
        <w:t>.</w:t>
      </w:r>
      <w:r>
        <w:t xml:space="preserve"> </w:t>
      </w:r>
    </w:p>
    <w:p w:rsidR="00474978" w:rsidRDefault="00004F0D" w:rsidP="00474978">
      <w:pPr>
        <w:numPr>
          <w:ilvl w:val="0"/>
          <w:numId w:val="25"/>
        </w:numPr>
      </w:pPr>
      <w:r>
        <w:t>A</w:t>
      </w:r>
      <w:r w:rsidR="00474978">
        <w:t>nd one of the following conditions exists</w:t>
      </w:r>
      <w:r w:rsidR="000B76D0">
        <w:t>:</w:t>
      </w:r>
    </w:p>
    <w:p w:rsidR="00004F0D" w:rsidRDefault="00004F0D" w:rsidP="00004F0D"/>
    <w:p w:rsidR="00474978" w:rsidRDefault="00474978" w:rsidP="00872669">
      <w:pPr>
        <w:numPr>
          <w:ilvl w:val="1"/>
          <w:numId w:val="33"/>
        </w:numPr>
      </w:pPr>
      <w:r>
        <w:t>Institutional controls or financial assurance are required as part of the cleanup</w:t>
      </w:r>
      <w:r w:rsidR="00927275">
        <w:t>.</w:t>
      </w:r>
    </w:p>
    <w:p w:rsidR="00474978" w:rsidRDefault="00474978" w:rsidP="00872669">
      <w:pPr>
        <w:numPr>
          <w:ilvl w:val="1"/>
          <w:numId w:val="33"/>
        </w:numPr>
      </w:pPr>
      <w:r>
        <w:t>Where the cleanup level is based on a practical quantitation limit</w:t>
      </w:r>
      <w:r w:rsidR="004D032F">
        <w:t>.</w:t>
      </w:r>
    </w:p>
    <w:p w:rsidR="00474978" w:rsidRDefault="00474978" w:rsidP="00872669">
      <w:pPr>
        <w:numPr>
          <w:ilvl w:val="1"/>
          <w:numId w:val="33"/>
        </w:numPr>
      </w:pPr>
      <w:r>
        <w:t>Where, in the department’s judgment, modifications to the default equations or assumptions using site-specific information would significantly increase the concentration of hazardous substances remaining at the site after cleanup or the uncertainty in the ecological evaluation or the reliability of the cleanup action is such that additional review is necessary to assure long-term protection of human health and the environment.</w:t>
      </w:r>
    </w:p>
    <w:p w:rsidR="00474978" w:rsidRDefault="00474978" w:rsidP="00474978"/>
    <w:p w:rsidR="00474978" w:rsidRDefault="00474978" w:rsidP="00474978">
      <w:r>
        <w:t>When evaluating whether human health and the environment are being protected, the factors the department shall consider include [WAC 173-340-420(4)]:</w:t>
      </w:r>
    </w:p>
    <w:p w:rsidR="00474978" w:rsidRDefault="00474978" w:rsidP="00474978"/>
    <w:p w:rsidR="00474978" w:rsidRDefault="00474978" w:rsidP="00474978">
      <w:pPr>
        <w:numPr>
          <w:ilvl w:val="0"/>
          <w:numId w:val="1"/>
        </w:numPr>
        <w:tabs>
          <w:tab w:val="clear" w:pos="810"/>
          <w:tab w:val="num" w:pos="720"/>
        </w:tabs>
        <w:ind w:left="720"/>
      </w:pPr>
      <w:r>
        <w:t xml:space="preserve">The effectiveness of ongoing or completed cleanup actions, including the effectiveness of engineered controls and institutional controls in limiting exposure to hazardous substances remaining at the </w:t>
      </w:r>
      <w:r w:rsidR="00D80B98">
        <w:t>Site</w:t>
      </w:r>
      <w:r w:rsidR="00927275">
        <w:t>.</w:t>
      </w:r>
    </w:p>
    <w:p w:rsidR="00474978" w:rsidRDefault="00474978" w:rsidP="00474978">
      <w:pPr>
        <w:numPr>
          <w:ilvl w:val="0"/>
          <w:numId w:val="1"/>
        </w:numPr>
        <w:tabs>
          <w:tab w:val="clear" w:pos="810"/>
          <w:tab w:val="num" w:pos="720"/>
        </w:tabs>
        <w:ind w:left="720"/>
      </w:pPr>
      <w:r>
        <w:t xml:space="preserve">New scientific information for individual hazardous substances of mixtures present at the </w:t>
      </w:r>
      <w:r w:rsidR="00D80B98">
        <w:t>Site</w:t>
      </w:r>
      <w:r w:rsidR="00927275">
        <w:t>.</w:t>
      </w:r>
    </w:p>
    <w:p w:rsidR="00474978" w:rsidRDefault="00474978" w:rsidP="00474978">
      <w:pPr>
        <w:numPr>
          <w:ilvl w:val="0"/>
          <w:numId w:val="1"/>
        </w:numPr>
        <w:tabs>
          <w:tab w:val="clear" w:pos="810"/>
          <w:tab w:val="num" w:pos="720"/>
        </w:tabs>
        <w:ind w:left="720"/>
      </w:pPr>
      <w:r>
        <w:t xml:space="preserve">New applicable state and federal laws for hazardous substances present at the </w:t>
      </w:r>
      <w:r w:rsidR="00D80B98">
        <w:t>Site</w:t>
      </w:r>
      <w:r w:rsidR="00927275">
        <w:t>.</w:t>
      </w:r>
    </w:p>
    <w:p w:rsidR="00474978" w:rsidRDefault="00474978" w:rsidP="00474978">
      <w:pPr>
        <w:numPr>
          <w:ilvl w:val="0"/>
          <w:numId w:val="1"/>
        </w:numPr>
        <w:tabs>
          <w:tab w:val="clear" w:pos="810"/>
          <w:tab w:val="num" w:pos="720"/>
        </w:tabs>
        <w:ind w:left="720"/>
      </w:pPr>
      <w:r>
        <w:t xml:space="preserve">Current and projected </w:t>
      </w:r>
      <w:r w:rsidR="00D80B98">
        <w:t>Site</w:t>
      </w:r>
      <w:r>
        <w:t xml:space="preserve"> use</w:t>
      </w:r>
      <w:r w:rsidR="00927275">
        <w:t>.</w:t>
      </w:r>
    </w:p>
    <w:p w:rsidR="00474978" w:rsidRDefault="00474978" w:rsidP="00474978">
      <w:pPr>
        <w:numPr>
          <w:ilvl w:val="0"/>
          <w:numId w:val="1"/>
        </w:numPr>
        <w:tabs>
          <w:tab w:val="clear" w:pos="810"/>
          <w:tab w:val="num" w:pos="720"/>
        </w:tabs>
        <w:ind w:left="720"/>
      </w:pPr>
      <w:r>
        <w:t>Availability and practicability of higher preference technologies</w:t>
      </w:r>
      <w:r w:rsidR="00927275">
        <w:t>.</w:t>
      </w:r>
    </w:p>
    <w:p w:rsidR="00474978" w:rsidRDefault="00474978" w:rsidP="00474978">
      <w:pPr>
        <w:numPr>
          <w:ilvl w:val="0"/>
          <w:numId w:val="1"/>
        </w:numPr>
        <w:tabs>
          <w:tab w:val="clear" w:pos="810"/>
          <w:tab w:val="num" w:pos="720"/>
        </w:tabs>
        <w:ind w:left="720"/>
      </w:pPr>
      <w:r>
        <w:t>The availability of improved analytical techniques to evaluate compliance with cleanup levels.</w:t>
      </w:r>
    </w:p>
    <w:p w:rsidR="00474978" w:rsidRDefault="00474978" w:rsidP="00474978"/>
    <w:p w:rsidR="00474978" w:rsidRDefault="00474978" w:rsidP="00474978">
      <w:r>
        <w:lastRenderedPageBreak/>
        <w:t xml:space="preserve">The department shall publish a notice of all periodic reviews in the </w:t>
      </w:r>
      <w:r w:rsidR="00D80B98">
        <w:t>Site</w:t>
      </w:r>
      <w:r>
        <w:t xml:space="preserve"> </w:t>
      </w:r>
      <w:r w:rsidR="00927275">
        <w:t>R</w:t>
      </w:r>
      <w:r>
        <w:t>egister and provide an opportunity for public comment.</w:t>
      </w:r>
    </w:p>
    <w:p w:rsidR="006A0F15" w:rsidRDefault="006A0F15" w:rsidP="006A0F15">
      <w:pPr>
        <w:ind w:left="450"/>
      </w:pPr>
    </w:p>
    <w:p w:rsidR="00EA68CB" w:rsidRPr="009A3B06" w:rsidRDefault="005608F1" w:rsidP="005608F1">
      <w:pPr>
        <w:pStyle w:val="Heading1"/>
        <w:numPr>
          <w:ilvl w:val="0"/>
          <w:numId w:val="49"/>
        </w:numPr>
      </w:pPr>
      <w:bookmarkStart w:id="2" w:name="_Toc313360082"/>
      <w:r>
        <w:t xml:space="preserve"> </w:t>
      </w:r>
      <w:r w:rsidR="00501A2A" w:rsidRPr="009A3B06">
        <w:t>SUMMARY</w:t>
      </w:r>
      <w:r w:rsidR="00EA68CB" w:rsidRPr="009A3B06">
        <w:t xml:space="preserve"> OF </w:t>
      </w:r>
      <w:r w:rsidR="00D80B98">
        <w:t>SITE</w:t>
      </w:r>
      <w:r w:rsidR="00EA68CB" w:rsidRPr="009A3B06">
        <w:t xml:space="preserve"> CONDITIONS</w:t>
      </w:r>
      <w:bookmarkEnd w:id="2"/>
    </w:p>
    <w:p w:rsidR="00EA68CB" w:rsidRDefault="00EA68CB" w:rsidP="00EA68CB">
      <w:pPr>
        <w:ind w:left="360"/>
      </w:pPr>
    </w:p>
    <w:p w:rsidR="0049725F" w:rsidRPr="00E87AAD" w:rsidRDefault="00D80B98" w:rsidP="005608F1">
      <w:pPr>
        <w:pStyle w:val="Heading2"/>
        <w:numPr>
          <w:ilvl w:val="1"/>
          <w:numId w:val="49"/>
        </w:numPr>
      </w:pPr>
      <w:bookmarkStart w:id="3" w:name="_Toc313360083"/>
      <w:r>
        <w:t>Site</w:t>
      </w:r>
      <w:r w:rsidR="00EA68CB" w:rsidRPr="00E87AAD">
        <w:t xml:space="preserve"> History</w:t>
      </w:r>
      <w:bookmarkEnd w:id="3"/>
    </w:p>
    <w:p w:rsidR="0049725F" w:rsidRPr="009115B8" w:rsidRDefault="0049725F" w:rsidP="004659B1">
      <w:pPr>
        <w:ind w:left="360"/>
      </w:pPr>
    </w:p>
    <w:p w:rsidR="00DA19CE" w:rsidRDefault="009E35D6" w:rsidP="00E7354A">
      <w:pPr>
        <w:autoSpaceDE w:val="0"/>
        <w:autoSpaceDN w:val="0"/>
        <w:adjustRightInd w:val="0"/>
      </w:pPr>
      <w:r>
        <w:t xml:space="preserve">The </w:t>
      </w:r>
      <w:r w:rsidR="004D6D00">
        <w:t>BPA Tacoma Occidental Sludge</w:t>
      </w:r>
      <w:r w:rsidR="00993F34">
        <w:t xml:space="preserve"> </w:t>
      </w:r>
      <w:r w:rsidR="00D80B4C">
        <w:t xml:space="preserve">Site </w:t>
      </w:r>
      <w:r w:rsidR="00E7354A" w:rsidRPr="00E7354A">
        <w:t xml:space="preserve">is located </w:t>
      </w:r>
      <w:r w:rsidR="00D80B4C">
        <w:t xml:space="preserve">at </w:t>
      </w:r>
      <w:r w:rsidR="00DE22FF">
        <w:t xml:space="preserve">the corner of Taylor Way and East-West Road </w:t>
      </w:r>
      <w:r w:rsidR="00865F04">
        <w:t xml:space="preserve">(current Highway 509) </w:t>
      </w:r>
      <w:r w:rsidR="00DE22FF">
        <w:t xml:space="preserve">in the Tideflats area of Tacoma, Washington.  </w:t>
      </w:r>
      <w:r w:rsidR="009C1FB7">
        <w:t xml:space="preserve">The Property consists of approximately </w:t>
      </w:r>
      <w:r w:rsidR="00865F04">
        <w:t>21–acres of the Bonneville Power Administration (BPA) Tacoma-</w:t>
      </w:r>
      <w:r w:rsidR="00CE7F27">
        <w:t xml:space="preserve">Covington right-of-way adjacent to the </w:t>
      </w:r>
      <w:r w:rsidR="00DD0D61">
        <w:t xml:space="preserve">BPA </w:t>
      </w:r>
      <w:r w:rsidR="00CE7F27">
        <w:t>Tacoma Substation</w:t>
      </w:r>
      <w:r w:rsidR="009C1FB7">
        <w:t>.</w:t>
      </w:r>
      <w:r w:rsidR="00CE7F27">
        <w:t xml:space="preserve">  </w:t>
      </w:r>
      <w:r w:rsidR="00DD0D61">
        <w:t xml:space="preserve">The Site includes a never-occupied City of Tacoma (City) right-of-way which runs through the property.  </w:t>
      </w:r>
      <w:r w:rsidR="000A2464">
        <w:t xml:space="preserve">The property is undeveloped land </w:t>
      </w:r>
      <w:r w:rsidR="00B3755A">
        <w:t>which is</w:t>
      </w:r>
      <w:r w:rsidR="000A2464">
        <w:t xml:space="preserve"> zoned M-3 heavy industrial.  </w:t>
      </w:r>
      <w:r w:rsidR="00B17B59">
        <w:t>A Site vicinity map and a Site Plan are available as Appendix 6.1 and Appendix 6.2</w:t>
      </w:r>
      <w:r w:rsidR="00B3755A">
        <w:t>,</w:t>
      </w:r>
      <w:r w:rsidR="00B17B59">
        <w:t xml:space="preserve"> respectively. </w:t>
      </w:r>
      <w:r w:rsidR="009C1FB7">
        <w:t xml:space="preserve"> </w:t>
      </w:r>
    </w:p>
    <w:p w:rsidR="00DA19CE" w:rsidRDefault="00DA19CE" w:rsidP="00E7354A">
      <w:pPr>
        <w:autoSpaceDE w:val="0"/>
        <w:autoSpaceDN w:val="0"/>
        <w:adjustRightInd w:val="0"/>
      </w:pPr>
    </w:p>
    <w:p w:rsidR="00DA19CE" w:rsidRDefault="00DA19CE" w:rsidP="00E7354A">
      <w:pPr>
        <w:autoSpaceDE w:val="0"/>
        <w:autoSpaceDN w:val="0"/>
        <w:adjustRightInd w:val="0"/>
      </w:pPr>
      <w:r>
        <w:t>The BPA Tacoma Substation was constructed and first operated in 1942 and was expanded through 1968.  The area was used as a dairy farm before the BPA Substation was constructed.</w:t>
      </w:r>
    </w:p>
    <w:p w:rsidR="00DA19CE" w:rsidRDefault="00DA19CE" w:rsidP="00E7354A">
      <w:pPr>
        <w:autoSpaceDE w:val="0"/>
        <w:autoSpaceDN w:val="0"/>
        <w:adjustRightInd w:val="0"/>
      </w:pPr>
    </w:p>
    <w:p w:rsidR="009C1FB7" w:rsidRDefault="00DA19CE" w:rsidP="00E7354A">
      <w:pPr>
        <w:autoSpaceDE w:val="0"/>
        <w:autoSpaceDN w:val="0"/>
        <w:adjustRightInd w:val="0"/>
      </w:pPr>
      <w:r>
        <w:t xml:space="preserve">In an effort to fill low lying areas of the property adjacent to the Substation, BPA allowed fill material to be placed on the </w:t>
      </w:r>
      <w:r w:rsidR="007867B7">
        <w:t>S</w:t>
      </w:r>
      <w:r>
        <w:t>ite in the late 1960’s and 1970’s.  During this time approximately 18,000 cubic yards of lime sludge fr</w:t>
      </w:r>
      <w:r w:rsidR="007867B7">
        <w:t>o</w:t>
      </w:r>
      <w:r>
        <w:t>m the Occidental Chemicals Corporation (</w:t>
      </w:r>
      <w:r w:rsidR="007867B7">
        <w:t xml:space="preserve">OCC, </w:t>
      </w:r>
      <w:r>
        <w:t>then Hooker Chemical Company) manufacturing facility</w:t>
      </w:r>
      <w:r w:rsidR="007867B7">
        <w:t xml:space="preserve"> were placed on the Site.</w:t>
      </w:r>
      <w:r w:rsidR="009C1FB7">
        <w:t xml:space="preserve"> </w:t>
      </w:r>
    </w:p>
    <w:p w:rsidR="007867B7" w:rsidRDefault="007867B7" w:rsidP="00E7354A">
      <w:pPr>
        <w:autoSpaceDE w:val="0"/>
        <w:autoSpaceDN w:val="0"/>
        <w:adjustRightInd w:val="0"/>
      </w:pPr>
    </w:p>
    <w:p w:rsidR="00D976AF" w:rsidRDefault="007867B7" w:rsidP="00E7354A">
      <w:pPr>
        <w:autoSpaceDE w:val="0"/>
        <w:autoSpaceDN w:val="0"/>
        <w:adjustRightInd w:val="0"/>
      </w:pPr>
      <w:r>
        <w:t xml:space="preserve">It is believed that the lime sludge originated from settling ponds at the OCC.  These ponds were used to </w:t>
      </w:r>
      <w:r w:rsidR="00D976AF">
        <w:t xml:space="preserve">settle brine sludge generated from the manufacturing process and wastes from the manufacture of solvents.  The ponds were periodically drained and scraped and the sludge was disposed of off-site.  These </w:t>
      </w:r>
      <w:r w:rsidR="00664013">
        <w:t>sludge</w:t>
      </w:r>
      <w:r w:rsidR="00D976AF">
        <w:t xml:space="preserve"> contained the inorganic salts of calcium (hydroxide and chloride) with fractional percentages of asbestos, chlorinated volatile organic compounds (VOCs), and lead.  The lime sludge was placed in a low-lying area along the southern edge of the BPA site extending almost the entire length of the site in an east-west direction.</w:t>
      </w:r>
    </w:p>
    <w:p w:rsidR="00D976AF" w:rsidRDefault="00D976AF" w:rsidP="00E7354A">
      <w:pPr>
        <w:autoSpaceDE w:val="0"/>
        <w:autoSpaceDN w:val="0"/>
        <w:adjustRightInd w:val="0"/>
      </w:pPr>
    </w:p>
    <w:p w:rsidR="00B72491" w:rsidRDefault="00D91843" w:rsidP="00E7354A">
      <w:pPr>
        <w:autoSpaceDE w:val="0"/>
        <w:autoSpaceDN w:val="0"/>
        <w:adjustRightInd w:val="0"/>
      </w:pPr>
      <w:r>
        <w:t xml:space="preserve">In addition to the lime sludge placed on the Site, approximately 400 cubic yards of baghouse dust and a bead-like waste product called “shot” were disposed of on the Site.  This material was deposited near the southeastern edge of the Site and contained high concentrations of arsenic, and lead as well as other metals.  The majority of this waste was not mixed with </w:t>
      </w:r>
      <w:r w:rsidR="00B3755A">
        <w:t xml:space="preserve">the </w:t>
      </w:r>
      <w:r>
        <w:t>nearby lime waste.</w:t>
      </w:r>
    </w:p>
    <w:p w:rsidR="00B72491" w:rsidRDefault="00B72491" w:rsidP="00E7354A">
      <w:pPr>
        <w:autoSpaceDE w:val="0"/>
        <w:autoSpaceDN w:val="0"/>
        <w:adjustRightInd w:val="0"/>
      </w:pPr>
    </w:p>
    <w:p w:rsidR="00F17009" w:rsidRDefault="00F17009" w:rsidP="00E7354A">
      <w:pPr>
        <w:autoSpaceDE w:val="0"/>
        <w:autoSpaceDN w:val="0"/>
        <w:adjustRightInd w:val="0"/>
      </w:pPr>
      <w:r>
        <w:t>Surface water occurs on-</w:t>
      </w:r>
      <w:r w:rsidR="00B3755A">
        <w:t>s</w:t>
      </w:r>
      <w:r>
        <w:t>ite as a result of direct precipitation.  A swale extending the length of the Site from east to west is the predominant drainage feature on-</w:t>
      </w:r>
      <w:r w:rsidR="00B3755A">
        <w:t>s</w:t>
      </w:r>
      <w:r>
        <w:t>ite.  The swale discharges via  a culvert under the East-West Road (Highway 509) to the Fife ditch.  It is unlikely that a large quantity of water actually leaves the Site via this swale since it is clogged with vegetation and debris.</w:t>
      </w:r>
    </w:p>
    <w:p w:rsidR="00F17009" w:rsidRDefault="00F17009" w:rsidP="00E7354A">
      <w:pPr>
        <w:autoSpaceDE w:val="0"/>
        <w:autoSpaceDN w:val="0"/>
        <w:adjustRightInd w:val="0"/>
      </w:pPr>
    </w:p>
    <w:p w:rsidR="00B00033" w:rsidRDefault="006F31F5" w:rsidP="00E7354A">
      <w:pPr>
        <w:autoSpaceDE w:val="0"/>
        <w:autoSpaceDN w:val="0"/>
        <w:adjustRightInd w:val="0"/>
      </w:pPr>
      <w:r>
        <w:t xml:space="preserve">The shallow geology at the Site consists of four units: Upper sand, Upper Silt, Lower Sand and Lower Silt.  The Upper Sand consists of fill derived primarily from dredged material that was placed on top of the native tidal flats.  This unit varies in thickness from 1 to 5 feet on the Site.  </w:t>
      </w:r>
      <w:r>
        <w:lastRenderedPageBreak/>
        <w:t xml:space="preserve">The Upper silt unit is approximately 10 feet thick in the Site and represents the native tidal flat material and acts as an aquitard limiting the water movement from the Upper </w:t>
      </w:r>
      <w:r w:rsidR="00B00033">
        <w:t>Sand to the lower sand.  The thickness of the lower sand unit ranges from 5 to 13 feet with silty sand to a cleaner medium fine-to-medium sand.  The lower sand unit consists of gray silt with trace of organic matter.  The thickness and continuity of this unit on-Site are unknown.</w:t>
      </w:r>
    </w:p>
    <w:p w:rsidR="00B00033" w:rsidRDefault="00B00033" w:rsidP="00E7354A">
      <w:pPr>
        <w:autoSpaceDE w:val="0"/>
        <w:autoSpaceDN w:val="0"/>
        <w:adjustRightInd w:val="0"/>
      </w:pPr>
    </w:p>
    <w:p w:rsidR="00913D8A" w:rsidRDefault="00913D8A" w:rsidP="00E7354A">
      <w:pPr>
        <w:autoSpaceDE w:val="0"/>
        <w:autoSpaceDN w:val="0"/>
        <w:adjustRightInd w:val="0"/>
      </w:pPr>
      <w:r>
        <w:t xml:space="preserve">The groundwater occurs at or near the ground surface during the wet season and 6 to 8 feet below ground surface (bgs) during the dry season.  Thus groundwater is only seasonally present in the upper sand.  When it is present, it flows primarily laterally to the swale that drains to the east toward Fife ditch.  In the lower sand, the groundwater generally flows to the east toward the Fife Ditch. </w:t>
      </w:r>
    </w:p>
    <w:p w:rsidR="00A12907" w:rsidRPr="00CF3267" w:rsidRDefault="009C1FB7" w:rsidP="00B17B59">
      <w:pPr>
        <w:autoSpaceDE w:val="0"/>
        <w:autoSpaceDN w:val="0"/>
        <w:adjustRightInd w:val="0"/>
      </w:pPr>
      <w:r>
        <w:t xml:space="preserve">                        </w:t>
      </w:r>
    </w:p>
    <w:p w:rsidR="00FE4275" w:rsidRDefault="00FE4275" w:rsidP="005608F1">
      <w:pPr>
        <w:pStyle w:val="Heading2"/>
        <w:numPr>
          <w:ilvl w:val="1"/>
          <w:numId w:val="49"/>
        </w:numPr>
      </w:pPr>
      <w:bookmarkStart w:id="4" w:name="_Toc313360084"/>
      <w:r>
        <w:t>Cleanup Levels</w:t>
      </w:r>
      <w:bookmarkEnd w:id="4"/>
    </w:p>
    <w:p w:rsidR="00FE4275" w:rsidRDefault="00FE4275" w:rsidP="00E7354A">
      <w:pPr>
        <w:autoSpaceDE w:val="0"/>
        <w:autoSpaceDN w:val="0"/>
        <w:adjustRightInd w:val="0"/>
      </w:pPr>
    </w:p>
    <w:p w:rsidR="003A51D3" w:rsidRDefault="00AB6470" w:rsidP="00FE4275">
      <w:pPr>
        <w:autoSpaceDE w:val="0"/>
        <w:autoSpaceDN w:val="0"/>
        <w:adjustRightInd w:val="0"/>
      </w:pPr>
      <w:r>
        <w:t xml:space="preserve">The Site is zoned as M-3 </w:t>
      </w:r>
      <w:r w:rsidR="00434524">
        <w:t xml:space="preserve">for </w:t>
      </w:r>
      <w:r>
        <w:t xml:space="preserve">heavy industrial </w:t>
      </w:r>
      <w:r w:rsidR="00434524">
        <w:t xml:space="preserve">use </w:t>
      </w:r>
      <w:r>
        <w:t>in the Tideflats area of Tacoma.</w:t>
      </w:r>
      <w:r w:rsidR="006B5388">
        <w:t xml:space="preserve">  MTCA Method C and Method B cleanup levels were determined to be appropriate for soil and groundwater respectively at this Site.  </w:t>
      </w:r>
      <w:r w:rsidR="00793C07">
        <w:t xml:space="preserve">The soil and groundwater cleanup levels are presented in </w:t>
      </w:r>
      <w:r w:rsidR="003A51D3">
        <w:t xml:space="preserve">Table </w:t>
      </w:r>
      <w:r w:rsidR="00793C07">
        <w:t>1</w:t>
      </w:r>
      <w:r w:rsidR="003A51D3">
        <w:t xml:space="preserve"> and Table 2 </w:t>
      </w:r>
      <w:r w:rsidR="00D14755">
        <w:t>below</w:t>
      </w:r>
      <w:r w:rsidR="003A51D3">
        <w:t>.</w:t>
      </w:r>
    </w:p>
    <w:p w:rsidR="003A51D3" w:rsidRDefault="003A51D3" w:rsidP="00FE4275">
      <w:pPr>
        <w:autoSpaceDE w:val="0"/>
        <w:autoSpaceDN w:val="0"/>
        <w:adjustRightInd w:val="0"/>
      </w:pPr>
    </w:p>
    <w:p w:rsidR="00B46611" w:rsidRDefault="003A51D3" w:rsidP="003A51D3">
      <w:pPr>
        <w:autoSpaceDE w:val="0"/>
        <w:autoSpaceDN w:val="0"/>
        <w:adjustRightInd w:val="0"/>
        <w:jc w:val="center"/>
      </w:pPr>
      <w:r w:rsidRPr="003A51D3">
        <w:rPr>
          <w:b/>
        </w:rPr>
        <w:t>Table 1:  Soil Cleanup Levels</w:t>
      </w:r>
    </w:p>
    <w:p w:rsidR="003A51D3" w:rsidRDefault="003A51D3" w:rsidP="003A51D3">
      <w:pPr>
        <w:autoSpaceDE w:val="0"/>
        <w:autoSpaceDN w:val="0"/>
        <w:adjustRightInd w:val="0"/>
        <w:jc w:val="center"/>
      </w:pPr>
    </w:p>
    <w:tbl>
      <w:tblPr>
        <w:tblStyle w:val="TableGrid"/>
        <w:tblW w:w="0" w:type="auto"/>
        <w:tblLook w:val="04A0" w:firstRow="1" w:lastRow="0" w:firstColumn="1" w:lastColumn="0" w:noHBand="0" w:noVBand="1"/>
      </w:tblPr>
      <w:tblGrid>
        <w:gridCol w:w="4626"/>
        <w:gridCol w:w="4644"/>
      </w:tblGrid>
      <w:tr w:rsidR="003A51D3" w:rsidTr="00793C07">
        <w:tc>
          <w:tcPr>
            <w:tcW w:w="4788" w:type="dxa"/>
            <w:tcBorders>
              <w:top w:val="thinThickSmallGap" w:sz="24" w:space="0" w:color="auto"/>
              <w:left w:val="thinThickSmallGap" w:sz="24" w:space="0" w:color="auto"/>
              <w:bottom w:val="thinThickSmallGap" w:sz="24" w:space="0" w:color="auto"/>
              <w:right w:val="thinThickSmallGap" w:sz="24" w:space="0" w:color="auto"/>
            </w:tcBorders>
          </w:tcPr>
          <w:p w:rsidR="003A51D3" w:rsidRPr="00793C07" w:rsidRDefault="003A51D3" w:rsidP="003A51D3">
            <w:pPr>
              <w:autoSpaceDE w:val="0"/>
              <w:autoSpaceDN w:val="0"/>
              <w:adjustRightInd w:val="0"/>
              <w:jc w:val="center"/>
              <w:rPr>
                <w:b/>
              </w:rPr>
            </w:pPr>
            <w:r w:rsidRPr="00793C07">
              <w:rPr>
                <w:b/>
              </w:rPr>
              <w:t>CONTAMINANT</w:t>
            </w:r>
          </w:p>
        </w:tc>
        <w:tc>
          <w:tcPr>
            <w:tcW w:w="4788" w:type="dxa"/>
            <w:tcBorders>
              <w:top w:val="thinThickSmallGap" w:sz="24" w:space="0" w:color="auto"/>
              <w:left w:val="thinThickSmallGap" w:sz="24" w:space="0" w:color="auto"/>
              <w:bottom w:val="thinThickSmallGap" w:sz="24" w:space="0" w:color="auto"/>
              <w:right w:val="thinThickSmallGap" w:sz="24" w:space="0" w:color="auto"/>
            </w:tcBorders>
          </w:tcPr>
          <w:p w:rsidR="003A51D3" w:rsidRPr="00793C07" w:rsidRDefault="003A51D3" w:rsidP="00793C07">
            <w:pPr>
              <w:autoSpaceDE w:val="0"/>
              <w:autoSpaceDN w:val="0"/>
              <w:adjustRightInd w:val="0"/>
              <w:jc w:val="center"/>
              <w:rPr>
                <w:b/>
              </w:rPr>
            </w:pPr>
            <w:r w:rsidRPr="00793C07">
              <w:rPr>
                <w:b/>
              </w:rPr>
              <w:t>CLEANUP LEVEL (milligrams</w:t>
            </w:r>
            <w:r w:rsidR="00793C07">
              <w:rPr>
                <w:b/>
              </w:rPr>
              <w:t>/</w:t>
            </w:r>
            <w:r w:rsidRPr="00793C07">
              <w:rPr>
                <w:b/>
              </w:rPr>
              <w:t>Kilogram)</w:t>
            </w:r>
          </w:p>
        </w:tc>
      </w:tr>
      <w:tr w:rsidR="003A51D3" w:rsidTr="00793C07">
        <w:tc>
          <w:tcPr>
            <w:tcW w:w="4788" w:type="dxa"/>
            <w:tcBorders>
              <w:top w:val="thinThickSmallGap" w:sz="2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Tetrachloroethene</w:t>
            </w:r>
          </w:p>
        </w:tc>
        <w:tc>
          <w:tcPr>
            <w:tcW w:w="4788" w:type="dxa"/>
            <w:tcBorders>
              <w:top w:val="thinThickSmallGap" w:sz="2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0.5</w:t>
            </w:r>
          </w:p>
        </w:tc>
      </w:tr>
      <w:tr w:rsidR="003A51D3" w:rsidTr="00793C07">
        <w:tc>
          <w:tcPr>
            <w:tcW w:w="4788" w:type="dxa"/>
            <w:tcBorders>
              <w:top w:val="double" w:sz="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Trichloroethene</w:t>
            </w:r>
          </w:p>
        </w:tc>
        <w:tc>
          <w:tcPr>
            <w:tcW w:w="4788" w:type="dxa"/>
            <w:tcBorders>
              <w:top w:val="double" w:sz="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0.5</w:t>
            </w:r>
          </w:p>
        </w:tc>
      </w:tr>
      <w:tr w:rsidR="003A51D3" w:rsidTr="00793C07">
        <w:tc>
          <w:tcPr>
            <w:tcW w:w="4788" w:type="dxa"/>
            <w:tcBorders>
              <w:top w:val="double" w:sz="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Dichloromethane</w:t>
            </w:r>
          </w:p>
        </w:tc>
        <w:tc>
          <w:tcPr>
            <w:tcW w:w="4788" w:type="dxa"/>
            <w:tcBorders>
              <w:top w:val="double" w:sz="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0.5</w:t>
            </w:r>
          </w:p>
        </w:tc>
      </w:tr>
      <w:tr w:rsidR="003A51D3" w:rsidTr="00793C07">
        <w:tc>
          <w:tcPr>
            <w:tcW w:w="4788" w:type="dxa"/>
            <w:tcBorders>
              <w:top w:val="double" w:sz="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Hexachlorobenzene</w:t>
            </w:r>
          </w:p>
        </w:tc>
        <w:tc>
          <w:tcPr>
            <w:tcW w:w="4788" w:type="dxa"/>
            <w:tcBorders>
              <w:top w:val="double" w:sz="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0.00005</w:t>
            </w:r>
          </w:p>
        </w:tc>
      </w:tr>
      <w:tr w:rsidR="003A51D3" w:rsidTr="00793C07">
        <w:tc>
          <w:tcPr>
            <w:tcW w:w="4788" w:type="dxa"/>
            <w:tcBorders>
              <w:top w:val="double" w:sz="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Hexachlorobutadiene</w:t>
            </w:r>
          </w:p>
        </w:tc>
        <w:tc>
          <w:tcPr>
            <w:tcW w:w="4788" w:type="dxa"/>
            <w:tcBorders>
              <w:top w:val="double" w:sz="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0.06</w:t>
            </w:r>
          </w:p>
        </w:tc>
      </w:tr>
      <w:tr w:rsidR="003A51D3" w:rsidTr="00793C07">
        <w:tc>
          <w:tcPr>
            <w:tcW w:w="4788" w:type="dxa"/>
            <w:tcBorders>
              <w:top w:val="double" w:sz="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Cis-1,2-dichloroethene</w:t>
            </w:r>
          </w:p>
        </w:tc>
        <w:tc>
          <w:tcPr>
            <w:tcW w:w="4788" w:type="dxa"/>
            <w:tcBorders>
              <w:top w:val="double" w:sz="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7</w:t>
            </w:r>
          </w:p>
        </w:tc>
      </w:tr>
      <w:tr w:rsidR="003A51D3" w:rsidTr="00793C07">
        <w:tc>
          <w:tcPr>
            <w:tcW w:w="4788" w:type="dxa"/>
            <w:tcBorders>
              <w:top w:val="double" w:sz="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Vinyl Chloride</w:t>
            </w:r>
          </w:p>
        </w:tc>
        <w:tc>
          <w:tcPr>
            <w:tcW w:w="4788" w:type="dxa"/>
            <w:tcBorders>
              <w:top w:val="double" w:sz="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0.002</w:t>
            </w:r>
          </w:p>
        </w:tc>
      </w:tr>
      <w:tr w:rsidR="003A51D3" w:rsidTr="00793C07">
        <w:tc>
          <w:tcPr>
            <w:tcW w:w="4788" w:type="dxa"/>
            <w:tcBorders>
              <w:top w:val="double" w:sz="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Arsenic</w:t>
            </w:r>
          </w:p>
        </w:tc>
        <w:tc>
          <w:tcPr>
            <w:tcW w:w="4788" w:type="dxa"/>
            <w:tcBorders>
              <w:top w:val="double" w:sz="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188</w:t>
            </w:r>
          </w:p>
        </w:tc>
      </w:tr>
      <w:tr w:rsidR="003A51D3" w:rsidTr="00793C07">
        <w:tc>
          <w:tcPr>
            <w:tcW w:w="4788" w:type="dxa"/>
            <w:tcBorders>
              <w:top w:val="double" w:sz="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Lead</w:t>
            </w:r>
          </w:p>
        </w:tc>
        <w:tc>
          <w:tcPr>
            <w:tcW w:w="4788" w:type="dxa"/>
            <w:tcBorders>
              <w:top w:val="double" w:sz="4" w:space="0" w:color="auto"/>
              <w:left w:val="double" w:sz="4" w:space="0" w:color="auto"/>
              <w:bottom w:val="double" w:sz="4" w:space="0" w:color="auto"/>
              <w:right w:val="double" w:sz="4" w:space="0" w:color="auto"/>
            </w:tcBorders>
          </w:tcPr>
          <w:p w:rsidR="003A51D3" w:rsidRDefault="003A51D3" w:rsidP="003A51D3">
            <w:pPr>
              <w:autoSpaceDE w:val="0"/>
              <w:autoSpaceDN w:val="0"/>
              <w:adjustRightInd w:val="0"/>
              <w:jc w:val="center"/>
            </w:pPr>
            <w:r>
              <w:t>1000</w:t>
            </w:r>
          </w:p>
        </w:tc>
      </w:tr>
    </w:tbl>
    <w:p w:rsidR="003A51D3" w:rsidRPr="003A51D3" w:rsidRDefault="003A51D3" w:rsidP="003A51D3">
      <w:pPr>
        <w:autoSpaceDE w:val="0"/>
        <w:autoSpaceDN w:val="0"/>
        <w:adjustRightInd w:val="0"/>
        <w:jc w:val="center"/>
      </w:pPr>
    </w:p>
    <w:p w:rsidR="00B46611" w:rsidRDefault="00B46611" w:rsidP="00FE4275">
      <w:pPr>
        <w:autoSpaceDE w:val="0"/>
        <w:autoSpaceDN w:val="0"/>
        <w:adjustRightInd w:val="0"/>
      </w:pPr>
    </w:p>
    <w:p w:rsidR="00B46611" w:rsidRPr="00050D43" w:rsidRDefault="00050D43" w:rsidP="003A51D3">
      <w:pPr>
        <w:autoSpaceDE w:val="0"/>
        <w:autoSpaceDN w:val="0"/>
        <w:adjustRightInd w:val="0"/>
        <w:jc w:val="center"/>
        <w:rPr>
          <w:b/>
        </w:rPr>
      </w:pPr>
      <w:r w:rsidRPr="00050D43">
        <w:rPr>
          <w:b/>
        </w:rPr>
        <w:t>Table 2:  Groundwater Cleanup Levels</w:t>
      </w:r>
    </w:p>
    <w:p w:rsidR="00B46611" w:rsidRDefault="00B46611" w:rsidP="00FE4275">
      <w:pPr>
        <w:autoSpaceDE w:val="0"/>
        <w:autoSpaceDN w:val="0"/>
        <w:adjustRightInd w:val="0"/>
      </w:pPr>
    </w:p>
    <w:tbl>
      <w:tblPr>
        <w:tblStyle w:val="TableGrid"/>
        <w:tblW w:w="0" w:type="auto"/>
        <w:tblLook w:val="04A0" w:firstRow="1" w:lastRow="0" w:firstColumn="1" w:lastColumn="0" w:noHBand="0" w:noVBand="1"/>
      </w:tblPr>
      <w:tblGrid>
        <w:gridCol w:w="4632"/>
        <w:gridCol w:w="4638"/>
      </w:tblGrid>
      <w:tr w:rsidR="00050D43" w:rsidTr="00793C07">
        <w:tc>
          <w:tcPr>
            <w:tcW w:w="4788" w:type="dxa"/>
            <w:tcBorders>
              <w:top w:val="thinThickSmallGap" w:sz="24" w:space="0" w:color="auto"/>
              <w:left w:val="thinThickSmallGap" w:sz="24" w:space="0" w:color="auto"/>
              <w:bottom w:val="thinThickSmallGap" w:sz="24" w:space="0" w:color="auto"/>
              <w:right w:val="thinThickSmallGap" w:sz="24" w:space="0" w:color="auto"/>
            </w:tcBorders>
          </w:tcPr>
          <w:p w:rsidR="00050D43" w:rsidRPr="00793C07" w:rsidRDefault="00050D43" w:rsidP="00050D43">
            <w:pPr>
              <w:autoSpaceDE w:val="0"/>
              <w:autoSpaceDN w:val="0"/>
              <w:adjustRightInd w:val="0"/>
              <w:jc w:val="center"/>
              <w:rPr>
                <w:b/>
              </w:rPr>
            </w:pPr>
            <w:r w:rsidRPr="00793C07">
              <w:rPr>
                <w:b/>
              </w:rPr>
              <w:t>CONTAMINANT</w:t>
            </w:r>
          </w:p>
        </w:tc>
        <w:tc>
          <w:tcPr>
            <w:tcW w:w="4788" w:type="dxa"/>
            <w:tcBorders>
              <w:top w:val="thinThickSmallGap" w:sz="24" w:space="0" w:color="auto"/>
              <w:left w:val="thinThickSmallGap" w:sz="24" w:space="0" w:color="auto"/>
              <w:bottom w:val="thinThickSmallGap" w:sz="24" w:space="0" w:color="auto"/>
              <w:right w:val="thinThickSmallGap" w:sz="24" w:space="0" w:color="auto"/>
            </w:tcBorders>
          </w:tcPr>
          <w:p w:rsidR="00050D43" w:rsidRPr="00793C07" w:rsidRDefault="00050D43" w:rsidP="00793C07">
            <w:pPr>
              <w:autoSpaceDE w:val="0"/>
              <w:autoSpaceDN w:val="0"/>
              <w:adjustRightInd w:val="0"/>
              <w:jc w:val="center"/>
              <w:rPr>
                <w:b/>
              </w:rPr>
            </w:pPr>
            <w:r w:rsidRPr="00793C07">
              <w:rPr>
                <w:b/>
              </w:rPr>
              <w:t>CLEANUP LEVEL (micrograms</w:t>
            </w:r>
            <w:r w:rsidR="00793C07" w:rsidRPr="00793C07">
              <w:rPr>
                <w:b/>
              </w:rPr>
              <w:t>/</w:t>
            </w:r>
            <w:r w:rsidRPr="00793C07">
              <w:rPr>
                <w:b/>
              </w:rPr>
              <w:t>Liter)</w:t>
            </w:r>
          </w:p>
        </w:tc>
      </w:tr>
      <w:tr w:rsidR="00050D43" w:rsidTr="00793C07">
        <w:tc>
          <w:tcPr>
            <w:tcW w:w="4788" w:type="dxa"/>
            <w:tcBorders>
              <w:top w:val="thinThickSmallGap" w:sz="24" w:space="0" w:color="auto"/>
              <w:left w:val="double" w:sz="4" w:space="0" w:color="auto"/>
              <w:bottom w:val="double" w:sz="4" w:space="0" w:color="auto"/>
              <w:right w:val="double" w:sz="4" w:space="0" w:color="auto"/>
            </w:tcBorders>
          </w:tcPr>
          <w:p w:rsidR="00050D43" w:rsidRDefault="00050D43" w:rsidP="00050D43">
            <w:pPr>
              <w:autoSpaceDE w:val="0"/>
              <w:autoSpaceDN w:val="0"/>
              <w:adjustRightInd w:val="0"/>
              <w:jc w:val="center"/>
            </w:pPr>
            <w:r>
              <w:t>Tetrachloroethene</w:t>
            </w:r>
          </w:p>
        </w:tc>
        <w:tc>
          <w:tcPr>
            <w:tcW w:w="4788" w:type="dxa"/>
            <w:tcBorders>
              <w:top w:val="thinThickSmallGap" w:sz="24" w:space="0" w:color="auto"/>
              <w:left w:val="double" w:sz="4" w:space="0" w:color="auto"/>
              <w:bottom w:val="double" w:sz="4" w:space="0" w:color="auto"/>
              <w:right w:val="double" w:sz="4" w:space="0" w:color="auto"/>
            </w:tcBorders>
          </w:tcPr>
          <w:p w:rsidR="00050D43" w:rsidRDefault="00050D43" w:rsidP="00793C07">
            <w:pPr>
              <w:autoSpaceDE w:val="0"/>
              <w:autoSpaceDN w:val="0"/>
              <w:adjustRightInd w:val="0"/>
              <w:jc w:val="center"/>
            </w:pPr>
            <w:r>
              <w:t>5</w:t>
            </w:r>
          </w:p>
        </w:tc>
      </w:tr>
      <w:tr w:rsidR="00050D43" w:rsidTr="00793C07">
        <w:tc>
          <w:tcPr>
            <w:tcW w:w="4788" w:type="dxa"/>
            <w:tcBorders>
              <w:top w:val="double" w:sz="4" w:space="0" w:color="auto"/>
              <w:left w:val="double" w:sz="4" w:space="0" w:color="auto"/>
              <w:bottom w:val="double" w:sz="4" w:space="0" w:color="auto"/>
              <w:right w:val="double" w:sz="4" w:space="0" w:color="auto"/>
            </w:tcBorders>
          </w:tcPr>
          <w:p w:rsidR="00050D43" w:rsidRDefault="00050D43" w:rsidP="00050D43">
            <w:pPr>
              <w:autoSpaceDE w:val="0"/>
              <w:autoSpaceDN w:val="0"/>
              <w:adjustRightInd w:val="0"/>
              <w:jc w:val="center"/>
            </w:pPr>
            <w:r>
              <w:t>Trichloroethene</w:t>
            </w:r>
          </w:p>
        </w:tc>
        <w:tc>
          <w:tcPr>
            <w:tcW w:w="4788" w:type="dxa"/>
            <w:tcBorders>
              <w:top w:val="double" w:sz="4" w:space="0" w:color="auto"/>
              <w:left w:val="double" w:sz="4" w:space="0" w:color="auto"/>
              <w:bottom w:val="double" w:sz="4" w:space="0" w:color="auto"/>
              <w:right w:val="double" w:sz="4" w:space="0" w:color="auto"/>
            </w:tcBorders>
          </w:tcPr>
          <w:p w:rsidR="00050D43" w:rsidRDefault="00050D43" w:rsidP="00793C07">
            <w:pPr>
              <w:autoSpaceDE w:val="0"/>
              <w:autoSpaceDN w:val="0"/>
              <w:adjustRightInd w:val="0"/>
              <w:jc w:val="center"/>
            </w:pPr>
            <w:r>
              <w:t>5</w:t>
            </w:r>
          </w:p>
        </w:tc>
      </w:tr>
      <w:tr w:rsidR="00050D43" w:rsidTr="00793C07">
        <w:tc>
          <w:tcPr>
            <w:tcW w:w="4788" w:type="dxa"/>
            <w:tcBorders>
              <w:top w:val="double" w:sz="4" w:space="0" w:color="auto"/>
              <w:left w:val="double" w:sz="4" w:space="0" w:color="auto"/>
              <w:bottom w:val="double" w:sz="4" w:space="0" w:color="auto"/>
              <w:right w:val="double" w:sz="4" w:space="0" w:color="auto"/>
            </w:tcBorders>
          </w:tcPr>
          <w:p w:rsidR="00050D43" w:rsidRDefault="00050D43" w:rsidP="00050D43">
            <w:pPr>
              <w:autoSpaceDE w:val="0"/>
              <w:autoSpaceDN w:val="0"/>
              <w:adjustRightInd w:val="0"/>
              <w:jc w:val="center"/>
            </w:pPr>
            <w:r>
              <w:t>Dichloromethane</w:t>
            </w:r>
          </w:p>
        </w:tc>
        <w:tc>
          <w:tcPr>
            <w:tcW w:w="4788" w:type="dxa"/>
            <w:tcBorders>
              <w:top w:val="double" w:sz="4" w:space="0" w:color="auto"/>
              <w:left w:val="double" w:sz="4" w:space="0" w:color="auto"/>
              <w:bottom w:val="double" w:sz="4" w:space="0" w:color="auto"/>
              <w:right w:val="double" w:sz="4" w:space="0" w:color="auto"/>
            </w:tcBorders>
          </w:tcPr>
          <w:p w:rsidR="00050D43" w:rsidRDefault="00050D43" w:rsidP="00050D43">
            <w:pPr>
              <w:autoSpaceDE w:val="0"/>
              <w:autoSpaceDN w:val="0"/>
              <w:adjustRightInd w:val="0"/>
              <w:jc w:val="center"/>
            </w:pPr>
            <w:r>
              <w:t>5</w:t>
            </w:r>
          </w:p>
        </w:tc>
      </w:tr>
      <w:tr w:rsidR="00050D43" w:rsidTr="00793C07">
        <w:tc>
          <w:tcPr>
            <w:tcW w:w="4788" w:type="dxa"/>
            <w:tcBorders>
              <w:top w:val="double" w:sz="4" w:space="0" w:color="auto"/>
              <w:left w:val="double" w:sz="4" w:space="0" w:color="auto"/>
              <w:bottom w:val="double" w:sz="4" w:space="0" w:color="auto"/>
              <w:right w:val="double" w:sz="4" w:space="0" w:color="auto"/>
            </w:tcBorders>
          </w:tcPr>
          <w:p w:rsidR="00050D43" w:rsidRDefault="00050D43" w:rsidP="00050D43">
            <w:pPr>
              <w:autoSpaceDE w:val="0"/>
              <w:autoSpaceDN w:val="0"/>
              <w:adjustRightInd w:val="0"/>
              <w:jc w:val="center"/>
            </w:pPr>
            <w:r>
              <w:t>Cis-1,2-dichloroethene</w:t>
            </w:r>
          </w:p>
        </w:tc>
        <w:tc>
          <w:tcPr>
            <w:tcW w:w="4788" w:type="dxa"/>
            <w:tcBorders>
              <w:top w:val="double" w:sz="4" w:space="0" w:color="auto"/>
              <w:left w:val="double" w:sz="4" w:space="0" w:color="auto"/>
              <w:bottom w:val="double" w:sz="4" w:space="0" w:color="auto"/>
              <w:right w:val="double" w:sz="4" w:space="0" w:color="auto"/>
            </w:tcBorders>
          </w:tcPr>
          <w:p w:rsidR="00050D43" w:rsidRDefault="00050D43" w:rsidP="00050D43">
            <w:pPr>
              <w:autoSpaceDE w:val="0"/>
              <w:autoSpaceDN w:val="0"/>
              <w:adjustRightInd w:val="0"/>
              <w:jc w:val="center"/>
            </w:pPr>
            <w:r>
              <w:t>70</w:t>
            </w:r>
          </w:p>
        </w:tc>
      </w:tr>
      <w:tr w:rsidR="00050D43" w:rsidTr="00793C07">
        <w:tc>
          <w:tcPr>
            <w:tcW w:w="4788" w:type="dxa"/>
            <w:tcBorders>
              <w:top w:val="double" w:sz="4" w:space="0" w:color="auto"/>
              <w:left w:val="double" w:sz="4" w:space="0" w:color="auto"/>
              <w:bottom w:val="double" w:sz="4" w:space="0" w:color="auto"/>
              <w:right w:val="double" w:sz="4" w:space="0" w:color="auto"/>
            </w:tcBorders>
          </w:tcPr>
          <w:p w:rsidR="00050D43" w:rsidRDefault="00050D43" w:rsidP="00050D43">
            <w:pPr>
              <w:autoSpaceDE w:val="0"/>
              <w:autoSpaceDN w:val="0"/>
              <w:adjustRightInd w:val="0"/>
              <w:jc w:val="center"/>
            </w:pPr>
            <w:r>
              <w:t>Vinyl Chloride</w:t>
            </w:r>
          </w:p>
        </w:tc>
        <w:tc>
          <w:tcPr>
            <w:tcW w:w="4788" w:type="dxa"/>
            <w:tcBorders>
              <w:top w:val="double" w:sz="4" w:space="0" w:color="auto"/>
              <w:left w:val="double" w:sz="4" w:space="0" w:color="auto"/>
              <w:bottom w:val="double" w:sz="4" w:space="0" w:color="auto"/>
              <w:right w:val="double" w:sz="4" w:space="0" w:color="auto"/>
            </w:tcBorders>
          </w:tcPr>
          <w:p w:rsidR="00050D43" w:rsidRDefault="00050D43" w:rsidP="00050D43">
            <w:pPr>
              <w:autoSpaceDE w:val="0"/>
              <w:autoSpaceDN w:val="0"/>
              <w:adjustRightInd w:val="0"/>
              <w:jc w:val="center"/>
            </w:pPr>
            <w:r>
              <w:t>0.02</w:t>
            </w:r>
          </w:p>
        </w:tc>
      </w:tr>
      <w:tr w:rsidR="00050D43" w:rsidTr="00793C07">
        <w:tc>
          <w:tcPr>
            <w:tcW w:w="4788" w:type="dxa"/>
            <w:tcBorders>
              <w:top w:val="double" w:sz="4" w:space="0" w:color="auto"/>
              <w:left w:val="double" w:sz="4" w:space="0" w:color="auto"/>
              <w:bottom w:val="double" w:sz="4" w:space="0" w:color="auto"/>
              <w:right w:val="double" w:sz="4" w:space="0" w:color="auto"/>
            </w:tcBorders>
          </w:tcPr>
          <w:p w:rsidR="00050D43" w:rsidRDefault="00050D43" w:rsidP="00050D43">
            <w:pPr>
              <w:autoSpaceDE w:val="0"/>
              <w:autoSpaceDN w:val="0"/>
              <w:adjustRightInd w:val="0"/>
              <w:jc w:val="center"/>
            </w:pPr>
            <w:r>
              <w:t>Arsenic</w:t>
            </w:r>
          </w:p>
        </w:tc>
        <w:tc>
          <w:tcPr>
            <w:tcW w:w="4788" w:type="dxa"/>
            <w:tcBorders>
              <w:top w:val="double" w:sz="4" w:space="0" w:color="auto"/>
              <w:left w:val="double" w:sz="4" w:space="0" w:color="auto"/>
              <w:bottom w:val="double" w:sz="4" w:space="0" w:color="auto"/>
              <w:right w:val="double" w:sz="4" w:space="0" w:color="auto"/>
            </w:tcBorders>
          </w:tcPr>
          <w:p w:rsidR="00050D43" w:rsidRDefault="00050D43" w:rsidP="00050D43">
            <w:pPr>
              <w:autoSpaceDE w:val="0"/>
              <w:autoSpaceDN w:val="0"/>
              <w:adjustRightInd w:val="0"/>
              <w:jc w:val="center"/>
            </w:pPr>
            <w:r>
              <w:t>0.05</w:t>
            </w:r>
          </w:p>
        </w:tc>
      </w:tr>
      <w:tr w:rsidR="00050D43" w:rsidTr="00793C07">
        <w:tc>
          <w:tcPr>
            <w:tcW w:w="4788" w:type="dxa"/>
            <w:tcBorders>
              <w:top w:val="double" w:sz="4" w:space="0" w:color="auto"/>
              <w:left w:val="double" w:sz="4" w:space="0" w:color="auto"/>
              <w:bottom w:val="double" w:sz="4" w:space="0" w:color="auto"/>
              <w:right w:val="double" w:sz="4" w:space="0" w:color="auto"/>
            </w:tcBorders>
          </w:tcPr>
          <w:p w:rsidR="00050D43" w:rsidRDefault="00050D43" w:rsidP="00050D43">
            <w:pPr>
              <w:autoSpaceDE w:val="0"/>
              <w:autoSpaceDN w:val="0"/>
              <w:adjustRightInd w:val="0"/>
              <w:jc w:val="center"/>
            </w:pPr>
            <w:r>
              <w:t>Lead</w:t>
            </w:r>
          </w:p>
        </w:tc>
        <w:tc>
          <w:tcPr>
            <w:tcW w:w="4788" w:type="dxa"/>
            <w:tcBorders>
              <w:top w:val="double" w:sz="4" w:space="0" w:color="auto"/>
              <w:left w:val="double" w:sz="4" w:space="0" w:color="auto"/>
              <w:bottom w:val="double" w:sz="4" w:space="0" w:color="auto"/>
              <w:right w:val="double" w:sz="4" w:space="0" w:color="auto"/>
            </w:tcBorders>
          </w:tcPr>
          <w:p w:rsidR="00050D43" w:rsidRDefault="00050D43" w:rsidP="00050D43">
            <w:pPr>
              <w:autoSpaceDE w:val="0"/>
              <w:autoSpaceDN w:val="0"/>
              <w:adjustRightInd w:val="0"/>
              <w:jc w:val="center"/>
            </w:pPr>
            <w:r>
              <w:t>5</w:t>
            </w:r>
          </w:p>
        </w:tc>
      </w:tr>
    </w:tbl>
    <w:p w:rsidR="00050D43" w:rsidRDefault="00050D43" w:rsidP="00FE4275">
      <w:pPr>
        <w:autoSpaceDE w:val="0"/>
        <w:autoSpaceDN w:val="0"/>
        <w:adjustRightInd w:val="0"/>
      </w:pPr>
    </w:p>
    <w:p w:rsidR="00050D43" w:rsidRDefault="00050D43" w:rsidP="00FE4275">
      <w:pPr>
        <w:autoSpaceDE w:val="0"/>
        <w:autoSpaceDN w:val="0"/>
        <w:adjustRightInd w:val="0"/>
      </w:pPr>
    </w:p>
    <w:p w:rsidR="00A61CA7" w:rsidRDefault="00BF32AA" w:rsidP="005608F1">
      <w:pPr>
        <w:pStyle w:val="Heading2"/>
        <w:numPr>
          <w:ilvl w:val="1"/>
          <w:numId w:val="49"/>
        </w:numPr>
      </w:pPr>
      <w:bookmarkStart w:id="5" w:name="_Toc313360085"/>
      <w:r>
        <w:t>Site Investigations</w:t>
      </w:r>
      <w:bookmarkEnd w:id="5"/>
      <w:r w:rsidR="00434524">
        <w:t xml:space="preserve"> </w:t>
      </w:r>
      <w:r w:rsidR="009B39CC">
        <w:t>and Feasibility Study</w:t>
      </w:r>
    </w:p>
    <w:p w:rsidR="00140B88" w:rsidRDefault="00140B88" w:rsidP="00140B88">
      <w:pPr>
        <w:autoSpaceDE w:val="0"/>
        <w:autoSpaceDN w:val="0"/>
        <w:adjustRightInd w:val="0"/>
      </w:pPr>
    </w:p>
    <w:p w:rsidR="00E34EFD" w:rsidRDefault="00145DC5" w:rsidP="005608F1">
      <w:pPr>
        <w:pStyle w:val="Heading3"/>
        <w:numPr>
          <w:ilvl w:val="2"/>
          <w:numId w:val="49"/>
        </w:numPr>
        <w:ind w:left="720"/>
      </w:pPr>
      <w:r>
        <w:t>19</w:t>
      </w:r>
      <w:r w:rsidR="00BF32AA">
        <w:t>8</w:t>
      </w:r>
      <w:r w:rsidR="004D573F">
        <w:t>4 Site Investigation</w:t>
      </w:r>
    </w:p>
    <w:p w:rsidR="00E34EFD" w:rsidRDefault="00E34EFD" w:rsidP="00140B88">
      <w:pPr>
        <w:autoSpaceDE w:val="0"/>
        <w:autoSpaceDN w:val="0"/>
        <w:adjustRightInd w:val="0"/>
      </w:pPr>
    </w:p>
    <w:p w:rsidR="004D573F" w:rsidRDefault="00822087" w:rsidP="00455C83">
      <w:pPr>
        <w:autoSpaceDE w:val="0"/>
        <w:autoSpaceDN w:val="0"/>
        <w:adjustRightInd w:val="0"/>
        <w:rPr>
          <w:szCs w:val="24"/>
        </w:rPr>
      </w:pPr>
      <w:r>
        <w:rPr>
          <w:szCs w:val="24"/>
        </w:rPr>
        <w:t>In 1984, five soil samples were collected from the identified sludge disposal area at the west end of the Site.  These samples were collected from depths of 8 to 12 inches below the ground surface.  These samples were analyzed for chloroform, trichloroethylene</w:t>
      </w:r>
      <w:r w:rsidR="00881FA6">
        <w:rPr>
          <w:szCs w:val="24"/>
        </w:rPr>
        <w:t xml:space="preserve"> (TCE)</w:t>
      </w:r>
      <w:r>
        <w:rPr>
          <w:szCs w:val="24"/>
        </w:rPr>
        <w:t>, and tetrachloroethylene</w:t>
      </w:r>
      <w:r w:rsidR="00881FA6">
        <w:rPr>
          <w:szCs w:val="24"/>
        </w:rPr>
        <w:t xml:space="preserve"> (PCE)</w:t>
      </w:r>
      <w:r>
        <w:rPr>
          <w:szCs w:val="24"/>
        </w:rPr>
        <w:t xml:space="preserve">, compounds known to be present in OxyChem lime sludge.  The </w:t>
      </w:r>
      <w:r w:rsidR="009A75E0">
        <w:rPr>
          <w:szCs w:val="24"/>
        </w:rPr>
        <w:t xml:space="preserve">analyses </w:t>
      </w:r>
      <w:r>
        <w:rPr>
          <w:szCs w:val="24"/>
        </w:rPr>
        <w:t>of th</w:t>
      </w:r>
      <w:r w:rsidR="009A75E0">
        <w:rPr>
          <w:szCs w:val="24"/>
        </w:rPr>
        <w:t xml:space="preserve">ese soil samples did not indicate the presence of the above chemicals, at a detection limit of 0.40 mg/Kg.  It was, therefore, concluded that the analyses did not confirm the report of past disposal of OxyChem like sludge at the Site and no further work was deemed necessary at that time.  The soil sampling locations and results are presented in </w:t>
      </w:r>
      <w:r w:rsidR="009A75E0" w:rsidRPr="00E232AA">
        <w:rPr>
          <w:szCs w:val="24"/>
        </w:rPr>
        <w:t xml:space="preserve">Appendix </w:t>
      </w:r>
      <w:r w:rsidR="00E232AA" w:rsidRPr="00E232AA">
        <w:rPr>
          <w:szCs w:val="24"/>
        </w:rPr>
        <w:t>6.3</w:t>
      </w:r>
      <w:r w:rsidR="00E232AA">
        <w:rPr>
          <w:szCs w:val="24"/>
        </w:rPr>
        <w:t>.</w:t>
      </w:r>
      <w:r w:rsidR="009A75E0">
        <w:rPr>
          <w:szCs w:val="24"/>
        </w:rPr>
        <w:t xml:space="preserve">  </w:t>
      </w:r>
      <w:r>
        <w:rPr>
          <w:szCs w:val="24"/>
        </w:rPr>
        <w:t xml:space="preserve"> </w:t>
      </w:r>
    </w:p>
    <w:p w:rsidR="004D573F" w:rsidRDefault="004D573F" w:rsidP="00455C83">
      <w:pPr>
        <w:autoSpaceDE w:val="0"/>
        <w:autoSpaceDN w:val="0"/>
        <w:adjustRightInd w:val="0"/>
        <w:rPr>
          <w:szCs w:val="24"/>
        </w:rPr>
      </w:pPr>
    </w:p>
    <w:p w:rsidR="009A75E0" w:rsidRDefault="00EB451A" w:rsidP="005608F1">
      <w:pPr>
        <w:pStyle w:val="Heading3"/>
        <w:numPr>
          <w:ilvl w:val="2"/>
          <w:numId w:val="49"/>
        </w:numPr>
        <w:ind w:left="720"/>
      </w:pPr>
      <w:r>
        <w:t xml:space="preserve">1990 and </w:t>
      </w:r>
      <w:r w:rsidR="003B5AA0">
        <w:t>1991 Site Investigation</w:t>
      </w:r>
    </w:p>
    <w:p w:rsidR="003B5AA0" w:rsidRDefault="003B5AA0" w:rsidP="00455C83">
      <w:pPr>
        <w:autoSpaceDE w:val="0"/>
        <w:autoSpaceDN w:val="0"/>
        <w:adjustRightInd w:val="0"/>
        <w:rPr>
          <w:szCs w:val="24"/>
        </w:rPr>
      </w:pPr>
    </w:p>
    <w:p w:rsidR="00446A8E" w:rsidRDefault="007C2889" w:rsidP="00455C83">
      <w:pPr>
        <w:autoSpaceDE w:val="0"/>
        <w:autoSpaceDN w:val="0"/>
        <w:adjustRightInd w:val="0"/>
        <w:rPr>
          <w:szCs w:val="24"/>
        </w:rPr>
      </w:pPr>
      <w:r>
        <w:rPr>
          <w:szCs w:val="24"/>
        </w:rPr>
        <w:t xml:space="preserve">As a result of the detection of compounds associated with the </w:t>
      </w:r>
      <w:r w:rsidR="00446A8E">
        <w:rPr>
          <w:szCs w:val="24"/>
        </w:rPr>
        <w:t xml:space="preserve">OxyChem lime sludge in groundwater and a soil sample(s) collected at the adjacent Port-of-Tacoma East-West Road property, the OCC conducted additional investigations </w:t>
      </w:r>
      <w:r w:rsidR="00DB7849">
        <w:rPr>
          <w:szCs w:val="24"/>
        </w:rPr>
        <w:t xml:space="preserve">on the BPA Property </w:t>
      </w:r>
      <w:r w:rsidR="009D14A4">
        <w:rPr>
          <w:szCs w:val="24"/>
        </w:rPr>
        <w:t>in October 1990</w:t>
      </w:r>
      <w:r w:rsidR="00DB7849">
        <w:rPr>
          <w:szCs w:val="24"/>
        </w:rPr>
        <w:t xml:space="preserve"> and early</w:t>
      </w:r>
      <w:r w:rsidR="009D14A4">
        <w:rPr>
          <w:szCs w:val="24"/>
        </w:rPr>
        <w:t xml:space="preserve"> 1991 </w:t>
      </w:r>
      <w:r w:rsidR="00446A8E">
        <w:rPr>
          <w:szCs w:val="24"/>
        </w:rPr>
        <w:t>to:</w:t>
      </w:r>
    </w:p>
    <w:p w:rsidR="00446A8E" w:rsidRDefault="00446A8E" w:rsidP="00455C83">
      <w:pPr>
        <w:autoSpaceDE w:val="0"/>
        <w:autoSpaceDN w:val="0"/>
        <w:adjustRightInd w:val="0"/>
        <w:rPr>
          <w:szCs w:val="24"/>
        </w:rPr>
      </w:pPr>
    </w:p>
    <w:p w:rsidR="00446A8E" w:rsidRPr="00446A8E" w:rsidRDefault="00446A8E" w:rsidP="00446A8E">
      <w:pPr>
        <w:pStyle w:val="ListParagraph"/>
        <w:numPr>
          <w:ilvl w:val="0"/>
          <w:numId w:val="46"/>
        </w:numPr>
        <w:autoSpaceDE w:val="0"/>
        <w:autoSpaceDN w:val="0"/>
        <w:adjustRightInd w:val="0"/>
        <w:rPr>
          <w:szCs w:val="24"/>
        </w:rPr>
      </w:pPr>
      <w:r w:rsidRPr="00446A8E">
        <w:rPr>
          <w:szCs w:val="24"/>
        </w:rPr>
        <w:t>To further characterize the materials at the Site;</w:t>
      </w:r>
    </w:p>
    <w:p w:rsidR="00446A8E" w:rsidRPr="00446A8E" w:rsidRDefault="00446A8E" w:rsidP="00446A8E">
      <w:pPr>
        <w:pStyle w:val="ListParagraph"/>
        <w:numPr>
          <w:ilvl w:val="0"/>
          <w:numId w:val="46"/>
        </w:numPr>
        <w:autoSpaceDE w:val="0"/>
        <w:autoSpaceDN w:val="0"/>
        <w:adjustRightInd w:val="0"/>
        <w:rPr>
          <w:szCs w:val="24"/>
        </w:rPr>
      </w:pPr>
      <w:r w:rsidRPr="00446A8E">
        <w:rPr>
          <w:szCs w:val="24"/>
        </w:rPr>
        <w:t>To determine whether OxyChem lime sludge was disposed of at the Site; and</w:t>
      </w:r>
    </w:p>
    <w:p w:rsidR="003B5AA0" w:rsidRPr="00446A8E" w:rsidRDefault="00446A8E" w:rsidP="00446A8E">
      <w:pPr>
        <w:pStyle w:val="ListParagraph"/>
        <w:numPr>
          <w:ilvl w:val="0"/>
          <w:numId w:val="46"/>
        </w:numPr>
        <w:autoSpaceDE w:val="0"/>
        <w:autoSpaceDN w:val="0"/>
        <w:adjustRightInd w:val="0"/>
        <w:rPr>
          <w:szCs w:val="24"/>
        </w:rPr>
      </w:pPr>
      <w:r w:rsidRPr="00446A8E">
        <w:rPr>
          <w:szCs w:val="24"/>
        </w:rPr>
        <w:t xml:space="preserve">If such sludge was disposed of at the Site, to determine what additional actions are required, if any. </w:t>
      </w:r>
      <w:r w:rsidR="007C2889" w:rsidRPr="00446A8E">
        <w:rPr>
          <w:szCs w:val="24"/>
        </w:rPr>
        <w:t xml:space="preserve"> </w:t>
      </w:r>
    </w:p>
    <w:p w:rsidR="009A75E0" w:rsidRDefault="009A75E0" w:rsidP="00455C83">
      <w:pPr>
        <w:autoSpaceDE w:val="0"/>
        <w:autoSpaceDN w:val="0"/>
        <w:adjustRightInd w:val="0"/>
        <w:rPr>
          <w:szCs w:val="24"/>
        </w:rPr>
      </w:pPr>
    </w:p>
    <w:p w:rsidR="00410C08" w:rsidRDefault="00396397" w:rsidP="00455C83">
      <w:pPr>
        <w:autoSpaceDE w:val="0"/>
        <w:autoSpaceDN w:val="0"/>
        <w:adjustRightInd w:val="0"/>
        <w:rPr>
          <w:color w:val="FF0000"/>
          <w:szCs w:val="24"/>
        </w:rPr>
      </w:pPr>
      <w:r>
        <w:rPr>
          <w:szCs w:val="24"/>
        </w:rPr>
        <w:t>As a part of above investigations, a</w:t>
      </w:r>
      <w:r w:rsidR="009D14A4">
        <w:rPr>
          <w:szCs w:val="24"/>
        </w:rPr>
        <w:t xml:space="preserve"> total of 31 test pits were </w:t>
      </w:r>
      <w:r w:rsidR="00DA414B">
        <w:rPr>
          <w:szCs w:val="24"/>
        </w:rPr>
        <w:t xml:space="preserve">excavated </w:t>
      </w:r>
      <w:r w:rsidR="00B355BB">
        <w:rPr>
          <w:szCs w:val="24"/>
        </w:rPr>
        <w:t xml:space="preserve">and eight boreholes were installed to delineate the limits </w:t>
      </w:r>
      <w:r w:rsidR="00F528D4">
        <w:rPr>
          <w:szCs w:val="24"/>
        </w:rPr>
        <w:t>of sludge</w:t>
      </w:r>
      <w:r w:rsidR="00B355BB">
        <w:rPr>
          <w:szCs w:val="24"/>
        </w:rPr>
        <w:t xml:space="preserve"> waste</w:t>
      </w:r>
      <w:r w:rsidR="006F1E60">
        <w:rPr>
          <w:szCs w:val="24"/>
        </w:rPr>
        <w:t>/top fill</w:t>
      </w:r>
      <w:r w:rsidR="00B355BB">
        <w:rPr>
          <w:szCs w:val="24"/>
        </w:rPr>
        <w:t xml:space="preserve"> and also to collect soil and/or sludge samples.</w:t>
      </w:r>
      <w:r w:rsidR="00F528D4">
        <w:rPr>
          <w:szCs w:val="24"/>
        </w:rPr>
        <w:t xml:space="preserve">  </w:t>
      </w:r>
      <w:r>
        <w:rPr>
          <w:szCs w:val="24"/>
        </w:rPr>
        <w:t xml:space="preserve"> </w:t>
      </w:r>
      <w:r w:rsidR="00F528D4">
        <w:rPr>
          <w:szCs w:val="24"/>
        </w:rPr>
        <w:t xml:space="preserve">Four shallow and two deep groundwater monitoring wells (MWs) were also installed for the groundwater investigation.  </w:t>
      </w:r>
      <w:r w:rsidR="00282741">
        <w:rPr>
          <w:szCs w:val="24"/>
        </w:rPr>
        <w:t xml:space="preserve">Also surface water samples were collected.  </w:t>
      </w:r>
      <w:r w:rsidR="00F528D4">
        <w:rPr>
          <w:szCs w:val="24"/>
        </w:rPr>
        <w:t>Some of the initial test pit and MWs</w:t>
      </w:r>
      <w:r w:rsidR="00881FA6">
        <w:rPr>
          <w:szCs w:val="24"/>
        </w:rPr>
        <w:t>, and surface water sampling</w:t>
      </w:r>
      <w:r w:rsidR="00F528D4">
        <w:rPr>
          <w:szCs w:val="24"/>
        </w:rPr>
        <w:t xml:space="preserve"> locations are included in </w:t>
      </w:r>
      <w:r w:rsidR="00F528D4" w:rsidRPr="00E232AA">
        <w:rPr>
          <w:szCs w:val="24"/>
        </w:rPr>
        <w:t xml:space="preserve">Appendix </w:t>
      </w:r>
      <w:r w:rsidR="00E232AA" w:rsidRPr="00E232AA">
        <w:rPr>
          <w:szCs w:val="24"/>
        </w:rPr>
        <w:t>6.3</w:t>
      </w:r>
      <w:r w:rsidR="00F528D4" w:rsidRPr="00E232AA">
        <w:rPr>
          <w:szCs w:val="24"/>
        </w:rPr>
        <w:t>.</w:t>
      </w:r>
      <w:r w:rsidR="00881FA6">
        <w:rPr>
          <w:color w:val="FF0000"/>
          <w:szCs w:val="24"/>
        </w:rPr>
        <w:t xml:space="preserve">  </w:t>
      </w:r>
    </w:p>
    <w:p w:rsidR="006F1E60" w:rsidRDefault="006F1E60" w:rsidP="00455C83">
      <w:pPr>
        <w:autoSpaceDE w:val="0"/>
        <w:autoSpaceDN w:val="0"/>
        <w:adjustRightInd w:val="0"/>
        <w:rPr>
          <w:color w:val="FF0000"/>
          <w:szCs w:val="24"/>
        </w:rPr>
      </w:pPr>
    </w:p>
    <w:p w:rsidR="006F1E60" w:rsidRPr="006F1E60" w:rsidRDefault="006F1E60" w:rsidP="00455C83">
      <w:pPr>
        <w:autoSpaceDE w:val="0"/>
        <w:autoSpaceDN w:val="0"/>
        <w:adjustRightInd w:val="0"/>
        <w:rPr>
          <w:szCs w:val="24"/>
        </w:rPr>
      </w:pPr>
      <w:r>
        <w:rPr>
          <w:szCs w:val="24"/>
        </w:rPr>
        <w:t xml:space="preserve">The vertical and horizontal delineation of the top fill/waste limits was accomplished by the excavation of 31 test pits and drilling of eight boreholes.  The test pits and the boreholes </w:t>
      </w:r>
      <w:r w:rsidR="00A26DCE">
        <w:rPr>
          <w:szCs w:val="24"/>
        </w:rPr>
        <w:t>logs showed that t</w:t>
      </w:r>
      <w:r>
        <w:rPr>
          <w:szCs w:val="24"/>
        </w:rPr>
        <w:t>he top fill materials encountered included gray waste material (sludge), log yard wastes (</w:t>
      </w:r>
      <w:r w:rsidR="00A26DCE">
        <w:rPr>
          <w:szCs w:val="24"/>
        </w:rPr>
        <w:t xml:space="preserve">logs, wood fragments, bark), and fill soils, mainly sand.  The thickness of the fill material was ranged from 0.5 to 6 feet.  </w:t>
      </w:r>
      <w:r>
        <w:rPr>
          <w:szCs w:val="24"/>
        </w:rPr>
        <w:t xml:space="preserve">   </w:t>
      </w:r>
    </w:p>
    <w:p w:rsidR="00410C08" w:rsidRDefault="00410C08" w:rsidP="00455C83">
      <w:pPr>
        <w:autoSpaceDE w:val="0"/>
        <w:autoSpaceDN w:val="0"/>
        <w:adjustRightInd w:val="0"/>
        <w:rPr>
          <w:color w:val="FF0000"/>
          <w:szCs w:val="24"/>
        </w:rPr>
      </w:pPr>
    </w:p>
    <w:p w:rsidR="00881FA6" w:rsidRDefault="00881FA6" w:rsidP="00455C83">
      <w:pPr>
        <w:autoSpaceDE w:val="0"/>
        <w:autoSpaceDN w:val="0"/>
        <w:adjustRightInd w:val="0"/>
        <w:rPr>
          <w:szCs w:val="24"/>
        </w:rPr>
      </w:pPr>
      <w:r>
        <w:rPr>
          <w:szCs w:val="24"/>
        </w:rPr>
        <w:t>During this investigation, six sludge, six groundwater, and two surface water samples were collected for the analysis of Site Specific Parameters (</w:t>
      </w:r>
      <w:r w:rsidR="00CF65A1">
        <w:rPr>
          <w:szCs w:val="24"/>
        </w:rPr>
        <w:t xml:space="preserve">SSP: </w:t>
      </w:r>
      <w:r>
        <w:rPr>
          <w:szCs w:val="24"/>
        </w:rPr>
        <w:t>pH, PCE, TCE, vinyl chloride</w:t>
      </w:r>
      <w:r w:rsidR="003F4051">
        <w:rPr>
          <w:szCs w:val="24"/>
        </w:rPr>
        <w:t xml:space="preserve"> (VC)</w:t>
      </w:r>
      <w:r>
        <w:rPr>
          <w:szCs w:val="24"/>
        </w:rPr>
        <w:t xml:space="preserve">, chloroform, hexachlorobutadiene, </w:t>
      </w:r>
      <w:r w:rsidR="00C7655C">
        <w:rPr>
          <w:szCs w:val="24"/>
        </w:rPr>
        <w:t xml:space="preserve">and </w:t>
      </w:r>
      <w:r>
        <w:rPr>
          <w:szCs w:val="24"/>
        </w:rPr>
        <w:t>hexachlorobenzene</w:t>
      </w:r>
      <w:r w:rsidR="00C7655C">
        <w:rPr>
          <w:szCs w:val="24"/>
        </w:rPr>
        <w:t>)</w:t>
      </w:r>
      <w:r w:rsidR="00410C08">
        <w:rPr>
          <w:szCs w:val="24"/>
        </w:rPr>
        <w:t xml:space="preserve">, and/or cis- and trans-1,2-dichloroethene (cis-and trans-DCE).    </w:t>
      </w:r>
      <w:r>
        <w:rPr>
          <w:szCs w:val="24"/>
        </w:rPr>
        <w:t xml:space="preserve">  </w:t>
      </w:r>
      <w:r>
        <w:rPr>
          <w:color w:val="FF0000"/>
          <w:szCs w:val="24"/>
        </w:rPr>
        <w:t xml:space="preserve">  </w:t>
      </w:r>
      <w:r w:rsidR="00F528D4">
        <w:rPr>
          <w:szCs w:val="24"/>
        </w:rPr>
        <w:t xml:space="preserve"> </w:t>
      </w:r>
      <w:r w:rsidR="00B355BB">
        <w:rPr>
          <w:szCs w:val="24"/>
        </w:rPr>
        <w:t xml:space="preserve">    </w:t>
      </w:r>
      <w:r w:rsidR="009D14A4">
        <w:rPr>
          <w:szCs w:val="24"/>
        </w:rPr>
        <w:t xml:space="preserve">  </w:t>
      </w:r>
    </w:p>
    <w:p w:rsidR="00881FA6" w:rsidRDefault="00881FA6" w:rsidP="00455C83">
      <w:pPr>
        <w:autoSpaceDE w:val="0"/>
        <w:autoSpaceDN w:val="0"/>
        <w:adjustRightInd w:val="0"/>
        <w:rPr>
          <w:szCs w:val="24"/>
        </w:rPr>
      </w:pPr>
    </w:p>
    <w:p w:rsidR="00EC3CA9" w:rsidRDefault="00282741" w:rsidP="00455C83">
      <w:pPr>
        <w:autoSpaceDE w:val="0"/>
        <w:autoSpaceDN w:val="0"/>
        <w:adjustRightInd w:val="0"/>
        <w:rPr>
          <w:szCs w:val="24"/>
        </w:rPr>
      </w:pPr>
      <w:r>
        <w:rPr>
          <w:szCs w:val="24"/>
        </w:rPr>
        <w:t xml:space="preserve">In February 1991, the Port of Tacoma (Port) conducted a site investigation </w:t>
      </w:r>
      <w:r w:rsidR="00B3755A">
        <w:rPr>
          <w:szCs w:val="24"/>
        </w:rPr>
        <w:t>along</w:t>
      </w:r>
      <w:r>
        <w:rPr>
          <w:szCs w:val="24"/>
        </w:rPr>
        <w:t xml:space="preserve"> the East-West</w:t>
      </w:r>
      <w:r w:rsidR="00B3755A">
        <w:rPr>
          <w:szCs w:val="24"/>
        </w:rPr>
        <w:t xml:space="preserve"> boundary</w:t>
      </w:r>
      <w:r w:rsidR="00085487">
        <w:rPr>
          <w:szCs w:val="24"/>
        </w:rPr>
        <w:t xml:space="preserve"> located between East-West Road and the southern end eastern edges of the BPA site.  </w:t>
      </w:r>
    </w:p>
    <w:p w:rsidR="00EC3CA9" w:rsidRDefault="00EC3CA9" w:rsidP="00455C83">
      <w:pPr>
        <w:autoSpaceDE w:val="0"/>
        <w:autoSpaceDN w:val="0"/>
        <w:adjustRightInd w:val="0"/>
        <w:rPr>
          <w:szCs w:val="24"/>
        </w:rPr>
      </w:pPr>
    </w:p>
    <w:p w:rsidR="00A57D1D" w:rsidRDefault="00085487" w:rsidP="00455C83">
      <w:pPr>
        <w:autoSpaceDE w:val="0"/>
        <w:autoSpaceDN w:val="0"/>
        <w:adjustRightInd w:val="0"/>
        <w:rPr>
          <w:szCs w:val="24"/>
        </w:rPr>
      </w:pPr>
      <w:r>
        <w:rPr>
          <w:szCs w:val="24"/>
        </w:rPr>
        <w:t>This investigation included</w:t>
      </w:r>
      <w:r w:rsidR="00A57D1D">
        <w:rPr>
          <w:szCs w:val="24"/>
        </w:rPr>
        <w:t xml:space="preserve"> the installation of five downgradient groundwater monitoring wells and the excavation of four test pits.  Results of groundwater samples showed significant concentrations of volatile organic compounds (VOCs) attributable to the BPA Site.</w:t>
      </w:r>
      <w:r w:rsidR="00F20F72">
        <w:rPr>
          <w:szCs w:val="24"/>
        </w:rPr>
        <w:t xml:space="preserve">  </w:t>
      </w:r>
    </w:p>
    <w:p w:rsidR="00881FA6" w:rsidRDefault="00881FA6" w:rsidP="00455C83">
      <w:pPr>
        <w:autoSpaceDE w:val="0"/>
        <w:autoSpaceDN w:val="0"/>
        <w:adjustRightInd w:val="0"/>
        <w:rPr>
          <w:szCs w:val="24"/>
        </w:rPr>
      </w:pPr>
    </w:p>
    <w:p w:rsidR="00453B68" w:rsidRDefault="00273AC5" w:rsidP="00455C83">
      <w:pPr>
        <w:autoSpaceDE w:val="0"/>
        <w:autoSpaceDN w:val="0"/>
        <w:adjustRightInd w:val="0"/>
        <w:rPr>
          <w:szCs w:val="24"/>
        </w:rPr>
      </w:pPr>
      <w:r>
        <w:rPr>
          <w:szCs w:val="24"/>
        </w:rPr>
        <w:t>In October 1991, the Port also conducted an investigation on the Taylor Way property that is located cross-gradient to the BPA Tacoma Sludge Site at the intersection of Taylor Way and East-West Road in Tacoma.  The investigation included installation and sampling of monitoring wells and examination of test pits.</w:t>
      </w:r>
      <w:r w:rsidR="00453B68">
        <w:rPr>
          <w:szCs w:val="24"/>
        </w:rPr>
        <w:t xml:space="preserve">  Results of groundwater samples showed no impacts.</w:t>
      </w:r>
    </w:p>
    <w:p w:rsidR="00453B68" w:rsidRDefault="00453B68" w:rsidP="00455C83">
      <w:pPr>
        <w:autoSpaceDE w:val="0"/>
        <w:autoSpaceDN w:val="0"/>
        <w:adjustRightInd w:val="0"/>
        <w:rPr>
          <w:szCs w:val="24"/>
        </w:rPr>
      </w:pPr>
    </w:p>
    <w:p w:rsidR="007D603B" w:rsidRDefault="00453B68" w:rsidP="00455C83">
      <w:pPr>
        <w:autoSpaceDE w:val="0"/>
        <w:autoSpaceDN w:val="0"/>
        <w:adjustRightInd w:val="0"/>
        <w:rPr>
          <w:szCs w:val="24"/>
        </w:rPr>
      </w:pPr>
      <w:r>
        <w:rPr>
          <w:szCs w:val="24"/>
        </w:rPr>
        <w:t xml:space="preserve">In 1992, the Department of Ecology sampled the baghouse dust/shot material on the eastern edge of the Site.  Samples contained concentrations of arsenic and lead up to 7,410 milligrams per kilogram (mg/Kg) and 16,000 mg/Kg, respectively.  A sample collected from sediments in the drainage swale adjacent to the baghouse dust/shot material contained 2,500 mg/Kg of arsenic. </w:t>
      </w:r>
    </w:p>
    <w:p w:rsidR="007D603B" w:rsidRDefault="007D603B" w:rsidP="00455C83">
      <w:pPr>
        <w:autoSpaceDE w:val="0"/>
        <w:autoSpaceDN w:val="0"/>
        <w:adjustRightInd w:val="0"/>
        <w:rPr>
          <w:szCs w:val="24"/>
        </w:rPr>
      </w:pPr>
    </w:p>
    <w:p w:rsidR="007D603B" w:rsidRDefault="007D603B" w:rsidP="005608F1">
      <w:pPr>
        <w:pStyle w:val="Heading3"/>
        <w:numPr>
          <w:ilvl w:val="2"/>
          <w:numId w:val="49"/>
        </w:numPr>
        <w:ind w:left="720"/>
      </w:pPr>
      <w:r>
        <w:t>Preliminary Evaluation of Remedial Alternatives</w:t>
      </w:r>
    </w:p>
    <w:p w:rsidR="007D603B" w:rsidRDefault="007D603B" w:rsidP="00455C83">
      <w:pPr>
        <w:autoSpaceDE w:val="0"/>
        <w:autoSpaceDN w:val="0"/>
        <w:adjustRightInd w:val="0"/>
        <w:rPr>
          <w:szCs w:val="24"/>
        </w:rPr>
      </w:pPr>
    </w:p>
    <w:p w:rsidR="007F396F" w:rsidRDefault="00453B68" w:rsidP="00455C83">
      <w:pPr>
        <w:autoSpaceDE w:val="0"/>
        <w:autoSpaceDN w:val="0"/>
        <w:adjustRightInd w:val="0"/>
        <w:rPr>
          <w:szCs w:val="24"/>
        </w:rPr>
      </w:pPr>
      <w:r>
        <w:rPr>
          <w:szCs w:val="24"/>
        </w:rPr>
        <w:t xml:space="preserve">  </w:t>
      </w:r>
      <w:r w:rsidR="007D603B">
        <w:rPr>
          <w:szCs w:val="24"/>
        </w:rPr>
        <w:t xml:space="preserve">In 1993, the OCC hired Conestoga-Rovers &amp; Associates (CRA) for conducting a preliminary evaluation of remedial alternatives to determine the types of cleanup options available for the site.  The study estimated the total volume of sludge at the Site to be 18,000 cubic yards, with 14,200 cubic yards of that amount to be covered with other fill (buried) and the remaining 3,800 cubic yards exposed.  The report described the characteristics of the exposed and buried </w:t>
      </w:r>
      <w:r w:rsidR="007F396F">
        <w:rPr>
          <w:szCs w:val="24"/>
        </w:rPr>
        <w:t xml:space="preserve">portions of the </w:t>
      </w:r>
      <w:r w:rsidR="007D603B">
        <w:rPr>
          <w:szCs w:val="24"/>
        </w:rPr>
        <w:t>sludge</w:t>
      </w:r>
      <w:r w:rsidR="007F396F">
        <w:rPr>
          <w:szCs w:val="24"/>
        </w:rPr>
        <w:t>.  The exposed sludge contained tetrachloroethylene (PCE) near the detection limit of 0.01 mg/Kg; no VOCs at a detection limit of 0.01 mg/Kg; a pH of 9 to 12; and 2 to 15 percent asbestos.  The buried sludge contained detectable levels of numerous chlorinated solvent VOCs and a pH of 12.</w:t>
      </w:r>
    </w:p>
    <w:p w:rsidR="007F396F" w:rsidRDefault="007F396F" w:rsidP="00455C83">
      <w:pPr>
        <w:autoSpaceDE w:val="0"/>
        <w:autoSpaceDN w:val="0"/>
        <w:adjustRightInd w:val="0"/>
        <w:rPr>
          <w:szCs w:val="24"/>
        </w:rPr>
      </w:pPr>
    </w:p>
    <w:p w:rsidR="00C61289" w:rsidRDefault="004B0016" w:rsidP="005608F1">
      <w:pPr>
        <w:pStyle w:val="Heading3"/>
        <w:numPr>
          <w:ilvl w:val="2"/>
          <w:numId w:val="49"/>
        </w:numPr>
        <w:ind w:left="720"/>
      </w:pPr>
      <w:r>
        <w:t>Final Remedial Investigation</w:t>
      </w:r>
      <w:r w:rsidR="006B174B">
        <w:t xml:space="preserve"> / Feasibility Study</w:t>
      </w:r>
      <w:r>
        <w:t xml:space="preserve"> </w:t>
      </w:r>
      <w:r w:rsidR="004745A9">
        <w:t>and Remedial Action</w:t>
      </w:r>
    </w:p>
    <w:p w:rsidR="004B0016" w:rsidRDefault="004B0016" w:rsidP="00455C83">
      <w:pPr>
        <w:autoSpaceDE w:val="0"/>
        <w:autoSpaceDN w:val="0"/>
        <w:adjustRightInd w:val="0"/>
        <w:rPr>
          <w:szCs w:val="24"/>
        </w:rPr>
      </w:pPr>
    </w:p>
    <w:p w:rsidR="004B0016" w:rsidRDefault="004B0016" w:rsidP="00455C83">
      <w:pPr>
        <w:autoSpaceDE w:val="0"/>
        <w:autoSpaceDN w:val="0"/>
        <w:adjustRightInd w:val="0"/>
        <w:rPr>
          <w:szCs w:val="24"/>
        </w:rPr>
      </w:pPr>
      <w:r>
        <w:rPr>
          <w:szCs w:val="24"/>
        </w:rPr>
        <w:t xml:space="preserve">From 1994 – 1996, BPA and OCC contracted with CH2M Hill to complete additional investigations and compile all the existing information for the Site into a Remedial Investigation/Feasibility Study (RI/FS).  </w:t>
      </w:r>
      <w:r w:rsidR="006B174B">
        <w:rPr>
          <w:szCs w:val="24"/>
        </w:rPr>
        <w:t xml:space="preserve">The Site investigations conducted under this study included additional lime sludge, shot and soil sampling in five test pits from across the sludge fill area and two trenches in the area of buried sludge at the eastern end of the Site.  Investigation also included additional sampling of drainage sediments and the installation and sampling of three down-gradient monitoring wells along the southern and eastern edges of the Site.  </w:t>
      </w:r>
    </w:p>
    <w:p w:rsidR="00C61289" w:rsidRDefault="00C61289" w:rsidP="00455C83">
      <w:pPr>
        <w:autoSpaceDE w:val="0"/>
        <w:autoSpaceDN w:val="0"/>
        <w:adjustRightInd w:val="0"/>
        <w:rPr>
          <w:szCs w:val="24"/>
        </w:rPr>
      </w:pPr>
    </w:p>
    <w:p w:rsidR="00404D8D" w:rsidRDefault="00D66414" w:rsidP="00455C83">
      <w:pPr>
        <w:autoSpaceDE w:val="0"/>
        <w:autoSpaceDN w:val="0"/>
        <w:adjustRightInd w:val="0"/>
        <w:rPr>
          <w:szCs w:val="24"/>
        </w:rPr>
      </w:pPr>
      <w:r>
        <w:rPr>
          <w:szCs w:val="24"/>
        </w:rPr>
        <w:t>T</w:t>
      </w:r>
      <w:r w:rsidR="00404D8D">
        <w:rPr>
          <w:szCs w:val="24"/>
        </w:rPr>
        <w:t xml:space="preserve">he maximum concentrations of VOCs and metals detected </w:t>
      </w:r>
      <w:r>
        <w:rPr>
          <w:szCs w:val="24"/>
        </w:rPr>
        <w:t xml:space="preserve">during all of the above investigations </w:t>
      </w:r>
      <w:r w:rsidR="00404D8D">
        <w:rPr>
          <w:szCs w:val="24"/>
        </w:rPr>
        <w:t>in different media associated with the BPA Site are presented in Table 3 below.</w:t>
      </w:r>
    </w:p>
    <w:p w:rsidR="006B174B" w:rsidRDefault="006B174B" w:rsidP="00455C83">
      <w:pPr>
        <w:autoSpaceDE w:val="0"/>
        <w:autoSpaceDN w:val="0"/>
        <w:adjustRightInd w:val="0"/>
        <w:rPr>
          <w:szCs w:val="24"/>
        </w:rPr>
      </w:pPr>
    </w:p>
    <w:p w:rsidR="006B174B" w:rsidRDefault="006B174B" w:rsidP="00455C83">
      <w:pPr>
        <w:autoSpaceDE w:val="0"/>
        <w:autoSpaceDN w:val="0"/>
        <w:adjustRightInd w:val="0"/>
        <w:rPr>
          <w:szCs w:val="24"/>
        </w:rPr>
      </w:pPr>
    </w:p>
    <w:p w:rsidR="006B174B" w:rsidRDefault="006B174B" w:rsidP="00455C83">
      <w:pPr>
        <w:autoSpaceDE w:val="0"/>
        <w:autoSpaceDN w:val="0"/>
        <w:adjustRightInd w:val="0"/>
        <w:rPr>
          <w:szCs w:val="24"/>
        </w:rPr>
      </w:pPr>
    </w:p>
    <w:p w:rsidR="00CC3EB3" w:rsidRDefault="00CC3EB3" w:rsidP="00455C83">
      <w:pPr>
        <w:autoSpaceDE w:val="0"/>
        <w:autoSpaceDN w:val="0"/>
        <w:adjustRightInd w:val="0"/>
        <w:rPr>
          <w:szCs w:val="24"/>
        </w:rPr>
      </w:pPr>
    </w:p>
    <w:p w:rsidR="00EC3CA9" w:rsidRDefault="00EC3CA9" w:rsidP="00E47BAD">
      <w:pPr>
        <w:autoSpaceDE w:val="0"/>
        <w:autoSpaceDN w:val="0"/>
        <w:adjustRightInd w:val="0"/>
        <w:jc w:val="center"/>
        <w:rPr>
          <w:b/>
          <w:szCs w:val="24"/>
        </w:rPr>
      </w:pPr>
    </w:p>
    <w:p w:rsidR="00EC3CA9" w:rsidRDefault="00EC3CA9" w:rsidP="00E47BAD">
      <w:pPr>
        <w:autoSpaceDE w:val="0"/>
        <w:autoSpaceDN w:val="0"/>
        <w:adjustRightInd w:val="0"/>
        <w:jc w:val="center"/>
        <w:rPr>
          <w:b/>
          <w:szCs w:val="24"/>
        </w:rPr>
      </w:pPr>
    </w:p>
    <w:p w:rsidR="00EC3CA9" w:rsidRDefault="00EC3CA9" w:rsidP="00E47BAD">
      <w:pPr>
        <w:autoSpaceDE w:val="0"/>
        <w:autoSpaceDN w:val="0"/>
        <w:adjustRightInd w:val="0"/>
        <w:jc w:val="center"/>
        <w:rPr>
          <w:b/>
          <w:szCs w:val="24"/>
        </w:rPr>
      </w:pPr>
    </w:p>
    <w:p w:rsidR="00EC3CA9" w:rsidRDefault="00EC3CA9" w:rsidP="00E47BAD">
      <w:pPr>
        <w:autoSpaceDE w:val="0"/>
        <w:autoSpaceDN w:val="0"/>
        <w:adjustRightInd w:val="0"/>
        <w:jc w:val="center"/>
        <w:rPr>
          <w:b/>
          <w:szCs w:val="24"/>
        </w:rPr>
      </w:pPr>
    </w:p>
    <w:p w:rsidR="00CC3EB3" w:rsidRPr="00E47BAD" w:rsidRDefault="00CC3EB3" w:rsidP="00E47BAD">
      <w:pPr>
        <w:autoSpaceDE w:val="0"/>
        <w:autoSpaceDN w:val="0"/>
        <w:adjustRightInd w:val="0"/>
        <w:jc w:val="center"/>
        <w:rPr>
          <w:b/>
          <w:szCs w:val="24"/>
        </w:rPr>
      </w:pPr>
      <w:r w:rsidRPr="00E47BAD">
        <w:rPr>
          <w:b/>
          <w:szCs w:val="24"/>
        </w:rPr>
        <w:t xml:space="preserve">Table 3:  Maximum Concentrations of VOCs and Metals </w:t>
      </w:r>
    </w:p>
    <w:p w:rsidR="00404D8D" w:rsidRDefault="00404D8D" w:rsidP="00455C83">
      <w:pPr>
        <w:autoSpaceDE w:val="0"/>
        <w:autoSpaceDN w:val="0"/>
        <w:adjustRightInd w:val="0"/>
        <w:rPr>
          <w:szCs w:val="24"/>
        </w:rPr>
      </w:pPr>
    </w:p>
    <w:tbl>
      <w:tblPr>
        <w:tblStyle w:val="TableGrid"/>
        <w:tblW w:w="0" w:type="auto"/>
        <w:tblLook w:val="04A0" w:firstRow="1" w:lastRow="0" w:firstColumn="1" w:lastColumn="0" w:noHBand="0" w:noVBand="1"/>
      </w:tblPr>
      <w:tblGrid>
        <w:gridCol w:w="2269"/>
        <w:gridCol w:w="1648"/>
        <w:gridCol w:w="1693"/>
        <w:gridCol w:w="1530"/>
        <w:gridCol w:w="2190"/>
      </w:tblGrid>
      <w:tr w:rsidR="00CC3EB3" w:rsidTr="00E47BAD">
        <w:tc>
          <w:tcPr>
            <w:tcW w:w="1915" w:type="dxa"/>
            <w:tcBorders>
              <w:top w:val="double" w:sz="4" w:space="0" w:color="auto"/>
              <w:left w:val="double" w:sz="4" w:space="0" w:color="auto"/>
              <w:bottom w:val="double" w:sz="4" w:space="0" w:color="auto"/>
              <w:right w:val="double" w:sz="4" w:space="0" w:color="auto"/>
            </w:tcBorders>
          </w:tcPr>
          <w:p w:rsidR="00404D8D" w:rsidRPr="00E47BAD" w:rsidRDefault="00CC3EB3" w:rsidP="00E47BAD">
            <w:pPr>
              <w:autoSpaceDE w:val="0"/>
              <w:autoSpaceDN w:val="0"/>
              <w:adjustRightInd w:val="0"/>
              <w:jc w:val="center"/>
              <w:rPr>
                <w:b/>
                <w:szCs w:val="24"/>
              </w:rPr>
            </w:pPr>
            <w:r w:rsidRPr="00E47BAD">
              <w:rPr>
                <w:b/>
                <w:szCs w:val="24"/>
              </w:rPr>
              <w:t>CONTAMINANT</w:t>
            </w:r>
          </w:p>
        </w:tc>
        <w:tc>
          <w:tcPr>
            <w:tcW w:w="1915" w:type="dxa"/>
            <w:tcBorders>
              <w:top w:val="double" w:sz="4" w:space="0" w:color="auto"/>
              <w:left w:val="double" w:sz="4" w:space="0" w:color="auto"/>
              <w:bottom w:val="double" w:sz="4" w:space="0" w:color="auto"/>
              <w:right w:val="double" w:sz="4" w:space="0" w:color="auto"/>
            </w:tcBorders>
          </w:tcPr>
          <w:p w:rsidR="00404D8D" w:rsidRPr="00E47BAD" w:rsidRDefault="00CC3EB3" w:rsidP="00E47BAD">
            <w:pPr>
              <w:autoSpaceDE w:val="0"/>
              <w:autoSpaceDN w:val="0"/>
              <w:adjustRightInd w:val="0"/>
              <w:jc w:val="center"/>
              <w:rPr>
                <w:b/>
                <w:szCs w:val="24"/>
              </w:rPr>
            </w:pPr>
            <w:r w:rsidRPr="00E47BAD">
              <w:rPr>
                <w:b/>
                <w:szCs w:val="24"/>
              </w:rPr>
              <w:t>SLUDGE (mg/Kg)</w:t>
            </w:r>
          </w:p>
          <w:p w:rsidR="00CC3EB3" w:rsidRPr="00E47BAD" w:rsidRDefault="00CC3EB3" w:rsidP="00E47BAD">
            <w:pPr>
              <w:autoSpaceDE w:val="0"/>
              <w:autoSpaceDN w:val="0"/>
              <w:adjustRightInd w:val="0"/>
              <w:jc w:val="center"/>
              <w:rPr>
                <w:b/>
                <w:szCs w:val="24"/>
              </w:rPr>
            </w:pPr>
            <w:r w:rsidRPr="00E47BAD">
              <w:rPr>
                <w:b/>
                <w:szCs w:val="24"/>
              </w:rPr>
              <w:t>(buried)</w:t>
            </w:r>
          </w:p>
        </w:tc>
        <w:tc>
          <w:tcPr>
            <w:tcW w:w="1915" w:type="dxa"/>
            <w:tcBorders>
              <w:top w:val="double" w:sz="4" w:space="0" w:color="auto"/>
              <w:left w:val="double" w:sz="4" w:space="0" w:color="auto"/>
              <w:bottom w:val="double" w:sz="4" w:space="0" w:color="auto"/>
              <w:right w:val="double" w:sz="4" w:space="0" w:color="auto"/>
            </w:tcBorders>
          </w:tcPr>
          <w:p w:rsidR="00404D8D" w:rsidRPr="00E47BAD" w:rsidRDefault="00CC3EB3" w:rsidP="00E47BAD">
            <w:pPr>
              <w:autoSpaceDE w:val="0"/>
              <w:autoSpaceDN w:val="0"/>
              <w:adjustRightInd w:val="0"/>
              <w:jc w:val="center"/>
              <w:rPr>
                <w:b/>
                <w:szCs w:val="24"/>
              </w:rPr>
            </w:pPr>
            <w:r w:rsidRPr="00E47BAD">
              <w:rPr>
                <w:b/>
                <w:szCs w:val="24"/>
              </w:rPr>
              <w:t>SLUDGE (mg/Kg)</w:t>
            </w:r>
          </w:p>
          <w:p w:rsidR="00CC3EB3" w:rsidRPr="00E47BAD" w:rsidRDefault="00CC3EB3" w:rsidP="00E47BAD">
            <w:pPr>
              <w:autoSpaceDE w:val="0"/>
              <w:autoSpaceDN w:val="0"/>
              <w:adjustRightInd w:val="0"/>
              <w:jc w:val="center"/>
              <w:rPr>
                <w:b/>
                <w:szCs w:val="24"/>
              </w:rPr>
            </w:pPr>
            <w:r w:rsidRPr="00E47BAD">
              <w:rPr>
                <w:b/>
                <w:szCs w:val="24"/>
              </w:rPr>
              <w:t>(exposed)</w:t>
            </w:r>
          </w:p>
        </w:tc>
        <w:tc>
          <w:tcPr>
            <w:tcW w:w="1915" w:type="dxa"/>
            <w:tcBorders>
              <w:top w:val="double" w:sz="4" w:space="0" w:color="auto"/>
              <w:left w:val="double" w:sz="4" w:space="0" w:color="auto"/>
              <w:bottom w:val="double" w:sz="4" w:space="0" w:color="auto"/>
              <w:right w:val="double" w:sz="4" w:space="0" w:color="auto"/>
            </w:tcBorders>
          </w:tcPr>
          <w:p w:rsidR="00404D8D" w:rsidRPr="00E47BAD" w:rsidRDefault="00CC3EB3" w:rsidP="000E0503">
            <w:pPr>
              <w:autoSpaceDE w:val="0"/>
              <w:autoSpaceDN w:val="0"/>
              <w:adjustRightInd w:val="0"/>
              <w:jc w:val="center"/>
              <w:rPr>
                <w:b/>
                <w:szCs w:val="24"/>
              </w:rPr>
            </w:pPr>
            <w:r w:rsidRPr="00E47BAD">
              <w:rPr>
                <w:b/>
                <w:szCs w:val="24"/>
              </w:rPr>
              <w:t>SURFACE WATER (</w:t>
            </w:r>
            <w:r w:rsidR="000E0503">
              <w:rPr>
                <w:b/>
                <w:szCs w:val="24"/>
              </w:rPr>
              <w:t>µ</w:t>
            </w:r>
            <w:r w:rsidRPr="00E47BAD">
              <w:rPr>
                <w:b/>
                <w:szCs w:val="24"/>
              </w:rPr>
              <w:t>g/L)</w:t>
            </w:r>
          </w:p>
        </w:tc>
        <w:tc>
          <w:tcPr>
            <w:tcW w:w="1916" w:type="dxa"/>
            <w:tcBorders>
              <w:top w:val="double" w:sz="4" w:space="0" w:color="auto"/>
              <w:left w:val="double" w:sz="4" w:space="0" w:color="auto"/>
              <w:bottom w:val="double" w:sz="4" w:space="0" w:color="auto"/>
              <w:right w:val="double" w:sz="4" w:space="0" w:color="auto"/>
            </w:tcBorders>
          </w:tcPr>
          <w:p w:rsidR="00404D8D" w:rsidRPr="00E47BAD" w:rsidRDefault="00CC3EB3" w:rsidP="00E47BAD">
            <w:pPr>
              <w:autoSpaceDE w:val="0"/>
              <w:autoSpaceDN w:val="0"/>
              <w:adjustRightInd w:val="0"/>
              <w:jc w:val="center"/>
              <w:rPr>
                <w:b/>
                <w:szCs w:val="24"/>
              </w:rPr>
            </w:pPr>
            <w:r w:rsidRPr="00E47BAD">
              <w:rPr>
                <w:b/>
                <w:szCs w:val="24"/>
              </w:rPr>
              <w:t>GROUNDWATER</w:t>
            </w:r>
          </w:p>
          <w:p w:rsidR="00CC3EB3" w:rsidRPr="00E47BAD" w:rsidRDefault="00CC3EB3" w:rsidP="000E0503">
            <w:pPr>
              <w:autoSpaceDE w:val="0"/>
              <w:autoSpaceDN w:val="0"/>
              <w:adjustRightInd w:val="0"/>
              <w:jc w:val="center"/>
              <w:rPr>
                <w:b/>
                <w:szCs w:val="24"/>
              </w:rPr>
            </w:pPr>
            <w:r w:rsidRPr="00E47BAD">
              <w:rPr>
                <w:b/>
                <w:szCs w:val="24"/>
              </w:rPr>
              <w:t>(</w:t>
            </w:r>
            <w:r w:rsidR="000E0503">
              <w:rPr>
                <w:b/>
                <w:szCs w:val="24"/>
              </w:rPr>
              <w:t>µ</w:t>
            </w:r>
            <w:r w:rsidRPr="00E47BAD">
              <w:rPr>
                <w:b/>
                <w:szCs w:val="24"/>
              </w:rPr>
              <w:t>g/L)</w:t>
            </w:r>
          </w:p>
        </w:tc>
      </w:tr>
      <w:tr w:rsidR="00CC3EB3" w:rsidTr="00E47BAD">
        <w:tc>
          <w:tcPr>
            <w:tcW w:w="1915" w:type="dxa"/>
            <w:tcBorders>
              <w:top w:val="double" w:sz="4" w:space="0" w:color="auto"/>
              <w:left w:val="double" w:sz="4" w:space="0" w:color="auto"/>
              <w:bottom w:val="single" w:sz="6" w:space="0" w:color="auto"/>
              <w:right w:val="single" w:sz="6" w:space="0" w:color="auto"/>
            </w:tcBorders>
          </w:tcPr>
          <w:p w:rsidR="00404D8D" w:rsidRDefault="00CC3EB3" w:rsidP="00E47BAD">
            <w:pPr>
              <w:autoSpaceDE w:val="0"/>
              <w:autoSpaceDN w:val="0"/>
              <w:adjustRightInd w:val="0"/>
              <w:jc w:val="center"/>
              <w:rPr>
                <w:szCs w:val="24"/>
              </w:rPr>
            </w:pPr>
            <w:r>
              <w:rPr>
                <w:szCs w:val="24"/>
              </w:rPr>
              <w:t>Vinyl Chloride</w:t>
            </w:r>
          </w:p>
        </w:tc>
        <w:tc>
          <w:tcPr>
            <w:tcW w:w="1915" w:type="dxa"/>
            <w:tcBorders>
              <w:top w:val="double" w:sz="4" w:space="0" w:color="auto"/>
              <w:left w:val="single" w:sz="6" w:space="0" w:color="auto"/>
              <w:bottom w:val="single" w:sz="6" w:space="0" w:color="auto"/>
              <w:right w:val="single" w:sz="6" w:space="0" w:color="auto"/>
            </w:tcBorders>
          </w:tcPr>
          <w:p w:rsidR="00404D8D" w:rsidRDefault="00CC3EB3" w:rsidP="00E47BAD">
            <w:pPr>
              <w:autoSpaceDE w:val="0"/>
              <w:autoSpaceDN w:val="0"/>
              <w:adjustRightInd w:val="0"/>
              <w:jc w:val="center"/>
              <w:rPr>
                <w:szCs w:val="24"/>
              </w:rPr>
            </w:pPr>
            <w:r>
              <w:rPr>
                <w:szCs w:val="24"/>
              </w:rPr>
              <w:t>0.015</w:t>
            </w:r>
          </w:p>
        </w:tc>
        <w:tc>
          <w:tcPr>
            <w:tcW w:w="1915" w:type="dxa"/>
            <w:tcBorders>
              <w:top w:val="double" w:sz="4" w:space="0" w:color="auto"/>
              <w:left w:val="single" w:sz="6" w:space="0" w:color="auto"/>
              <w:bottom w:val="single" w:sz="6" w:space="0" w:color="auto"/>
              <w:right w:val="single" w:sz="6" w:space="0" w:color="auto"/>
            </w:tcBorders>
          </w:tcPr>
          <w:p w:rsidR="00404D8D" w:rsidRDefault="00CC3EB3" w:rsidP="00E47BAD">
            <w:pPr>
              <w:autoSpaceDE w:val="0"/>
              <w:autoSpaceDN w:val="0"/>
              <w:adjustRightInd w:val="0"/>
              <w:jc w:val="center"/>
              <w:rPr>
                <w:szCs w:val="24"/>
              </w:rPr>
            </w:pPr>
            <w:r>
              <w:rPr>
                <w:szCs w:val="24"/>
              </w:rPr>
              <w:t>ND</w:t>
            </w:r>
          </w:p>
        </w:tc>
        <w:tc>
          <w:tcPr>
            <w:tcW w:w="1915" w:type="dxa"/>
            <w:tcBorders>
              <w:top w:val="double" w:sz="4" w:space="0" w:color="auto"/>
              <w:left w:val="single" w:sz="6" w:space="0" w:color="auto"/>
              <w:bottom w:val="single" w:sz="6" w:space="0" w:color="auto"/>
              <w:right w:val="single" w:sz="6" w:space="0" w:color="auto"/>
            </w:tcBorders>
          </w:tcPr>
          <w:p w:rsidR="00404D8D" w:rsidRDefault="00CC3EB3" w:rsidP="00E47BAD">
            <w:pPr>
              <w:autoSpaceDE w:val="0"/>
              <w:autoSpaceDN w:val="0"/>
              <w:adjustRightInd w:val="0"/>
              <w:jc w:val="center"/>
              <w:rPr>
                <w:szCs w:val="24"/>
              </w:rPr>
            </w:pPr>
            <w:r>
              <w:rPr>
                <w:szCs w:val="24"/>
              </w:rPr>
              <w:t>ND</w:t>
            </w:r>
          </w:p>
        </w:tc>
        <w:tc>
          <w:tcPr>
            <w:tcW w:w="1916" w:type="dxa"/>
            <w:tcBorders>
              <w:top w:val="double" w:sz="4" w:space="0" w:color="auto"/>
              <w:left w:val="single" w:sz="6" w:space="0" w:color="auto"/>
              <w:bottom w:val="single" w:sz="6" w:space="0" w:color="auto"/>
              <w:right w:val="double" w:sz="4" w:space="0" w:color="auto"/>
            </w:tcBorders>
          </w:tcPr>
          <w:p w:rsidR="00404D8D" w:rsidRDefault="00CC3EB3" w:rsidP="00E47BAD">
            <w:pPr>
              <w:autoSpaceDE w:val="0"/>
              <w:autoSpaceDN w:val="0"/>
              <w:adjustRightInd w:val="0"/>
              <w:jc w:val="center"/>
              <w:rPr>
                <w:szCs w:val="24"/>
              </w:rPr>
            </w:pPr>
            <w:r>
              <w:rPr>
                <w:szCs w:val="24"/>
              </w:rPr>
              <w:t>190</w:t>
            </w:r>
          </w:p>
        </w:tc>
      </w:tr>
      <w:tr w:rsidR="00CC3EB3" w:rsidTr="00E47BAD">
        <w:tc>
          <w:tcPr>
            <w:tcW w:w="1915" w:type="dxa"/>
            <w:tcBorders>
              <w:top w:val="single" w:sz="6" w:space="0" w:color="auto"/>
              <w:left w:val="double" w:sz="4" w:space="0" w:color="auto"/>
              <w:bottom w:val="single" w:sz="6" w:space="0" w:color="auto"/>
              <w:right w:val="single" w:sz="6" w:space="0" w:color="auto"/>
            </w:tcBorders>
          </w:tcPr>
          <w:p w:rsidR="00404D8D" w:rsidRDefault="00CC3EB3" w:rsidP="00E47BAD">
            <w:pPr>
              <w:autoSpaceDE w:val="0"/>
              <w:autoSpaceDN w:val="0"/>
              <w:adjustRightInd w:val="0"/>
              <w:jc w:val="center"/>
              <w:rPr>
                <w:szCs w:val="24"/>
              </w:rPr>
            </w:pPr>
            <w:r>
              <w:rPr>
                <w:szCs w:val="24"/>
              </w:rPr>
              <w:t>Trichloroethylene</w:t>
            </w:r>
          </w:p>
        </w:tc>
        <w:tc>
          <w:tcPr>
            <w:tcW w:w="1915" w:type="dxa"/>
            <w:tcBorders>
              <w:top w:val="single" w:sz="6" w:space="0" w:color="auto"/>
              <w:left w:val="single" w:sz="6" w:space="0" w:color="auto"/>
              <w:bottom w:val="single" w:sz="6" w:space="0" w:color="auto"/>
              <w:right w:val="single" w:sz="6" w:space="0" w:color="auto"/>
            </w:tcBorders>
          </w:tcPr>
          <w:p w:rsidR="00404D8D" w:rsidRDefault="00CC3EB3" w:rsidP="00E47BAD">
            <w:pPr>
              <w:autoSpaceDE w:val="0"/>
              <w:autoSpaceDN w:val="0"/>
              <w:adjustRightInd w:val="0"/>
              <w:jc w:val="center"/>
              <w:rPr>
                <w:szCs w:val="24"/>
              </w:rPr>
            </w:pPr>
            <w:r>
              <w:rPr>
                <w:szCs w:val="24"/>
              </w:rPr>
              <w:t>7.1</w:t>
            </w:r>
          </w:p>
        </w:tc>
        <w:tc>
          <w:tcPr>
            <w:tcW w:w="1915" w:type="dxa"/>
            <w:tcBorders>
              <w:top w:val="single" w:sz="6" w:space="0" w:color="auto"/>
              <w:left w:val="single" w:sz="6" w:space="0" w:color="auto"/>
              <w:bottom w:val="single" w:sz="6" w:space="0" w:color="auto"/>
              <w:right w:val="single" w:sz="6" w:space="0" w:color="auto"/>
            </w:tcBorders>
          </w:tcPr>
          <w:p w:rsidR="00404D8D" w:rsidRDefault="00CC3EB3" w:rsidP="00E47BAD">
            <w:pPr>
              <w:autoSpaceDE w:val="0"/>
              <w:autoSpaceDN w:val="0"/>
              <w:adjustRightInd w:val="0"/>
              <w:jc w:val="center"/>
              <w:rPr>
                <w:szCs w:val="24"/>
              </w:rPr>
            </w:pPr>
            <w:r>
              <w:rPr>
                <w:szCs w:val="24"/>
              </w:rPr>
              <w:t>ND</w:t>
            </w:r>
          </w:p>
        </w:tc>
        <w:tc>
          <w:tcPr>
            <w:tcW w:w="1915" w:type="dxa"/>
            <w:tcBorders>
              <w:top w:val="single" w:sz="6" w:space="0" w:color="auto"/>
              <w:left w:val="single" w:sz="6" w:space="0" w:color="auto"/>
              <w:bottom w:val="single" w:sz="6" w:space="0" w:color="auto"/>
              <w:right w:val="single" w:sz="6" w:space="0" w:color="auto"/>
            </w:tcBorders>
          </w:tcPr>
          <w:p w:rsidR="00404D8D" w:rsidRDefault="00CC3EB3" w:rsidP="00E47BAD">
            <w:pPr>
              <w:autoSpaceDE w:val="0"/>
              <w:autoSpaceDN w:val="0"/>
              <w:adjustRightInd w:val="0"/>
              <w:jc w:val="center"/>
              <w:rPr>
                <w:szCs w:val="24"/>
              </w:rPr>
            </w:pPr>
            <w:r>
              <w:rPr>
                <w:szCs w:val="24"/>
              </w:rPr>
              <w:t>ND</w:t>
            </w:r>
          </w:p>
        </w:tc>
        <w:tc>
          <w:tcPr>
            <w:tcW w:w="1916" w:type="dxa"/>
            <w:tcBorders>
              <w:top w:val="single" w:sz="6" w:space="0" w:color="auto"/>
              <w:left w:val="single" w:sz="6" w:space="0" w:color="auto"/>
              <w:bottom w:val="single" w:sz="6" w:space="0" w:color="auto"/>
              <w:right w:val="double" w:sz="4" w:space="0" w:color="auto"/>
            </w:tcBorders>
          </w:tcPr>
          <w:p w:rsidR="00404D8D" w:rsidRDefault="00CC3EB3" w:rsidP="00E47BAD">
            <w:pPr>
              <w:autoSpaceDE w:val="0"/>
              <w:autoSpaceDN w:val="0"/>
              <w:adjustRightInd w:val="0"/>
              <w:jc w:val="center"/>
              <w:rPr>
                <w:szCs w:val="24"/>
              </w:rPr>
            </w:pPr>
            <w:r>
              <w:rPr>
                <w:szCs w:val="24"/>
              </w:rPr>
              <w:t>58</w:t>
            </w:r>
          </w:p>
        </w:tc>
      </w:tr>
      <w:tr w:rsidR="00CC3EB3" w:rsidTr="00E47BAD">
        <w:tc>
          <w:tcPr>
            <w:tcW w:w="1915" w:type="dxa"/>
            <w:tcBorders>
              <w:top w:val="single" w:sz="6" w:space="0" w:color="auto"/>
              <w:left w:val="double" w:sz="4" w:space="0" w:color="auto"/>
              <w:bottom w:val="single" w:sz="6" w:space="0" w:color="auto"/>
              <w:right w:val="single" w:sz="6" w:space="0" w:color="auto"/>
            </w:tcBorders>
          </w:tcPr>
          <w:p w:rsidR="00404D8D" w:rsidRDefault="00CC3EB3" w:rsidP="00E47BAD">
            <w:pPr>
              <w:autoSpaceDE w:val="0"/>
              <w:autoSpaceDN w:val="0"/>
              <w:adjustRightInd w:val="0"/>
              <w:jc w:val="center"/>
              <w:rPr>
                <w:szCs w:val="24"/>
              </w:rPr>
            </w:pPr>
            <w:r>
              <w:rPr>
                <w:szCs w:val="24"/>
              </w:rPr>
              <w:t>Tetrachloroethylene</w:t>
            </w:r>
          </w:p>
        </w:tc>
        <w:tc>
          <w:tcPr>
            <w:tcW w:w="1915" w:type="dxa"/>
            <w:tcBorders>
              <w:top w:val="single" w:sz="6" w:space="0" w:color="auto"/>
              <w:left w:val="single" w:sz="6" w:space="0" w:color="auto"/>
              <w:bottom w:val="single" w:sz="6" w:space="0" w:color="auto"/>
              <w:right w:val="single" w:sz="6" w:space="0" w:color="auto"/>
            </w:tcBorders>
          </w:tcPr>
          <w:p w:rsidR="00404D8D" w:rsidRDefault="00E47BAD" w:rsidP="00E47BAD">
            <w:pPr>
              <w:autoSpaceDE w:val="0"/>
              <w:autoSpaceDN w:val="0"/>
              <w:adjustRightInd w:val="0"/>
              <w:jc w:val="center"/>
              <w:rPr>
                <w:szCs w:val="24"/>
              </w:rPr>
            </w:pPr>
            <w:r>
              <w:rPr>
                <w:szCs w:val="24"/>
              </w:rPr>
              <w:t>57</w:t>
            </w:r>
          </w:p>
        </w:tc>
        <w:tc>
          <w:tcPr>
            <w:tcW w:w="1915" w:type="dxa"/>
            <w:tcBorders>
              <w:top w:val="single" w:sz="6" w:space="0" w:color="auto"/>
              <w:left w:val="single" w:sz="6" w:space="0" w:color="auto"/>
              <w:bottom w:val="single" w:sz="6" w:space="0" w:color="auto"/>
              <w:right w:val="single" w:sz="6" w:space="0" w:color="auto"/>
            </w:tcBorders>
          </w:tcPr>
          <w:p w:rsidR="00404D8D" w:rsidRDefault="00E47BAD" w:rsidP="00E47BAD">
            <w:pPr>
              <w:autoSpaceDE w:val="0"/>
              <w:autoSpaceDN w:val="0"/>
              <w:adjustRightInd w:val="0"/>
              <w:jc w:val="center"/>
              <w:rPr>
                <w:szCs w:val="24"/>
              </w:rPr>
            </w:pPr>
            <w:r>
              <w:rPr>
                <w:szCs w:val="24"/>
              </w:rPr>
              <w:t>0.029</w:t>
            </w:r>
          </w:p>
        </w:tc>
        <w:tc>
          <w:tcPr>
            <w:tcW w:w="1915" w:type="dxa"/>
            <w:tcBorders>
              <w:top w:val="single" w:sz="6" w:space="0" w:color="auto"/>
              <w:left w:val="single" w:sz="6" w:space="0" w:color="auto"/>
              <w:bottom w:val="single" w:sz="6" w:space="0" w:color="auto"/>
              <w:right w:val="single" w:sz="6" w:space="0" w:color="auto"/>
            </w:tcBorders>
          </w:tcPr>
          <w:p w:rsidR="00404D8D" w:rsidRDefault="00E47BAD" w:rsidP="00E47BAD">
            <w:pPr>
              <w:autoSpaceDE w:val="0"/>
              <w:autoSpaceDN w:val="0"/>
              <w:adjustRightInd w:val="0"/>
              <w:jc w:val="center"/>
              <w:rPr>
                <w:szCs w:val="24"/>
              </w:rPr>
            </w:pPr>
            <w:r>
              <w:rPr>
                <w:szCs w:val="24"/>
              </w:rPr>
              <w:t>11</w:t>
            </w:r>
          </w:p>
        </w:tc>
        <w:tc>
          <w:tcPr>
            <w:tcW w:w="1916" w:type="dxa"/>
            <w:tcBorders>
              <w:top w:val="single" w:sz="6" w:space="0" w:color="auto"/>
              <w:left w:val="single" w:sz="6" w:space="0" w:color="auto"/>
              <w:bottom w:val="single" w:sz="6" w:space="0" w:color="auto"/>
              <w:right w:val="double" w:sz="4" w:space="0" w:color="auto"/>
            </w:tcBorders>
          </w:tcPr>
          <w:p w:rsidR="00404D8D" w:rsidRDefault="00E47BAD" w:rsidP="00E47BAD">
            <w:pPr>
              <w:autoSpaceDE w:val="0"/>
              <w:autoSpaceDN w:val="0"/>
              <w:adjustRightInd w:val="0"/>
              <w:jc w:val="center"/>
              <w:rPr>
                <w:szCs w:val="24"/>
              </w:rPr>
            </w:pPr>
            <w:r>
              <w:rPr>
                <w:szCs w:val="24"/>
              </w:rPr>
              <w:t>ND</w:t>
            </w:r>
          </w:p>
        </w:tc>
      </w:tr>
      <w:tr w:rsidR="00CC3EB3" w:rsidTr="00E47BAD">
        <w:tc>
          <w:tcPr>
            <w:tcW w:w="1915" w:type="dxa"/>
            <w:tcBorders>
              <w:top w:val="single" w:sz="6" w:space="0" w:color="auto"/>
              <w:left w:val="double" w:sz="4" w:space="0" w:color="auto"/>
              <w:bottom w:val="single" w:sz="6" w:space="0" w:color="auto"/>
              <w:right w:val="single" w:sz="6" w:space="0" w:color="auto"/>
            </w:tcBorders>
          </w:tcPr>
          <w:p w:rsidR="00404D8D" w:rsidRDefault="00CC3EB3" w:rsidP="00E47BAD">
            <w:pPr>
              <w:autoSpaceDE w:val="0"/>
              <w:autoSpaceDN w:val="0"/>
              <w:adjustRightInd w:val="0"/>
              <w:jc w:val="center"/>
              <w:rPr>
                <w:szCs w:val="24"/>
              </w:rPr>
            </w:pPr>
            <w:r>
              <w:rPr>
                <w:szCs w:val="24"/>
              </w:rPr>
              <w:t>Hexachlorobutadiene</w:t>
            </w:r>
          </w:p>
        </w:tc>
        <w:tc>
          <w:tcPr>
            <w:tcW w:w="1915" w:type="dxa"/>
            <w:tcBorders>
              <w:top w:val="single" w:sz="6" w:space="0" w:color="auto"/>
              <w:left w:val="single" w:sz="6" w:space="0" w:color="auto"/>
              <w:bottom w:val="single" w:sz="6" w:space="0" w:color="auto"/>
              <w:right w:val="single" w:sz="6" w:space="0" w:color="auto"/>
            </w:tcBorders>
          </w:tcPr>
          <w:p w:rsidR="00404D8D" w:rsidRDefault="00E47BAD" w:rsidP="00E47BAD">
            <w:pPr>
              <w:autoSpaceDE w:val="0"/>
              <w:autoSpaceDN w:val="0"/>
              <w:adjustRightInd w:val="0"/>
              <w:jc w:val="center"/>
              <w:rPr>
                <w:szCs w:val="24"/>
              </w:rPr>
            </w:pPr>
            <w:r>
              <w:rPr>
                <w:szCs w:val="24"/>
              </w:rPr>
              <w:t>8.8</w:t>
            </w:r>
          </w:p>
        </w:tc>
        <w:tc>
          <w:tcPr>
            <w:tcW w:w="1915" w:type="dxa"/>
            <w:tcBorders>
              <w:top w:val="single" w:sz="6" w:space="0" w:color="auto"/>
              <w:left w:val="single" w:sz="6" w:space="0" w:color="auto"/>
              <w:bottom w:val="single" w:sz="6" w:space="0" w:color="auto"/>
              <w:right w:val="single" w:sz="6" w:space="0" w:color="auto"/>
            </w:tcBorders>
          </w:tcPr>
          <w:p w:rsidR="00404D8D" w:rsidRDefault="00E47BAD" w:rsidP="00E47BAD">
            <w:pPr>
              <w:autoSpaceDE w:val="0"/>
              <w:autoSpaceDN w:val="0"/>
              <w:adjustRightInd w:val="0"/>
              <w:jc w:val="center"/>
              <w:rPr>
                <w:szCs w:val="24"/>
              </w:rPr>
            </w:pPr>
            <w:r>
              <w:rPr>
                <w:szCs w:val="24"/>
              </w:rPr>
              <w:t>ND</w:t>
            </w:r>
          </w:p>
        </w:tc>
        <w:tc>
          <w:tcPr>
            <w:tcW w:w="1915" w:type="dxa"/>
            <w:tcBorders>
              <w:top w:val="single" w:sz="6" w:space="0" w:color="auto"/>
              <w:left w:val="single" w:sz="6" w:space="0" w:color="auto"/>
              <w:bottom w:val="single" w:sz="6" w:space="0" w:color="auto"/>
              <w:right w:val="single" w:sz="6" w:space="0" w:color="auto"/>
            </w:tcBorders>
          </w:tcPr>
          <w:p w:rsidR="00404D8D" w:rsidRDefault="00E47BAD" w:rsidP="00E47BAD">
            <w:pPr>
              <w:autoSpaceDE w:val="0"/>
              <w:autoSpaceDN w:val="0"/>
              <w:adjustRightInd w:val="0"/>
              <w:jc w:val="center"/>
              <w:rPr>
                <w:szCs w:val="24"/>
              </w:rPr>
            </w:pPr>
            <w:r>
              <w:rPr>
                <w:szCs w:val="24"/>
              </w:rPr>
              <w:t>ND</w:t>
            </w:r>
          </w:p>
        </w:tc>
        <w:tc>
          <w:tcPr>
            <w:tcW w:w="1916" w:type="dxa"/>
            <w:tcBorders>
              <w:top w:val="single" w:sz="6" w:space="0" w:color="auto"/>
              <w:left w:val="single" w:sz="6" w:space="0" w:color="auto"/>
              <w:bottom w:val="single" w:sz="6" w:space="0" w:color="auto"/>
              <w:right w:val="double" w:sz="4" w:space="0" w:color="auto"/>
            </w:tcBorders>
          </w:tcPr>
          <w:p w:rsidR="00404D8D" w:rsidRDefault="00E47BAD" w:rsidP="00E47BAD">
            <w:pPr>
              <w:autoSpaceDE w:val="0"/>
              <w:autoSpaceDN w:val="0"/>
              <w:adjustRightInd w:val="0"/>
              <w:jc w:val="center"/>
              <w:rPr>
                <w:szCs w:val="24"/>
              </w:rPr>
            </w:pPr>
            <w:r>
              <w:rPr>
                <w:szCs w:val="24"/>
              </w:rPr>
              <w:t>ND</w:t>
            </w:r>
          </w:p>
        </w:tc>
      </w:tr>
      <w:tr w:rsidR="00CC3EB3" w:rsidTr="00E47BAD">
        <w:tc>
          <w:tcPr>
            <w:tcW w:w="1915" w:type="dxa"/>
            <w:tcBorders>
              <w:top w:val="single" w:sz="6" w:space="0" w:color="auto"/>
              <w:left w:val="double" w:sz="4" w:space="0" w:color="auto"/>
              <w:bottom w:val="single" w:sz="6" w:space="0" w:color="auto"/>
              <w:right w:val="single" w:sz="6" w:space="0" w:color="auto"/>
            </w:tcBorders>
          </w:tcPr>
          <w:p w:rsidR="00404D8D" w:rsidRDefault="00CC3EB3" w:rsidP="00E47BAD">
            <w:pPr>
              <w:autoSpaceDE w:val="0"/>
              <w:autoSpaceDN w:val="0"/>
              <w:adjustRightInd w:val="0"/>
              <w:jc w:val="center"/>
              <w:rPr>
                <w:szCs w:val="24"/>
              </w:rPr>
            </w:pPr>
            <w:r>
              <w:rPr>
                <w:szCs w:val="24"/>
              </w:rPr>
              <w:t>Methylene Chloride</w:t>
            </w:r>
          </w:p>
        </w:tc>
        <w:tc>
          <w:tcPr>
            <w:tcW w:w="1915" w:type="dxa"/>
            <w:tcBorders>
              <w:top w:val="single" w:sz="6" w:space="0" w:color="auto"/>
              <w:left w:val="single" w:sz="6" w:space="0" w:color="auto"/>
              <w:bottom w:val="single" w:sz="6" w:space="0" w:color="auto"/>
              <w:right w:val="single" w:sz="6" w:space="0" w:color="auto"/>
            </w:tcBorders>
          </w:tcPr>
          <w:p w:rsidR="00404D8D" w:rsidRDefault="00E47BAD" w:rsidP="00E47BAD">
            <w:pPr>
              <w:autoSpaceDE w:val="0"/>
              <w:autoSpaceDN w:val="0"/>
              <w:adjustRightInd w:val="0"/>
              <w:jc w:val="center"/>
              <w:rPr>
                <w:szCs w:val="24"/>
              </w:rPr>
            </w:pPr>
            <w:r>
              <w:rPr>
                <w:szCs w:val="24"/>
              </w:rPr>
              <w:t>0.22</w:t>
            </w:r>
          </w:p>
        </w:tc>
        <w:tc>
          <w:tcPr>
            <w:tcW w:w="1915" w:type="dxa"/>
            <w:tcBorders>
              <w:top w:val="single" w:sz="6" w:space="0" w:color="auto"/>
              <w:left w:val="single" w:sz="6" w:space="0" w:color="auto"/>
              <w:bottom w:val="single" w:sz="6" w:space="0" w:color="auto"/>
              <w:right w:val="single" w:sz="6" w:space="0" w:color="auto"/>
            </w:tcBorders>
          </w:tcPr>
          <w:p w:rsidR="00404D8D" w:rsidRDefault="00E47BAD" w:rsidP="00E47BAD">
            <w:pPr>
              <w:autoSpaceDE w:val="0"/>
              <w:autoSpaceDN w:val="0"/>
              <w:adjustRightInd w:val="0"/>
              <w:jc w:val="center"/>
              <w:rPr>
                <w:szCs w:val="24"/>
              </w:rPr>
            </w:pPr>
            <w:r>
              <w:rPr>
                <w:szCs w:val="24"/>
              </w:rPr>
              <w:t>ND</w:t>
            </w:r>
          </w:p>
        </w:tc>
        <w:tc>
          <w:tcPr>
            <w:tcW w:w="1915" w:type="dxa"/>
            <w:tcBorders>
              <w:top w:val="single" w:sz="6" w:space="0" w:color="auto"/>
              <w:left w:val="single" w:sz="6" w:space="0" w:color="auto"/>
              <w:bottom w:val="single" w:sz="6" w:space="0" w:color="auto"/>
              <w:right w:val="single" w:sz="6" w:space="0" w:color="auto"/>
            </w:tcBorders>
          </w:tcPr>
          <w:p w:rsidR="00404D8D" w:rsidRDefault="00E47BAD" w:rsidP="00E47BAD">
            <w:pPr>
              <w:autoSpaceDE w:val="0"/>
              <w:autoSpaceDN w:val="0"/>
              <w:adjustRightInd w:val="0"/>
              <w:jc w:val="center"/>
              <w:rPr>
                <w:szCs w:val="24"/>
              </w:rPr>
            </w:pPr>
            <w:r>
              <w:rPr>
                <w:szCs w:val="24"/>
              </w:rPr>
              <w:t>ND</w:t>
            </w:r>
          </w:p>
        </w:tc>
        <w:tc>
          <w:tcPr>
            <w:tcW w:w="1916" w:type="dxa"/>
            <w:tcBorders>
              <w:top w:val="single" w:sz="6" w:space="0" w:color="auto"/>
              <w:left w:val="single" w:sz="6" w:space="0" w:color="auto"/>
              <w:bottom w:val="single" w:sz="6" w:space="0" w:color="auto"/>
              <w:right w:val="double" w:sz="4" w:space="0" w:color="auto"/>
            </w:tcBorders>
          </w:tcPr>
          <w:p w:rsidR="00404D8D" w:rsidRDefault="00E47BAD" w:rsidP="00E47BAD">
            <w:pPr>
              <w:autoSpaceDE w:val="0"/>
              <w:autoSpaceDN w:val="0"/>
              <w:adjustRightInd w:val="0"/>
              <w:jc w:val="center"/>
              <w:rPr>
                <w:szCs w:val="24"/>
              </w:rPr>
            </w:pPr>
            <w:r>
              <w:rPr>
                <w:szCs w:val="24"/>
              </w:rPr>
              <w:t>ND</w:t>
            </w:r>
          </w:p>
        </w:tc>
      </w:tr>
      <w:tr w:rsidR="00CC3EB3" w:rsidTr="00E47BAD">
        <w:tc>
          <w:tcPr>
            <w:tcW w:w="1915" w:type="dxa"/>
            <w:tcBorders>
              <w:top w:val="single" w:sz="6" w:space="0" w:color="auto"/>
              <w:left w:val="double" w:sz="4" w:space="0" w:color="auto"/>
              <w:bottom w:val="single" w:sz="6" w:space="0" w:color="auto"/>
              <w:right w:val="single" w:sz="6" w:space="0" w:color="auto"/>
            </w:tcBorders>
          </w:tcPr>
          <w:p w:rsidR="00404D8D" w:rsidRDefault="00CC3EB3" w:rsidP="00E47BAD">
            <w:pPr>
              <w:autoSpaceDE w:val="0"/>
              <w:autoSpaceDN w:val="0"/>
              <w:adjustRightInd w:val="0"/>
              <w:jc w:val="center"/>
              <w:rPr>
                <w:szCs w:val="24"/>
              </w:rPr>
            </w:pPr>
            <w:r>
              <w:rPr>
                <w:szCs w:val="24"/>
              </w:rPr>
              <w:t>Hexachlorobenzene</w:t>
            </w:r>
          </w:p>
        </w:tc>
        <w:tc>
          <w:tcPr>
            <w:tcW w:w="1915" w:type="dxa"/>
            <w:tcBorders>
              <w:top w:val="single" w:sz="6" w:space="0" w:color="auto"/>
              <w:left w:val="single" w:sz="6" w:space="0" w:color="auto"/>
              <w:bottom w:val="single" w:sz="6" w:space="0" w:color="auto"/>
              <w:right w:val="single" w:sz="6" w:space="0" w:color="auto"/>
            </w:tcBorders>
          </w:tcPr>
          <w:p w:rsidR="00404D8D" w:rsidRDefault="00E47BAD" w:rsidP="00E47BAD">
            <w:pPr>
              <w:autoSpaceDE w:val="0"/>
              <w:autoSpaceDN w:val="0"/>
              <w:adjustRightInd w:val="0"/>
              <w:jc w:val="center"/>
              <w:rPr>
                <w:szCs w:val="24"/>
              </w:rPr>
            </w:pPr>
            <w:r>
              <w:rPr>
                <w:szCs w:val="24"/>
              </w:rPr>
              <w:t>1.6</w:t>
            </w:r>
          </w:p>
        </w:tc>
        <w:tc>
          <w:tcPr>
            <w:tcW w:w="1915" w:type="dxa"/>
            <w:tcBorders>
              <w:top w:val="single" w:sz="6" w:space="0" w:color="auto"/>
              <w:left w:val="single" w:sz="6" w:space="0" w:color="auto"/>
              <w:bottom w:val="single" w:sz="6" w:space="0" w:color="auto"/>
              <w:right w:val="single" w:sz="6" w:space="0" w:color="auto"/>
            </w:tcBorders>
          </w:tcPr>
          <w:p w:rsidR="00404D8D" w:rsidRDefault="00E47BAD" w:rsidP="00E47BAD">
            <w:pPr>
              <w:autoSpaceDE w:val="0"/>
              <w:autoSpaceDN w:val="0"/>
              <w:adjustRightInd w:val="0"/>
              <w:jc w:val="center"/>
              <w:rPr>
                <w:szCs w:val="24"/>
              </w:rPr>
            </w:pPr>
            <w:r>
              <w:rPr>
                <w:szCs w:val="24"/>
              </w:rPr>
              <w:t>ND</w:t>
            </w:r>
          </w:p>
        </w:tc>
        <w:tc>
          <w:tcPr>
            <w:tcW w:w="1915" w:type="dxa"/>
            <w:tcBorders>
              <w:top w:val="single" w:sz="6" w:space="0" w:color="auto"/>
              <w:left w:val="single" w:sz="6" w:space="0" w:color="auto"/>
              <w:bottom w:val="single" w:sz="6" w:space="0" w:color="auto"/>
              <w:right w:val="single" w:sz="6" w:space="0" w:color="auto"/>
            </w:tcBorders>
          </w:tcPr>
          <w:p w:rsidR="00404D8D" w:rsidRDefault="00E47BAD" w:rsidP="00E47BAD">
            <w:pPr>
              <w:autoSpaceDE w:val="0"/>
              <w:autoSpaceDN w:val="0"/>
              <w:adjustRightInd w:val="0"/>
              <w:jc w:val="center"/>
              <w:rPr>
                <w:szCs w:val="24"/>
              </w:rPr>
            </w:pPr>
            <w:r>
              <w:rPr>
                <w:szCs w:val="24"/>
              </w:rPr>
              <w:t>ND</w:t>
            </w:r>
          </w:p>
        </w:tc>
        <w:tc>
          <w:tcPr>
            <w:tcW w:w="1916" w:type="dxa"/>
            <w:tcBorders>
              <w:top w:val="single" w:sz="6" w:space="0" w:color="auto"/>
              <w:left w:val="single" w:sz="6" w:space="0" w:color="auto"/>
              <w:bottom w:val="single" w:sz="6" w:space="0" w:color="auto"/>
              <w:right w:val="double" w:sz="4" w:space="0" w:color="auto"/>
            </w:tcBorders>
          </w:tcPr>
          <w:p w:rsidR="00404D8D" w:rsidRDefault="00E47BAD" w:rsidP="00E47BAD">
            <w:pPr>
              <w:autoSpaceDE w:val="0"/>
              <w:autoSpaceDN w:val="0"/>
              <w:adjustRightInd w:val="0"/>
              <w:jc w:val="center"/>
              <w:rPr>
                <w:szCs w:val="24"/>
              </w:rPr>
            </w:pPr>
            <w:r>
              <w:rPr>
                <w:szCs w:val="24"/>
              </w:rPr>
              <w:t>ND</w:t>
            </w:r>
          </w:p>
        </w:tc>
      </w:tr>
      <w:tr w:rsidR="00CC3EB3" w:rsidTr="00E47BAD">
        <w:tc>
          <w:tcPr>
            <w:tcW w:w="1915" w:type="dxa"/>
            <w:tcBorders>
              <w:top w:val="single" w:sz="6" w:space="0" w:color="auto"/>
              <w:left w:val="double" w:sz="4" w:space="0" w:color="auto"/>
              <w:bottom w:val="double" w:sz="4" w:space="0" w:color="auto"/>
              <w:right w:val="single" w:sz="6" w:space="0" w:color="auto"/>
            </w:tcBorders>
          </w:tcPr>
          <w:p w:rsidR="00404D8D" w:rsidRDefault="00CC3EB3" w:rsidP="00E47BAD">
            <w:pPr>
              <w:autoSpaceDE w:val="0"/>
              <w:autoSpaceDN w:val="0"/>
              <w:adjustRightInd w:val="0"/>
              <w:jc w:val="center"/>
              <w:rPr>
                <w:szCs w:val="24"/>
              </w:rPr>
            </w:pPr>
            <w:r>
              <w:rPr>
                <w:szCs w:val="24"/>
              </w:rPr>
              <w:t>Cis-1,2-dichloroethene</w:t>
            </w:r>
          </w:p>
        </w:tc>
        <w:tc>
          <w:tcPr>
            <w:tcW w:w="1915" w:type="dxa"/>
            <w:tcBorders>
              <w:top w:val="single" w:sz="6" w:space="0" w:color="auto"/>
              <w:left w:val="single" w:sz="6" w:space="0" w:color="auto"/>
              <w:bottom w:val="double" w:sz="4" w:space="0" w:color="auto"/>
              <w:right w:val="single" w:sz="6" w:space="0" w:color="auto"/>
            </w:tcBorders>
          </w:tcPr>
          <w:p w:rsidR="00404D8D" w:rsidRDefault="00E47BAD" w:rsidP="00E47BAD">
            <w:pPr>
              <w:autoSpaceDE w:val="0"/>
              <w:autoSpaceDN w:val="0"/>
              <w:adjustRightInd w:val="0"/>
              <w:jc w:val="center"/>
              <w:rPr>
                <w:szCs w:val="24"/>
              </w:rPr>
            </w:pPr>
            <w:r>
              <w:rPr>
                <w:szCs w:val="24"/>
              </w:rPr>
              <w:t>0.6</w:t>
            </w:r>
          </w:p>
        </w:tc>
        <w:tc>
          <w:tcPr>
            <w:tcW w:w="1915" w:type="dxa"/>
            <w:tcBorders>
              <w:top w:val="single" w:sz="6" w:space="0" w:color="auto"/>
              <w:left w:val="single" w:sz="6" w:space="0" w:color="auto"/>
              <w:bottom w:val="double" w:sz="4" w:space="0" w:color="auto"/>
              <w:right w:val="single" w:sz="6" w:space="0" w:color="auto"/>
            </w:tcBorders>
          </w:tcPr>
          <w:p w:rsidR="00404D8D" w:rsidRDefault="00E47BAD" w:rsidP="00E47BAD">
            <w:pPr>
              <w:autoSpaceDE w:val="0"/>
              <w:autoSpaceDN w:val="0"/>
              <w:adjustRightInd w:val="0"/>
              <w:jc w:val="center"/>
              <w:rPr>
                <w:szCs w:val="24"/>
              </w:rPr>
            </w:pPr>
            <w:r>
              <w:rPr>
                <w:szCs w:val="24"/>
              </w:rPr>
              <w:t>ND</w:t>
            </w:r>
          </w:p>
        </w:tc>
        <w:tc>
          <w:tcPr>
            <w:tcW w:w="1915" w:type="dxa"/>
            <w:tcBorders>
              <w:top w:val="single" w:sz="6" w:space="0" w:color="auto"/>
              <w:left w:val="single" w:sz="6" w:space="0" w:color="auto"/>
              <w:bottom w:val="double" w:sz="4" w:space="0" w:color="auto"/>
              <w:right w:val="single" w:sz="6" w:space="0" w:color="auto"/>
            </w:tcBorders>
          </w:tcPr>
          <w:p w:rsidR="00404D8D" w:rsidRDefault="00E47BAD" w:rsidP="00E47BAD">
            <w:pPr>
              <w:autoSpaceDE w:val="0"/>
              <w:autoSpaceDN w:val="0"/>
              <w:adjustRightInd w:val="0"/>
              <w:jc w:val="center"/>
              <w:rPr>
                <w:szCs w:val="24"/>
              </w:rPr>
            </w:pPr>
            <w:r>
              <w:rPr>
                <w:szCs w:val="24"/>
              </w:rPr>
              <w:t>ND</w:t>
            </w:r>
          </w:p>
        </w:tc>
        <w:tc>
          <w:tcPr>
            <w:tcW w:w="1916" w:type="dxa"/>
            <w:tcBorders>
              <w:top w:val="single" w:sz="6" w:space="0" w:color="auto"/>
              <w:left w:val="single" w:sz="6" w:space="0" w:color="auto"/>
              <w:bottom w:val="double" w:sz="4" w:space="0" w:color="auto"/>
              <w:right w:val="double" w:sz="4" w:space="0" w:color="auto"/>
            </w:tcBorders>
          </w:tcPr>
          <w:p w:rsidR="00404D8D" w:rsidRDefault="00E47BAD" w:rsidP="00E47BAD">
            <w:pPr>
              <w:autoSpaceDE w:val="0"/>
              <w:autoSpaceDN w:val="0"/>
              <w:adjustRightInd w:val="0"/>
              <w:jc w:val="center"/>
              <w:rPr>
                <w:szCs w:val="24"/>
              </w:rPr>
            </w:pPr>
            <w:r>
              <w:rPr>
                <w:szCs w:val="24"/>
              </w:rPr>
              <w:t>1800</w:t>
            </w:r>
          </w:p>
        </w:tc>
      </w:tr>
      <w:tr w:rsidR="00CC3EB3" w:rsidTr="00E47BAD">
        <w:tc>
          <w:tcPr>
            <w:tcW w:w="1915" w:type="dxa"/>
            <w:tcBorders>
              <w:top w:val="double" w:sz="4" w:space="0" w:color="auto"/>
              <w:left w:val="double" w:sz="4" w:space="0" w:color="auto"/>
              <w:bottom w:val="double" w:sz="4" w:space="0" w:color="auto"/>
              <w:right w:val="nil"/>
            </w:tcBorders>
          </w:tcPr>
          <w:p w:rsidR="00404D8D" w:rsidRDefault="00CC3EB3" w:rsidP="00E47BAD">
            <w:pPr>
              <w:autoSpaceDE w:val="0"/>
              <w:autoSpaceDN w:val="0"/>
              <w:adjustRightInd w:val="0"/>
              <w:jc w:val="center"/>
              <w:rPr>
                <w:szCs w:val="24"/>
              </w:rPr>
            </w:pPr>
            <w:r>
              <w:rPr>
                <w:szCs w:val="24"/>
              </w:rPr>
              <w:t>(ND = not detected)</w:t>
            </w:r>
          </w:p>
        </w:tc>
        <w:tc>
          <w:tcPr>
            <w:tcW w:w="1915" w:type="dxa"/>
            <w:tcBorders>
              <w:top w:val="double" w:sz="4" w:space="0" w:color="auto"/>
              <w:left w:val="nil"/>
              <w:bottom w:val="double" w:sz="4" w:space="0" w:color="auto"/>
              <w:right w:val="nil"/>
            </w:tcBorders>
          </w:tcPr>
          <w:p w:rsidR="00404D8D" w:rsidRDefault="00404D8D" w:rsidP="00E47BAD">
            <w:pPr>
              <w:autoSpaceDE w:val="0"/>
              <w:autoSpaceDN w:val="0"/>
              <w:adjustRightInd w:val="0"/>
              <w:jc w:val="center"/>
              <w:rPr>
                <w:szCs w:val="24"/>
              </w:rPr>
            </w:pPr>
          </w:p>
        </w:tc>
        <w:tc>
          <w:tcPr>
            <w:tcW w:w="1915" w:type="dxa"/>
            <w:tcBorders>
              <w:top w:val="double" w:sz="4" w:space="0" w:color="auto"/>
              <w:left w:val="nil"/>
              <w:bottom w:val="double" w:sz="4" w:space="0" w:color="auto"/>
              <w:right w:val="nil"/>
            </w:tcBorders>
          </w:tcPr>
          <w:p w:rsidR="00404D8D" w:rsidRDefault="00404D8D" w:rsidP="00E47BAD">
            <w:pPr>
              <w:autoSpaceDE w:val="0"/>
              <w:autoSpaceDN w:val="0"/>
              <w:adjustRightInd w:val="0"/>
              <w:jc w:val="center"/>
              <w:rPr>
                <w:szCs w:val="24"/>
              </w:rPr>
            </w:pPr>
          </w:p>
        </w:tc>
        <w:tc>
          <w:tcPr>
            <w:tcW w:w="1915" w:type="dxa"/>
            <w:tcBorders>
              <w:top w:val="double" w:sz="4" w:space="0" w:color="auto"/>
              <w:left w:val="nil"/>
              <w:bottom w:val="double" w:sz="4" w:space="0" w:color="auto"/>
              <w:right w:val="nil"/>
            </w:tcBorders>
          </w:tcPr>
          <w:p w:rsidR="00404D8D" w:rsidRDefault="00404D8D" w:rsidP="00E47BAD">
            <w:pPr>
              <w:autoSpaceDE w:val="0"/>
              <w:autoSpaceDN w:val="0"/>
              <w:adjustRightInd w:val="0"/>
              <w:jc w:val="center"/>
              <w:rPr>
                <w:szCs w:val="24"/>
              </w:rPr>
            </w:pPr>
          </w:p>
        </w:tc>
        <w:tc>
          <w:tcPr>
            <w:tcW w:w="1916" w:type="dxa"/>
            <w:tcBorders>
              <w:top w:val="double" w:sz="4" w:space="0" w:color="auto"/>
              <w:left w:val="nil"/>
              <w:bottom w:val="double" w:sz="4" w:space="0" w:color="auto"/>
              <w:right w:val="double" w:sz="4" w:space="0" w:color="auto"/>
            </w:tcBorders>
          </w:tcPr>
          <w:p w:rsidR="00404D8D" w:rsidRDefault="00404D8D" w:rsidP="00E47BAD">
            <w:pPr>
              <w:autoSpaceDE w:val="0"/>
              <w:autoSpaceDN w:val="0"/>
              <w:adjustRightInd w:val="0"/>
              <w:jc w:val="center"/>
              <w:rPr>
                <w:szCs w:val="24"/>
              </w:rPr>
            </w:pPr>
          </w:p>
        </w:tc>
      </w:tr>
      <w:tr w:rsidR="00CC3EB3" w:rsidTr="00E47BAD">
        <w:tc>
          <w:tcPr>
            <w:tcW w:w="1915" w:type="dxa"/>
            <w:tcBorders>
              <w:top w:val="double" w:sz="4" w:space="0" w:color="auto"/>
              <w:left w:val="double" w:sz="4" w:space="0" w:color="auto"/>
              <w:bottom w:val="double" w:sz="4" w:space="0" w:color="auto"/>
              <w:right w:val="single" w:sz="6" w:space="0" w:color="auto"/>
            </w:tcBorders>
          </w:tcPr>
          <w:p w:rsidR="00404D8D" w:rsidRPr="00E47BAD" w:rsidRDefault="00CC3EB3" w:rsidP="00E47BAD">
            <w:pPr>
              <w:autoSpaceDE w:val="0"/>
              <w:autoSpaceDN w:val="0"/>
              <w:adjustRightInd w:val="0"/>
              <w:jc w:val="center"/>
              <w:rPr>
                <w:b/>
                <w:szCs w:val="24"/>
              </w:rPr>
            </w:pPr>
            <w:r w:rsidRPr="00E47BAD">
              <w:rPr>
                <w:b/>
                <w:szCs w:val="24"/>
              </w:rPr>
              <w:t>CONTAMINANT</w:t>
            </w:r>
          </w:p>
        </w:tc>
        <w:tc>
          <w:tcPr>
            <w:tcW w:w="1915" w:type="dxa"/>
            <w:tcBorders>
              <w:top w:val="double" w:sz="4" w:space="0" w:color="auto"/>
              <w:left w:val="single" w:sz="6" w:space="0" w:color="auto"/>
              <w:bottom w:val="double" w:sz="4" w:space="0" w:color="auto"/>
              <w:right w:val="single" w:sz="6" w:space="0" w:color="auto"/>
            </w:tcBorders>
          </w:tcPr>
          <w:p w:rsidR="00404D8D" w:rsidRPr="00E47BAD" w:rsidRDefault="00CC3EB3" w:rsidP="00E47BAD">
            <w:pPr>
              <w:autoSpaceDE w:val="0"/>
              <w:autoSpaceDN w:val="0"/>
              <w:adjustRightInd w:val="0"/>
              <w:jc w:val="center"/>
              <w:rPr>
                <w:b/>
                <w:szCs w:val="24"/>
              </w:rPr>
            </w:pPr>
            <w:r w:rsidRPr="00E47BAD">
              <w:rPr>
                <w:b/>
                <w:szCs w:val="24"/>
              </w:rPr>
              <w:t xml:space="preserve">DRAINAGE SEDIMENT </w:t>
            </w:r>
            <w:r w:rsidR="00E47BAD" w:rsidRPr="00E47BAD">
              <w:rPr>
                <w:b/>
                <w:szCs w:val="24"/>
              </w:rPr>
              <w:t>mg</w:t>
            </w:r>
            <w:r w:rsidRPr="00E47BAD">
              <w:rPr>
                <w:b/>
                <w:szCs w:val="24"/>
              </w:rPr>
              <w:t>/Kg</w:t>
            </w:r>
          </w:p>
        </w:tc>
        <w:tc>
          <w:tcPr>
            <w:tcW w:w="1915" w:type="dxa"/>
            <w:tcBorders>
              <w:top w:val="double" w:sz="4" w:space="0" w:color="auto"/>
              <w:left w:val="single" w:sz="6" w:space="0" w:color="auto"/>
              <w:bottom w:val="double" w:sz="4" w:space="0" w:color="auto"/>
              <w:right w:val="single" w:sz="6" w:space="0" w:color="auto"/>
            </w:tcBorders>
          </w:tcPr>
          <w:p w:rsidR="00404D8D" w:rsidRPr="00E47BAD" w:rsidRDefault="00CC3EB3" w:rsidP="00E47BAD">
            <w:pPr>
              <w:autoSpaceDE w:val="0"/>
              <w:autoSpaceDN w:val="0"/>
              <w:adjustRightInd w:val="0"/>
              <w:jc w:val="center"/>
              <w:rPr>
                <w:b/>
                <w:szCs w:val="24"/>
              </w:rPr>
            </w:pPr>
            <w:r w:rsidRPr="00E47BAD">
              <w:rPr>
                <w:b/>
                <w:szCs w:val="24"/>
              </w:rPr>
              <w:t>DUST/SHOT mg/Kg</w:t>
            </w:r>
          </w:p>
        </w:tc>
        <w:tc>
          <w:tcPr>
            <w:tcW w:w="1915" w:type="dxa"/>
            <w:tcBorders>
              <w:top w:val="double" w:sz="4" w:space="0" w:color="auto"/>
              <w:left w:val="single" w:sz="6" w:space="0" w:color="auto"/>
              <w:bottom w:val="double" w:sz="4" w:space="0" w:color="auto"/>
              <w:right w:val="single" w:sz="6" w:space="0" w:color="auto"/>
            </w:tcBorders>
          </w:tcPr>
          <w:p w:rsidR="00404D8D" w:rsidRPr="00E47BAD" w:rsidRDefault="00CC3EB3" w:rsidP="00E47BAD">
            <w:pPr>
              <w:autoSpaceDE w:val="0"/>
              <w:autoSpaceDN w:val="0"/>
              <w:adjustRightInd w:val="0"/>
              <w:jc w:val="center"/>
              <w:rPr>
                <w:b/>
                <w:szCs w:val="24"/>
              </w:rPr>
            </w:pPr>
            <w:r w:rsidRPr="00E47BAD">
              <w:rPr>
                <w:b/>
                <w:szCs w:val="24"/>
              </w:rPr>
              <w:t>SLUDGE mg/Kg</w:t>
            </w:r>
          </w:p>
        </w:tc>
        <w:tc>
          <w:tcPr>
            <w:tcW w:w="1916" w:type="dxa"/>
            <w:tcBorders>
              <w:top w:val="double" w:sz="4" w:space="0" w:color="auto"/>
              <w:left w:val="single" w:sz="6" w:space="0" w:color="auto"/>
              <w:bottom w:val="double" w:sz="4" w:space="0" w:color="auto"/>
              <w:right w:val="double" w:sz="4" w:space="0" w:color="auto"/>
            </w:tcBorders>
          </w:tcPr>
          <w:p w:rsidR="00404D8D" w:rsidRPr="00E47BAD" w:rsidRDefault="00CC3EB3" w:rsidP="000E0503">
            <w:pPr>
              <w:autoSpaceDE w:val="0"/>
              <w:autoSpaceDN w:val="0"/>
              <w:adjustRightInd w:val="0"/>
              <w:jc w:val="center"/>
              <w:rPr>
                <w:b/>
                <w:szCs w:val="24"/>
              </w:rPr>
            </w:pPr>
            <w:r w:rsidRPr="00E47BAD">
              <w:rPr>
                <w:b/>
                <w:szCs w:val="24"/>
              </w:rPr>
              <w:t>GROUNDWATER (</w:t>
            </w:r>
            <w:r w:rsidR="000E0503">
              <w:rPr>
                <w:b/>
                <w:szCs w:val="24"/>
              </w:rPr>
              <w:t>µ</w:t>
            </w:r>
            <w:r w:rsidRPr="00E47BAD">
              <w:rPr>
                <w:b/>
                <w:szCs w:val="24"/>
              </w:rPr>
              <w:t>g/L)</w:t>
            </w:r>
          </w:p>
        </w:tc>
      </w:tr>
      <w:tr w:rsidR="00CC3EB3" w:rsidTr="00E47BAD">
        <w:tc>
          <w:tcPr>
            <w:tcW w:w="1915" w:type="dxa"/>
            <w:tcBorders>
              <w:top w:val="double" w:sz="4" w:space="0" w:color="auto"/>
              <w:left w:val="double" w:sz="4" w:space="0" w:color="auto"/>
              <w:bottom w:val="single" w:sz="6" w:space="0" w:color="auto"/>
              <w:right w:val="single" w:sz="6" w:space="0" w:color="auto"/>
            </w:tcBorders>
          </w:tcPr>
          <w:p w:rsidR="00404D8D" w:rsidRDefault="00CC3EB3" w:rsidP="00E47BAD">
            <w:pPr>
              <w:autoSpaceDE w:val="0"/>
              <w:autoSpaceDN w:val="0"/>
              <w:adjustRightInd w:val="0"/>
              <w:jc w:val="center"/>
              <w:rPr>
                <w:szCs w:val="24"/>
              </w:rPr>
            </w:pPr>
            <w:r>
              <w:rPr>
                <w:szCs w:val="24"/>
              </w:rPr>
              <w:t>Arsenic</w:t>
            </w:r>
          </w:p>
        </w:tc>
        <w:tc>
          <w:tcPr>
            <w:tcW w:w="1915" w:type="dxa"/>
            <w:tcBorders>
              <w:top w:val="double" w:sz="4" w:space="0" w:color="auto"/>
              <w:left w:val="single" w:sz="6" w:space="0" w:color="auto"/>
              <w:bottom w:val="single" w:sz="6" w:space="0" w:color="auto"/>
              <w:right w:val="single" w:sz="6" w:space="0" w:color="auto"/>
            </w:tcBorders>
          </w:tcPr>
          <w:p w:rsidR="00404D8D" w:rsidRDefault="00E47BAD" w:rsidP="00E47BAD">
            <w:pPr>
              <w:autoSpaceDE w:val="0"/>
              <w:autoSpaceDN w:val="0"/>
              <w:adjustRightInd w:val="0"/>
              <w:jc w:val="center"/>
              <w:rPr>
                <w:szCs w:val="24"/>
              </w:rPr>
            </w:pPr>
            <w:r>
              <w:rPr>
                <w:szCs w:val="24"/>
              </w:rPr>
              <w:t>2,550</w:t>
            </w:r>
          </w:p>
        </w:tc>
        <w:tc>
          <w:tcPr>
            <w:tcW w:w="1915" w:type="dxa"/>
            <w:tcBorders>
              <w:top w:val="double" w:sz="4" w:space="0" w:color="auto"/>
              <w:left w:val="single" w:sz="6" w:space="0" w:color="auto"/>
              <w:bottom w:val="single" w:sz="6" w:space="0" w:color="auto"/>
              <w:right w:val="single" w:sz="6" w:space="0" w:color="auto"/>
            </w:tcBorders>
          </w:tcPr>
          <w:p w:rsidR="00404D8D" w:rsidRDefault="00E47BAD" w:rsidP="00E47BAD">
            <w:pPr>
              <w:autoSpaceDE w:val="0"/>
              <w:autoSpaceDN w:val="0"/>
              <w:adjustRightInd w:val="0"/>
              <w:jc w:val="center"/>
              <w:rPr>
                <w:szCs w:val="24"/>
              </w:rPr>
            </w:pPr>
            <w:r>
              <w:rPr>
                <w:szCs w:val="24"/>
              </w:rPr>
              <w:t>10,300</w:t>
            </w:r>
          </w:p>
        </w:tc>
        <w:tc>
          <w:tcPr>
            <w:tcW w:w="1915" w:type="dxa"/>
            <w:tcBorders>
              <w:top w:val="double" w:sz="4" w:space="0" w:color="auto"/>
              <w:left w:val="single" w:sz="6" w:space="0" w:color="auto"/>
              <w:bottom w:val="single" w:sz="6" w:space="0" w:color="auto"/>
              <w:right w:val="single" w:sz="6" w:space="0" w:color="auto"/>
            </w:tcBorders>
          </w:tcPr>
          <w:p w:rsidR="00404D8D" w:rsidRDefault="00E47BAD" w:rsidP="00E47BAD">
            <w:pPr>
              <w:autoSpaceDE w:val="0"/>
              <w:autoSpaceDN w:val="0"/>
              <w:adjustRightInd w:val="0"/>
              <w:jc w:val="center"/>
              <w:rPr>
                <w:szCs w:val="24"/>
              </w:rPr>
            </w:pPr>
            <w:r>
              <w:rPr>
                <w:szCs w:val="24"/>
              </w:rPr>
              <w:t>20.6</w:t>
            </w:r>
          </w:p>
        </w:tc>
        <w:tc>
          <w:tcPr>
            <w:tcW w:w="1916" w:type="dxa"/>
            <w:tcBorders>
              <w:top w:val="double" w:sz="4" w:space="0" w:color="auto"/>
              <w:left w:val="single" w:sz="6" w:space="0" w:color="auto"/>
              <w:bottom w:val="single" w:sz="6" w:space="0" w:color="auto"/>
              <w:right w:val="double" w:sz="4" w:space="0" w:color="auto"/>
            </w:tcBorders>
          </w:tcPr>
          <w:p w:rsidR="00404D8D" w:rsidRDefault="00E47BAD" w:rsidP="00E47BAD">
            <w:pPr>
              <w:autoSpaceDE w:val="0"/>
              <w:autoSpaceDN w:val="0"/>
              <w:adjustRightInd w:val="0"/>
              <w:jc w:val="center"/>
              <w:rPr>
                <w:szCs w:val="24"/>
              </w:rPr>
            </w:pPr>
            <w:r>
              <w:rPr>
                <w:szCs w:val="24"/>
              </w:rPr>
              <w:t>16.3</w:t>
            </w:r>
          </w:p>
        </w:tc>
      </w:tr>
      <w:tr w:rsidR="00CC3EB3" w:rsidTr="00E47BAD">
        <w:tc>
          <w:tcPr>
            <w:tcW w:w="1915" w:type="dxa"/>
            <w:tcBorders>
              <w:top w:val="single" w:sz="6" w:space="0" w:color="auto"/>
              <w:left w:val="double" w:sz="4" w:space="0" w:color="auto"/>
              <w:bottom w:val="double" w:sz="4" w:space="0" w:color="auto"/>
              <w:right w:val="single" w:sz="6" w:space="0" w:color="auto"/>
            </w:tcBorders>
          </w:tcPr>
          <w:p w:rsidR="00404D8D" w:rsidRDefault="00CC3EB3" w:rsidP="00E47BAD">
            <w:pPr>
              <w:autoSpaceDE w:val="0"/>
              <w:autoSpaceDN w:val="0"/>
              <w:adjustRightInd w:val="0"/>
              <w:jc w:val="center"/>
              <w:rPr>
                <w:szCs w:val="24"/>
              </w:rPr>
            </w:pPr>
            <w:r>
              <w:rPr>
                <w:szCs w:val="24"/>
              </w:rPr>
              <w:t>Lead</w:t>
            </w:r>
          </w:p>
        </w:tc>
        <w:tc>
          <w:tcPr>
            <w:tcW w:w="1915" w:type="dxa"/>
            <w:tcBorders>
              <w:top w:val="single" w:sz="6" w:space="0" w:color="auto"/>
              <w:left w:val="single" w:sz="6" w:space="0" w:color="auto"/>
              <w:bottom w:val="double" w:sz="4" w:space="0" w:color="auto"/>
              <w:right w:val="single" w:sz="6" w:space="0" w:color="auto"/>
            </w:tcBorders>
          </w:tcPr>
          <w:p w:rsidR="00404D8D" w:rsidRDefault="00E47BAD" w:rsidP="00E47BAD">
            <w:pPr>
              <w:autoSpaceDE w:val="0"/>
              <w:autoSpaceDN w:val="0"/>
              <w:adjustRightInd w:val="0"/>
              <w:jc w:val="center"/>
              <w:rPr>
                <w:szCs w:val="24"/>
              </w:rPr>
            </w:pPr>
            <w:r>
              <w:rPr>
                <w:szCs w:val="24"/>
              </w:rPr>
              <w:t>184</w:t>
            </w:r>
          </w:p>
        </w:tc>
        <w:tc>
          <w:tcPr>
            <w:tcW w:w="1915" w:type="dxa"/>
            <w:tcBorders>
              <w:top w:val="single" w:sz="6" w:space="0" w:color="auto"/>
              <w:left w:val="single" w:sz="6" w:space="0" w:color="auto"/>
              <w:bottom w:val="double" w:sz="4" w:space="0" w:color="auto"/>
              <w:right w:val="single" w:sz="6" w:space="0" w:color="auto"/>
            </w:tcBorders>
          </w:tcPr>
          <w:p w:rsidR="00404D8D" w:rsidRDefault="00E47BAD" w:rsidP="00E47BAD">
            <w:pPr>
              <w:autoSpaceDE w:val="0"/>
              <w:autoSpaceDN w:val="0"/>
              <w:adjustRightInd w:val="0"/>
              <w:jc w:val="center"/>
              <w:rPr>
                <w:szCs w:val="24"/>
              </w:rPr>
            </w:pPr>
            <w:r>
              <w:rPr>
                <w:szCs w:val="24"/>
              </w:rPr>
              <w:t>16,000</w:t>
            </w:r>
          </w:p>
        </w:tc>
        <w:tc>
          <w:tcPr>
            <w:tcW w:w="1915" w:type="dxa"/>
            <w:tcBorders>
              <w:top w:val="single" w:sz="6" w:space="0" w:color="auto"/>
              <w:left w:val="single" w:sz="6" w:space="0" w:color="auto"/>
              <w:bottom w:val="double" w:sz="4" w:space="0" w:color="auto"/>
              <w:right w:val="single" w:sz="6" w:space="0" w:color="auto"/>
            </w:tcBorders>
          </w:tcPr>
          <w:p w:rsidR="00404D8D" w:rsidRDefault="00E47BAD" w:rsidP="00E47BAD">
            <w:pPr>
              <w:autoSpaceDE w:val="0"/>
              <w:autoSpaceDN w:val="0"/>
              <w:adjustRightInd w:val="0"/>
              <w:jc w:val="center"/>
              <w:rPr>
                <w:szCs w:val="24"/>
              </w:rPr>
            </w:pPr>
            <w:r>
              <w:rPr>
                <w:szCs w:val="24"/>
              </w:rPr>
              <w:t>484</w:t>
            </w:r>
          </w:p>
        </w:tc>
        <w:tc>
          <w:tcPr>
            <w:tcW w:w="1916" w:type="dxa"/>
            <w:tcBorders>
              <w:top w:val="single" w:sz="6" w:space="0" w:color="auto"/>
              <w:left w:val="single" w:sz="6" w:space="0" w:color="auto"/>
              <w:bottom w:val="double" w:sz="4" w:space="0" w:color="auto"/>
              <w:right w:val="double" w:sz="4" w:space="0" w:color="auto"/>
            </w:tcBorders>
          </w:tcPr>
          <w:p w:rsidR="00404D8D" w:rsidRDefault="00E47BAD" w:rsidP="00E47BAD">
            <w:pPr>
              <w:autoSpaceDE w:val="0"/>
              <w:autoSpaceDN w:val="0"/>
              <w:adjustRightInd w:val="0"/>
              <w:jc w:val="center"/>
              <w:rPr>
                <w:szCs w:val="24"/>
              </w:rPr>
            </w:pPr>
            <w:r>
              <w:rPr>
                <w:szCs w:val="24"/>
              </w:rPr>
              <w:t>5.5</w:t>
            </w:r>
          </w:p>
        </w:tc>
      </w:tr>
    </w:tbl>
    <w:p w:rsidR="00F20F72" w:rsidRDefault="00273AC5" w:rsidP="00455C83">
      <w:pPr>
        <w:autoSpaceDE w:val="0"/>
        <w:autoSpaceDN w:val="0"/>
        <w:adjustRightInd w:val="0"/>
        <w:rPr>
          <w:szCs w:val="24"/>
        </w:rPr>
      </w:pPr>
      <w:r>
        <w:rPr>
          <w:szCs w:val="24"/>
        </w:rPr>
        <w:t xml:space="preserve">      </w:t>
      </w:r>
    </w:p>
    <w:p w:rsidR="006B174B" w:rsidRDefault="006B174B" w:rsidP="00455C83">
      <w:pPr>
        <w:autoSpaceDE w:val="0"/>
        <w:autoSpaceDN w:val="0"/>
        <w:adjustRightInd w:val="0"/>
        <w:rPr>
          <w:szCs w:val="24"/>
        </w:rPr>
      </w:pPr>
    </w:p>
    <w:p w:rsidR="005078EA" w:rsidRDefault="006B174B" w:rsidP="00455C83">
      <w:pPr>
        <w:autoSpaceDE w:val="0"/>
        <w:autoSpaceDN w:val="0"/>
        <w:adjustRightInd w:val="0"/>
        <w:rPr>
          <w:szCs w:val="24"/>
        </w:rPr>
      </w:pPr>
      <w:r>
        <w:rPr>
          <w:szCs w:val="24"/>
        </w:rPr>
        <w:t xml:space="preserve">The feasibility study (FS) portion of the document examined the technologies potentially available for remediation of the Site. Applicable technologies were formulated into </w:t>
      </w:r>
      <w:r w:rsidR="005078EA">
        <w:rPr>
          <w:szCs w:val="24"/>
        </w:rPr>
        <w:t xml:space="preserve">the following </w:t>
      </w:r>
      <w:r>
        <w:rPr>
          <w:szCs w:val="24"/>
        </w:rPr>
        <w:t>three remedial alternatives</w:t>
      </w:r>
      <w:r w:rsidR="005078EA">
        <w:rPr>
          <w:szCs w:val="24"/>
        </w:rPr>
        <w:t>:</w:t>
      </w:r>
    </w:p>
    <w:p w:rsidR="005078EA" w:rsidRDefault="005078EA" w:rsidP="00455C83">
      <w:pPr>
        <w:autoSpaceDE w:val="0"/>
        <w:autoSpaceDN w:val="0"/>
        <w:adjustRightInd w:val="0"/>
        <w:rPr>
          <w:szCs w:val="24"/>
        </w:rPr>
      </w:pPr>
    </w:p>
    <w:p w:rsidR="005078EA" w:rsidRDefault="005078EA" w:rsidP="00504EA0">
      <w:pPr>
        <w:autoSpaceDE w:val="0"/>
        <w:autoSpaceDN w:val="0"/>
        <w:adjustRightInd w:val="0"/>
        <w:ind w:left="720"/>
        <w:rPr>
          <w:szCs w:val="24"/>
        </w:rPr>
      </w:pPr>
      <w:r w:rsidRPr="00504EA0">
        <w:rPr>
          <w:b/>
          <w:szCs w:val="24"/>
        </w:rPr>
        <w:t>Alternative 1:</w:t>
      </w:r>
      <w:r>
        <w:rPr>
          <w:szCs w:val="24"/>
        </w:rPr>
        <w:t xml:space="preserve">  Consolidation and capping/off-site disposal / Natural attenuation</w:t>
      </w:r>
    </w:p>
    <w:p w:rsidR="005078EA" w:rsidRDefault="005078EA" w:rsidP="00504EA0">
      <w:pPr>
        <w:autoSpaceDE w:val="0"/>
        <w:autoSpaceDN w:val="0"/>
        <w:adjustRightInd w:val="0"/>
        <w:ind w:left="720"/>
        <w:rPr>
          <w:szCs w:val="24"/>
        </w:rPr>
      </w:pPr>
      <w:r w:rsidRPr="00504EA0">
        <w:rPr>
          <w:b/>
          <w:szCs w:val="24"/>
        </w:rPr>
        <w:t>Alternative 2:</w:t>
      </w:r>
      <w:r>
        <w:rPr>
          <w:szCs w:val="24"/>
        </w:rPr>
        <w:t xml:space="preserve">  Consolidation and capping / Natural attenuation</w:t>
      </w:r>
      <w:r w:rsidR="006B174B">
        <w:rPr>
          <w:szCs w:val="24"/>
        </w:rPr>
        <w:t xml:space="preserve">  </w:t>
      </w:r>
    </w:p>
    <w:p w:rsidR="005078EA" w:rsidRDefault="005078EA" w:rsidP="00504EA0">
      <w:pPr>
        <w:autoSpaceDE w:val="0"/>
        <w:autoSpaceDN w:val="0"/>
        <w:adjustRightInd w:val="0"/>
        <w:ind w:left="720"/>
        <w:rPr>
          <w:szCs w:val="24"/>
        </w:rPr>
      </w:pPr>
      <w:r w:rsidRPr="00504EA0">
        <w:rPr>
          <w:b/>
          <w:szCs w:val="24"/>
        </w:rPr>
        <w:t>Alternative 3:</w:t>
      </w:r>
      <w:r>
        <w:rPr>
          <w:szCs w:val="24"/>
        </w:rPr>
        <w:t xml:space="preserve">  Complete Removal and off-site disposal Natural attenuation.</w:t>
      </w:r>
    </w:p>
    <w:p w:rsidR="005078EA" w:rsidRDefault="005078EA" w:rsidP="00455C83">
      <w:pPr>
        <w:autoSpaceDE w:val="0"/>
        <w:autoSpaceDN w:val="0"/>
        <w:adjustRightInd w:val="0"/>
        <w:rPr>
          <w:szCs w:val="24"/>
        </w:rPr>
      </w:pPr>
    </w:p>
    <w:p w:rsidR="00D66414" w:rsidRDefault="005078EA" w:rsidP="00455C83">
      <w:pPr>
        <w:autoSpaceDE w:val="0"/>
        <w:autoSpaceDN w:val="0"/>
        <w:adjustRightInd w:val="0"/>
        <w:rPr>
          <w:szCs w:val="24"/>
        </w:rPr>
      </w:pPr>
      <w:r>
        <w:rPr>
          <w:szCs w:val="24"/>
        </w:rPr>
        <w:t xml:space="preserve">After a detailed evaluation, Alternative 2 was selected as the appropriate remedy for the Site.  </w:t>
      </w:r>
      <w:r w:rsidR="00D66414">
        <w:rPr>
          <w:szCs w:val="24"/>
        </w:rPr>
        <w:t>The Site remedy consisted of:</w:t>
      </w:r>
    </w:p>
    <w:p w:rsidR="00D66414" w:rsidRDefault="00D66414" w:rsidP="00455C83">
      <w:pPr>
        <w:autoSpaceDE w:val="0"/>
        <w:autoSpaceDN w:val="0"/>
        <w:adjustRightInd w:val="0"/>
        <w:rPr>
          <w:szCs w:val="24"/>
        </w:rPr>
      </w:pPr>
    </w:p>
    <w:p w:rsidR="00D66414" w:rsidRPr="00504EA0" w:rsidRDefault="00504EA0" w:rsidP="00504EA0">
      <w:pPr>
        <w:pStyle w:val="ListParagraph"/>
        <w:numPr>
          <w:ilvl w:val="0"/>
          <w:numId w:val="47"/>
        </w:numPr>
        <w:autoSpaceDE w:val="0"/>
        <w:autoSpaceDN w:val="0"/>
        <w:adjustRightInd w:val="0"/>
        <w:rPr>
          <w:szCs w:val="24"/>
        </w:rPr>
      </w:pPr>
      <w:r w:rsidRPr="00504EA0">
        <w:rPr>
          <w:szCs w:val="24"/>
        </w:rPr>
        <w:t>E</w:t>
      </w:r>
      <w:r w:rsidR="00A40CEA" w:rsidRPr="00504EA0">
        <w:rPr>
          <w:szCs w:val="24"/>
        </w:rPr>
        <w:t>xcavation of impacted fill materials, Sludges, baghouse dust/shot and drainage sediments from across the Site</w:t>
      </w:r>
      <w:r w:rsidR="00D66414" w:rsidRPr="00504EA0">
        <w:rPr>
          <w:szCs w:val="24"/>
        </w:rPr>
        <w:t>.</w:t>
      </w:r>
    </w:p>
    <w:p w:rsidR="00504EA0" w:rsidRDefault="00D66414" w:rsidP="00504EA0">
      <w:pPr>
        <w:pStyle w:val="ListParagraph"/>
        <w:numPr>
          <w:ilvl w:val="0"/>
          <w:numId w:val="47"/>
        </w:numPr>
        <w:autoSpaceDE w:val="0"/>
        <w:autoSpaceDN w:val="0"/>
        <w:adjustRightInd w:val="0"/>
        <w:rPr>
          <w:szCs w:val="24"/>
        </w:rPr>
      </w:pPr>
      <w:r w:rsidRPr="00504EA0">
        <w:rPr>
          <w:szCs w:val="24"/>
        </w:rPr>
        <w:t>Placement of the excavated materials</w:t>
      </w:r>
      <w:r w:rsidR="00A40CEA" w:rsidRPr="00504EA0">
        <w:rPr>
          <w:szCs w:val="24"/>
        </w:rPr>
        <w:t xml:space="preserve"> </w:t>
      </w:r>
      <w:r w:rsidRPr="00504EA0">
        <w:rPr>
          <w:szCs w:val="24"/>
        </w:rPr>
        <w:t>i</w:t>
      </w:r>
      <w:r w:rsidR="00A40CEA" w:rsidRPr="00504EA0">
        <w:rPr>
          <w:szCs w:val="24"/>
        </w:rPr>
        <w:t>n an on-Site engineered landfill</w:t>
      </w:r>
      <w:r w:rsidR="005D7F7E" w:rsidRPr="00504EA0">
        <w:rPr>
          <w:szCs w:val="24"/>
        </w:rPr>
        <w:t xml:space="preserve"> (containment facility).  </w:t>
      </w:r>
    </w:p>
    <w:p w:rsidR="00504EA0" w:rsidRPr="00504EA0" w:rsidRDefault="005D7F7E" w:rsidP="00504EA0">
      <w:pPr>
        <w:pStyle w:val="ListParagraph"/>
        <w:numPr>
          <w:ilvl w:val="0"/>
          <w:numId w:val="47"/>
        </w:numPr>
        <w:autoSpaceDE w:val="0"/>
        <w:autoSpaceDN w:val="0"/>
        <w:adjustRightInd w:val="0"/>
        <w:rPr>
          <w:szCs w:val="24"/>
        </w:rPr>
      </w:pPr>
      <w:r w:rsidRPr="00504EA0">
        <w:rPr>
          <w:szCs w:val="24"/>
        </w:rPr>
        <w:t>Regular</w:t>
      </w:r>
      <w:r w:rsidR="00D66414" w:rsidRPr="00504EA0">
        <w:rPr>
          <w:szCs w:val="24"/>
        </w:rPr>
        <w:t xml:space="preserve">ly scheduled inspection and maintenance of the </w:t>
      </w:r>
      <w:r w:rsidR="00504EA0" w:rsidRPr="00504EA0">
        <w:rPr>
          <w:szCs w:val="24"/>
        </w:rPr>
        <w:t>on-Site landfill and associated perimeter drainage swales</w:t>
      </w:r>
      <w:r w:rsidR="005B6436">
        <w:rPr>
          <w:szCs w:val="24"/>
        </w:rPr>
        <w:t>,</w:t>
      </w:r>
      <w:r w:rsidR="00504EA0" w:rsidRPr="00504EA0">
        <w:rPr>
          <w:szCs w:val="24"/>
        </w:rPr>
        <w:t xml:space="preserve"> Site security features and long-term groundwater monitoring. </w:t>
      </w:r>
    </w:p>
    <w:p w:rsidR="006B174B" w:rsidRDefault="00D66414" w:rsidP="00455C83">
      <w:pPr>
        <w:autoSpaceDE w:val="0"/>
        <w:autoSpaceDN w:val="0"/>
        <w:adjustRightInd w:val="0"/>
        <w:rPr>
          <w:szCs w:val="24"/>
        </w:rPr>
      </w:pPr>
      <w:r>
        <w:rPr>
          <w:szCs w:val="24"/>
        </w:rPr>
        <w:t xml:space="preserve"> </w:t>
      </w:r>
      <w:r w:rsidR="00A40CEA">
        <w:rPr>
          <w:szCs w:val="24"/>
        </w:rPr>
        <w:t xml:space="preserve"> </w:t>
      </w:r>
      <w:r w:rsidR="006B174B">
        <w:rPr>
          <w:szCs w:val="24"/>
        </w:rPr>
        <w:t xml:space="preserve">  </w:t>
      </w:r>
    </w:p>
    <w:p w:rsidR="004D573F" w:rsidRDefault="00ED63BB" w:rsidP="00455C83">
      <w:pPr>
        <w:autoSpaceDE w:val="0"/>
        <w:autoSpaceDN w:val="0"/>
        <w:adjustRightInd w:val="0"/>
        <w:rPr>
          <w:szCs w:val="24"/>
        </w:rPr>
      </w:pPr>
      <w:r>
        <w:rPr>
          <w:szCs w:val="24"/>
        </w:rPr>
        <w:t>In March 1997, OCC and BPA entered into a Consent Decree Number 97 2 06046 5 with the Washington State Department of Ecology (Ecology) to implement the selected remedy.  The remedy was implemented during April 1997 through July 1998 and the remedial action was considered complete on August 24, 1998.</w:t>
      </w:r>
      <w:r w:rsidR="00D81FC2">
        <w:rPr>
          <w:szCs w:val="24"/>
        </w:rPr>
        <w:t xml:space="preserve">  The location of on-Site engineered landfill and a cross-section of the cap are presented in </w:t>
      </w:r>
      <w:r w:rsidR="00D81FC2" w:rsidRPr="00E232AA">
        <w:rPr>
          <w:szCs w:val="24"/>
        </w:rPr>
        <w:t xml:space="preserve">Appendix </w:t>
      </w:r>
      <w:r w:rsidR="00E232AA" w:rsidRPr="00E232AA">
        <w:rPr>
          <w:szCs w:val="24"/>
        </w:rPr>
        <w:t>6.4</w:t>
      </w:r>
      <w:r w:rsidR="00D81FC2" w:rsidRPr="00E232AA">
        <w:rPr>
          <w:szCs w:val="24"/>
        </w:rPr>
        <w:t>.</w:t>
      </w:r>
      <w:r>
        <w:rPr>
          <w:szCs w:val="24"/>
        </w:rPr>
        <w:t xml:space="preserve"> </w:t>
      </w:r>
    </w:p>
    <w:p w:rsidR="00B73D72" w:rsidRDefault="00B73D72" w:rsidP="00455C83">
      <w:pPr>
        <w:autoSpaceDE w:val="0"/>
        <w:autoSpaceDN w:val="0"/>
        <w:adjustRightInd w:val="0"/>
        <w:rPr>
          <w:szCs w:val="24"/>
        </w:rPr>
      </w:pPr>
    </w:p>
    <w:p w:rsidR="00CA6865" w:rsidRDefault="00D12094" w:rsidP="005608F1">
      <w:pPr>
        <w:pStyle w:val="Heading3"/>
        <w:numPr>
          <w:ilvl w:val="2"/>
          <w:numId w:val="49"/>
        </w:numPr>
        <w:ind w:left="720"/>
      </w:pPr>
      <w:r>
        <w:t xml:space="preserve">Conformational </w:t>
      </w:r>
      <w:r w:rsidR="00E8523D">
        <w:t xml:space="preserve">Groundwater </w:t>
      </w:r>
      <w:r w:rsidR="008E2111">
        <w:t>Monitoring</w:t>
      </w:r>
    </w:p>
    <w:p w:rsidR="00CA6865" w:rsidRDefault="00CA6865" w:rsidP="00455C83">
      <w:pPr>
        <w:autoSpaceDE w:val="0"/>
        <w:autoSpaceDN w:val="0"/>
        <w:adjustRightInd w:val="0"/>
        <w:rPr>
          <w:szCs w:val="24"/>
        </w:rPr>
      </w:pPr>
    </w:p>
    <w:p w:rsidR="003F4051" w:rsidRDefault="00982280" w:rsidP="00455C83">
      <w:pPr>
        <w:autoSpaceDE w:val="0"/>
        <w:autoSpaceDN w:val="0"/>
        <w:adjustRightInd w:val="0"/>
        <w:rPr>
          <w:szCs w:val="24"/>
        </w:rPr>
      </w:pPr>
      <w:r>
        <w:rPr>
          <w:szCs w:val="24"/>
        </w:rPr>
        <w:t xml:space="preserve">The compliance groundwater monitoring </w:t>
      </w:r>
      <w:r w:rsidR="005009C5">
        <w:rPr>
          <w:szCs w:val="24"/>
        </w:rPr>
        <w:t xml:space="preserve">(CGWM) </w:t>
      </w:r>
      <w:r>
        <w:rPr>
          <w:szCs w:val="24"/>
        </w:rPr>
        <w:t>started in September 1998 at the completion of the remedial action (RA).  A total of twenty tw</w:t>
      </w:r>
      <w:r w:rsidR="00624FDB">
        <w:rPr>
          <w:szCs w:val="24"/>
        </w:rPr>
        <w:t>o</w:t>
      </w:r>
      <w:r>
        <w:rPr>
          <w:szCs w:val="24"/>
        </w:rPr>
        <w:t xml:space="preserve"> (22) groundwater monitoring events have been conducted between September 1998 and </w:t>
      </w:r>
      <w:r w:rsidR="005009C5">
        <w:rPr>
          <w:szCs w:val="24"/>
        </w:rPr>
        <w:t xml:space="preserve">January 2014.  The CGWM was </w:t>
      </w:r>
      <w:r w:rsidR="00513DDC">
        <w:rPr>
          <w:szCs w:val="24"/>
        </w:rPr>
        <w:t xml:space="preserve">conducted on a semiannual basis until </w:t>
      </w:r>
      <w:r w:rsidR="00624FDB">
        <w:rPr>
          <w:szCs w:val="24"/>
        </w:rPr>
        <w:t>September</w:t>
      </w:r>
      <w:r w:rsidR="00513DDC">
        <w:rPr>
          <w:szCs w:val="24"/>
        </w:rPr>
        <w:t xml:space="preserve"> 2003</w:t>
      </w:r>
      <w:r w:rsidR="00624FDB">
        <w:rPr>
          <w:szCs w:val="24"/>
        </w:rPr>
        <w:t>.  In November 2003</w:t>
      </w:r>
      <w:r w:rsidR="00513DDC">
        <w:rPr>
          <w:szCs w:val="24"/>
        </w:rPr>
        <w:t xml:space="preserve"> Ecology approved a reduction in monitoring points (from 7 to 2) and monitoring frequency from semiannual to annual.</w:t>
      </w:r>
      <w:r w:rsidR="00624FDB">
        <w:rPr>
          <w:szCs w:val="24"/>
        </w:rPr>
        <w:t xml:space="preserve">  Ecology also approved modifications to the analyte list for compliance monitoring in March 1999 and November 2003.  Currently the CGWM include the hydraulic </w:t>
      </w:r>
      <w:r w:rsidR="00424DA8">
        <w:rPr>
          <w:szCs w:val="24"/>
        </w:rPr>
        <w:t xml:space="preserve">(water level measurements) and water quality monitoring.  Site-wide hydraulic monitoring is performed in 7 wells and water quality monitoring in two down-gradient wells.  The water quality water samples are analyzed for </w:t>
      </w:r>
      <w:r w:rsidR="003F4051">
        <w:rPr>
          <w:szCs w:val="24"/>
        </w:rPr>
        <w:t>PCE, TCE, DCE, VC</w:t>
      </w:r>
      <w:r w:rsidR="00424DA8">
        <w:rPr>
          <w:szCs w:val="24"/>
        </w:rPr>
        <w:t xml:space="preserve"> and methylene chloride.</w:t>
      </w:r>
      <w:r w:rsidR="003F4051">
        <w:rPr>
          <w:szCs w:val="24"/>
        </w:rPr>
        <w:t xml:space="preserve">  </w:t>
      </w:r>
    </w:p>
    <w:p w:rsidR="003F4051" w:rsidRDefault="003F4051" w:rsidP="00455C83">
      <w:pPr>
        <w:autoSpaceDE w:val="0"/>
        <w:autoSpaceDN w:val="0"/>
        <w:adjustRightInd w:val="0"/>
        <w:rPr>
          <w:szCs w:val="24"/>
        </w:rPr>
      </w:pPr>
    </w:p>
    <w:p w:rsidR="00424DA8" w:rsidRDefault="003F4051" w:rsidP="00455C83">
      <w:pPr>
        <w:autoSpaceDE w:val="0"/>
        <w:autoSpaceDN w:val="0"/>
        <w:adjustRightInd w:val="0"/>
        <w:rPr>
          <w:szCs w:val="24"/>
        </w:rPr>
      </w:pPr>
      <w:r>
        <w:rPr>
          <w:szCs w:val="24"/>
        </w:rPr>
        <w:t xml:space="preserve">The results of the </w:t>
      </w:r>
      <w:r w:rsidR="00355746">
        <w:rPr>
          <w:szCs w:val="24"/>
        </w:rPr>
        <w:t xml:space="preserve">last five years of </w:t>
      </w:r>
      <w:r>
        <w:rPr>
          <w:szCs w:val="24"/>
        </w:rPr>
        <w:t xml:space="preserve">groundwater monitoring </w:t>
      </w:r>
      <w:r w:rsidR="00355746">
        <w:rPr>
          <w:szCs w:val="24"/>
        </w:rPr>
        <w:t xml:space="preserve">data </w:t>
      </w:r>
      <w:r>
        <w:rPr>
          <w:szCs w:val="24"/>
        </w:rPr>
        <w:t>show</w:t>
      </w:r>
      <w:r w:rsidR="00355746">
        <w:rPr>
          <w:szCs w:val="24"/>
        </w:rPr>
        <w:t>s</w:t>
      </w:r>
      <w:r>
        <w:rPr>
          <w:szCs w:val="24"/>
        </w:rPr>
        <w:t xml:space="preserve"> </w:t>
      </w:r>
      <w:r w:rsidR="00355746">
        <w:rPr>
          <w:szCs w:val="24"/>
        </w:rPr>
        <w:t xml:space="preserve">that </w:t>
      </w:r>
      <w:r w:rsidR="00E46F74">
        <w:rPr>
          <w:szCs w:val="24"/>
        </w:rPr>
        <w:t>cis 1,2-</w:t>
      </w:r>
      <w:r w:rsidR="00355746">
        <w:rPr>
          <w:szCs w:val="24"/>
        </w:rPr>
        <w:t>DCE and VC</w:t>
      </w:r>
      <w:r>
        <w:rPr>
          <w:szCs w:val="24"/>
        </w:rPr>
        <w:t xml:space="preserve"> concentrations exceed</w:t>
      </w:r>
      <w:r w:rsidR="00355746">
        <w:rPr>
          <w:szCs w:val="24"/>
        </w:rPr>
        <w:t>ed</w:t>
      </w:r>
      <w:r>
        <w:rPr>
          <w:szCs w:val="24"/>
        </w:rPr>
        <w:t xml:space="preserve"> </w:t>
      </w:r>
      <w:r w:rsidR="00355746">
        <w:rPr>
          <w:szCs w:val="24"/>
        </w:rPr>
        <w:t>the</w:t>
      </w:r>
      <w:r w:rsidR="00CA2DC4">
        <w:rPr>
          <w:szCs w:val="24"/>
        </w:rPr>
        <w:t>i</w:t>
      </w:r>
      <w:r w:rsidR="00355746">
        <w:rPr>
          <w:szCs w:val="24"/>
        </w:rPr>
        <w:t xml:space="preserve">r </w:t>
      </w:r>
      <w:r>
        <w:rPr>
          <w:szCs w:val="24"/>
        </w:rPr>
        <w:t>cleanup level</w:t>
      </w:r>
      <w:r w:rsidR="00355746">
        <w:rPr>
          <w:szCs w:val="24"/>
        </w:rPr>
        <w:t xml:space="preserve">s in monitoring well </w:t>
      </w:r>
      <w:r w:rsidR="00E46F74">
        <w:rPr>
          <w:szCs w:val="24"/>
        </w:rPr>
        <w:t>1</w:t>
      </w:r>
      <w:r w:rsidR="00355746">
        <w:rPr>
          <w:szCs w:val="24"/>
        </w:rPr>
        <w:t>-2</w:t>
      </w:r>
      <w:r w:rsidR="00E46F74">
        <w:rPr>
          <w:szCs w:val="24"/>
        </w:rPr>
        <w:t>0 and/or 7-26</w:t>
      </w:r>
      <w:r w:rsidR="00355746">
        <w:rPr>
          <w:szCs w:val="24"/>
        </w:rPr>
        <w:t xml:space="preserve">.  </w:t>
      </w:r>
      <w:r w:rsidR="00E46F74">
        <w:rPr>
          <w:szCs w:val="24"/>
        </w:rPr>
        <w:t>R</w:t>
      </w:r>
      <w:r w:rsidR="00CA2DC4">
        <w:rPr>
          <w:szCs w:val="24"/>
        </w:rPr>
        <w:t xml:space="preserve">esults of the latest monitoring conducted in November 2013 show the exceedence of </w:t>
      </w:r>
      <w:r w:rsidR="00E46F74">
        <w:rPr>
          <w:szCs w:val="24"/>
        </w:rPr>
        <w:t xml:space="preserve">cis 1,2-DCE and </w:t>
      </w:r>
      <w:r w:rsidR="00CA2DC4">
        <w:rPr>
          <w:szCs w:val="24"/>
        </w:rPr>
        <w:t>VC concentration</w:t>
      </w:r>
      <w:r w:rsidR="00E46F74">
        <w:rPr>
          <w:szCs w:val="24"/>
        </w:rPr>
        <w:t>s</w:t>
      </w:r>
      <w:r w:rsidR="00CA2DC4">
        <w:rPr>
          <w:szCs w:val="24"/>
        </w:rPr>
        <w:t xml:space="preserve"> in well</w:t>
      </w:r>
      <w:r w:rsidR="00E46F74">
        <w:rPr>
          <w:szCs w:val="24"/>
        </w:rPr>
        <w:t xml:space="preserve"> 7-26</w:t>
      </w:r>
      <w:r w:rsidR="00CA2DC4">
        <w:rPr>
          <w:szCs w:val="24"/>
        </w:rPr>
        <w:t xml:space="preserve">.  </w:t>
      </w:r>
      <w:r w:rsidR="00E46F74">
        <w:rPr>
          <w:szCs w:val="24"/>
        </w:rPr>
        <w:t xml:space="preserve">The fluctuations in concentrations of cis 1,2-DCE and </w:t>
      </w:r>
      <w:r w:rsidR="0041676C">
        <w:rPr>
          <w:szCs w:val="24"/>
        </w:rPr>
        <w:t xml:space="preserve">small increase of </w:t>
      </w:r>
      <w:r w:rsidR="00E46F74">
        <w:rPr>
          <w:szCs w:val="24"/>
        </w:rPr>
        <w:t xml:space="preserve">VC </w:t>
      </w:r>
      <w:r w:rsidR="0041676C">
        <w:rPr>
          <w:szCs w:val="24"/>
        </w:rPr>
        <w:t xml:space="preserve">at well 1-20 do not at time suggest a systematic increase in concentrations has been observed.  </w:t>
      </w:r>
      <w:r w:rsidR="00CA2DC4">
        <w:rPr>
          <w:szCs w:val="24"/>
        </w:rPr>
        <w:t xml:space="preserve">Nonetheless, the </w:t>
      </w:r>
      <w:r>
        <w:rPr>
          <w:szCs w:val="24"/>
        </w:rPr>
        <w:t xml:space="preserve">comparison of compliance monitoring analytical data to the cleanup standards shows </w:t>
      </w:r>
      <w:r w:rsidR="00BE6D97">
        <w:rPr>
          <w:szCs w:val="24"/>
        </w:rPr>
        <w:t>overall decreasing trends</w:t>
      </w:r>
      <w:r>
        <w:rPr>
          <w:szCs w:val="24"/>
        </w:rPr>
        <w:t xml:space="preserve"> over the entire monitoring period </w:t>
      </w:r>
      <w:r w:rsidR="00355746">
        <w:rPr>
          <w:szCs w:val="24"/>
        </w:rPr>
        <w:t>of 16 years.</w:t>
      </w:r>
      <w:r w:rsidR="00CA2DC4">
        <w:rPr>
          <w:szCs w:val="24"/>
        </w:rPr>
        <w:t xml:space="preserve">  The monitoring well locations, groundwater flow direction, concentration trends and the latest results are included in </w:t>
      </w:r>
      <w:r w:rsidR="00CA2DC4" w:rsidRPr="00E232AA">
        <w:rPr>
          <w:szCs w:val="24"/>
        </w:rPr>
        <w:t xml:space="preserve">Appendix </w:t>
      </w:r>
      <w:r w:rsidR="00E232AA" w:rsidRPr="00E232AA">
        <w:rPr>
          <w:szCs w:val="24"/>
        </w:rPr>
        <w:t>6.5</w:t>
      </w:r>
      <w:r w:rsidR="00CA2DC4" w:rsidRPr="00E232AA">
        <w:rPr>
          <w:szCs w:val="24"/>
        </w:rPr>
        <w:t>.</w:t>
      </w:r>
      <w:r w:rsidR="00CA2DC4">
        <w:rPr>
          <w:szCs w:val="24"/>
        </w:rPr>
        <w:t xml:space="preserve"> </w:t>
      </w:r>
      <w:r w:rsidR="00355746">
        <w:rPr>
          <w:szCs w:val="24"/>
        </w:rPr>
        <w:t xml:space="preserve">  </w:t>
      </w:r>
      <w:r w:rsidR="00424DA8">
        <w:rPr>
          <w:szCs w:val="24"/>
        </w:rPr>
        <w:t xml:space="preserve">  </w:t>
      </w:r>
    </w:p>
    <w:p w:rsidR="00DB2DE2" w:rsidRDefault="00624FDB" w:rsidP="00455C83">
      <w:pPr>
        <w:autoSpaceDE w:val="0"/>
        <w:autoSpaceDN w:val="0"/>
        <w:adjustRightInd w:val="0"/>
        <w:rPr>
          <w:szCs w:val="24"/>
        </w:rPr>
      </w:pPr>
      <w:r>
        <w:rPr>
          <w:szCs w:val="24"/>
        </w:rPr>
        <w:t xml:space="preserve">   </w:t>
      </w:r>
      <w:r w:rsidR="005009C5">
        <w:rPr>
          <w:szCs w:val="24"/>
        </w:rPr>
        <w:t xml:space="preserve"> </w:t>
      </w:r>
    </w:p>
    <w:p w:rsidR="00C02BB0" w:rsidRDefault="00C02BB0" w:rsidP="00455C83">
      <w:pPr>
        <w:autoSpaceDE w:val="0"/>
        <w:autoSpaceDN w:val="0"/>
        <w:adjustRightInd w:val="0"/>
        <w:rPr>
          <w:szCs w:val="24"/>
        </w:rPr>
      </w:pPr>
    </w:p>
    <w:p w:rsidR="00C02BB0" w:rsidRDefault="00C02BB0" w:rsidP="00455C83">
      <w:pPr>
        <w:autoSpaceDE w:val="0"/>
        <w:autoSpaceDN w:val="0"/>
        <w:adjustRightInd w:val="0"/>
        <w:rPr>
          <w:szCs w:val="24"/>
        </w:rPr>
      </w:pPr>
    </w:p>
    <w:p w:rsidR="00C02BB0" w:rsidRDefault="00C02BB0" w:rsidP="00455C83">
      <w:pPr>
        <w:autoSpaceDE w:val="0"/>
        <w:autoSpaceDN w:val="0"/>
        <w:adjustRightInd w:val="0"/>
        <w:rPr>
          <w:szCs w:val="24"/>
        </w:rPr>
      </w:pPr>
    </w:p>
    <w:p w:rsidR="00C02BB0" w:rsidRDefault="00C02BB0" w:rsidP="00455C83">
      <w:pPr>
        <w:autoSpaceDE w:val="0"/>
        <w:autoSpaceDN w:val="0"/>
        <w:adjustRightInd w:val="0"/>
        <w:rPr>
          <w:szCs w:val="24"/>
        </w:rPr>
      </w:pPr>
    </w:p>
    <w:p w:rsidR="00C02BB0" w:rsidRDefault="00C02BB0" w:rsidP="00455C83">
      <w:pPr>
        <w:autoSpaceDE w:val="0"/>
        <w:autoSpaceDN w:val="0"/>
        <w:adjustRightInd w:val="0"/>
        <w:rPr>
          <w:szCs w:val="24"/>
        </w:rPr>
      </w:pPr>
    </w:p>
    <w:p w:rsidR="00C02BB0" w:rsidRDefault="00C02BB0" w:rsidP="00455C83">
      <w:pPr>
        <w:autoSpaceDE w:val="0"/>
        <w:autoSpaceDN w:val="0"/>
        <w:adjustRightInd w:val="0"/>
        <w:rPr>
          <w:szCs w:val="24"/>
        </w:rPr>
      </w:pPr>
    </w:p>
    <w:p w:rsidR="00C02BB0" w:rsidRDefault="00C02BB0" w:rsidP="00455C83">
      <w:pPr>
        <w:autoSpaceDE w:val="0"/>
        <w:autoSpaceDN w:val="0"/>
        <w:adjustRightInd w:val="0"/>
        <w:rPr>
          <w:szCs w:val="24"/>
        </w:rPr>
      </w:pPr>
    </w:p>
    <w:p w:rsidR="00C02BB0" w:rsidRDefault="00C02BB0" w:rsidP="00455C83">
      <w:pPr>
        <w:autoSpaceDE w:val="0"/>
        <w:autoSpaceDN w:val="0"/>
        <w:adjustRightInd w:val="0"/>
        <w:rPr>
          <w:szCs w:val="24"/>
        </w:rPr>
      </w:pPr>
    </w:p>
    <w:p w:rsidR="00C02BB0" w:rsidRDefault="00C02BB0" w:rsidP="00455C83">
      <w:pPr>
        <w:autoSpaceDE w:val="0"/>
        <w:autoSpaceDN w:val="0"/>
        <w:adjustRightInd w:val="0"/>
        <w:rPr>
          <w:szCs w:val="24"/>
        </w:rPr>
      </w:pPr>
    </w:p>
    <w:p w:rsidR="00C02BB0" w:rsidRDefault="00C02BB0" w:rsidP="00455C83">
      <w:pPr>
        <w:autoSpaceDE w:val="0"/>
        <w:autoSpaceDN w:val="0"/>
        <w:adjustRightInd w:val="0"/>
        <w:rPr>
          <w:szCs w:val="24"/>
        </w:rPr>
      </w:pPr>
    </w:p>
    <w:p w:rsidR="00C02BB0" w:rsidRDefault="00C02BB0" w:rsidP="00455C83">
      <w:pPr>
        <w:autoSpaceDE w:val="0"/>
        <w:autoSpaceDN w:val="0"/>
        <w:adjustRightInd w:val="0"/>
        <w:rPr>
          <w:szCs w:val="24"/>
        </w:rPr>
      </w:pPr>
    </w:p>
    <w:p w:rsidR="00C02BB0" w:rsidRDefault="00C02BB0" w:rsidP="00455C83">
      <w:pPr>
        <w:autoSpaceDE w:val="0"/>
        <w:autoSpaceDN w:val="0"/>
        <w:adjustRightInd w:val="0"/>
        <w:rPr>
          <w:szCs w:val="24"/>
        </w:rPr>
      </w:pPr>
    </w:p>
    <w:p w:rsidR="00C02BB0" w:rsidRDefault="00C02BB0" w:rsidP="00455C83">
      <w:pPr>
        <w:autoSpaceDE w:val="0"/>
        <w:autoSpaceDN w:val="0"/>
        <w:adjustRightInd w:val="0"/>
        <w:rPr>
          <w:szCs w:val="24"/>
        </w:rPr>
      </w:pPr>
    </w:p>
    <w:p w:rsidR="00C02BB0" w:rsidRDefault="00C02BB0" w:rsidP="00455C83">
      <w:pPr>
        <w:autoSpaceDE w:val="0"/>
        <w:autoSpaceDN w:val="0"/>
        <w:adjustRightInd w:val="0"/>
        <w:rPr>
          <w:szCs w:val="24"/>
        </w:rPr>
      </w:pPr>
    </w:p>
    <w:p w:rsidR="00C02BB0" w:rsidRDefault="00C02BB0" w:rsidP="00455C83">
      <w:pPr>
        <w:autoSpaceDE w:val="0"/>
        <w:autoSpaceDN w:val="0"/>
        <w:adjustRightInd w:val="0"/>
        <w:rPr>
          <w:szCs w:val="24"/>
        </w:rPr>
      </w:pPr>
    </w:p>
    <w:p w:rsidR="00C02BB0" w:rsidRDefault="00C02BB0" w:rsidP="00455C83">
      <w:pPr>
        <w:autoSpaceDE w:val="0"/>
        <w:autoSpaceDN w:val="0"/>
        <w:adjustRightInd w:val="0"/>
        <w:rPr>
          <w:szCs w:val="24"/>
        </w:rPr>
      </w:pPr>
    </w:p>
    <w:p w:rsidR="00C02BB0" w:rsidRDefault="00C02BB0" w:rsidP="00455C83">
      <w:pPr>
        <w:autoSpaceDE w:val="0"/>
        <w:autoSpaceDN w:val="0"/>
        <w:adjustRightInd w:val="0"/>
        <w:rPr>
          <w:szCs w:val="24"/>
        </w:rPr>
      </w:pPr>
    </w:p>
    <w:p w:rsidR="00D4674A" w:rsidRDefault="00D4674A" w:rsidP="00455C83">
      <w:pPr>
        <w:autoSpaceDE w:val="0"/>
        <w:autoSpaceDN w:val="0"/>
        <w:adjustRightInd w:val="0"/>
        <w:rPr>
          <w:szCs w:val="24"/>
        </w:rPr>
      </w:pPr>
    </w:p>
    <w:p w:rsidR="00D4674A" w:rsidRDefault="00D4674A" w:rsidP="00455C83">
      <w:pPr>
        <w:autoSpaceDE w:val="0"/>
        <w:autoSpaceDN w:val="0"/>
        <w:adjustRightInd w:val="0"/>
        <w:rPr>
          <w:szCs w:val="24"/>
        </w:rPr>
      </w:pPr>
    </w:p>
    <w:p w:rsidR="00D4674A" w:rsidRDefault="00D4674A" w:rsidP="00455C83">
      <w:pPr>
        <w:autoSpaceDE w:val="0"/>
        <w:autoSpaceDN w:val="0"/>
        <w:adjustRightInd w:val="0"/>
        <w:rPr>
          <w:szCs w:val="24"/>
        </w:rPr>
      </w:pPr>
    </w:p>
    <w:p w:rsidR="00D4674A" w:rsidRDefault="00D4674A" w:rsidP="00455C83">
      <w:pPr>
        <w:autoSpaceDE w:val="0"/>
        <w:autoSpaceDN w:val="0"/>
        <w:adjustRightInd w:val="0"/>
        <w:rPr>
          <w:szCs w:val="24"/>
        </w:rPr>
      </w:pPr>
    </w:p>
    <w:p w:rsidR="00D4674A" w:rsidRDefault="00D4674A" w:rsidP="00455C83">
      <w:pPr>
        <w:autoSpaceDE w:val="0"/>
        <w:autoSpaceDN w:val="0"/>
        <w:adjustRightInd w:val="0"/>
        <w:rPr>
          <w:szCs w:val="24"/>
        </w:rPr>
      </w:pPr>
    </w:p>
    <w:p w:rsidR="00D4674A" w:rsidRDefault="00D4674A" w:rsidP="00455C83">
      <w:pPr>
        <w:autoSpaceDE w:val="0"/>
        <w:autoSpaceDN w:val="0"/>
        <w:adjustRightInd w:val="0"/>
        <w:rPr>
          <w:szCs w:val="24"/>
        </w:rPr>
      </w:pPr>
    </w:p>
    <w:p w:rsidR="00602D8E" w:rsidRDefault="00851E15" w:rsidP="005608F1">
      <w:pPr>
        <w:pStyle w:val="Heading2"/>
        <w:numPr>
          <w:ilvl w:val="1"/>
          <w:numId w:val="49"/>
        </w:numPr>
      </w:pPr>
      <w:bookmarkStart w:id="6" w:name="_Toc313360087"/>
      <w:r>
        <w:t>Restrictive</w:t>
      </w:r>
      <w:r w:rsidR="00602D8E">
        <w:t xml:space="preserve"> Covenant</w:t>
      </w:r>
      <w:bookmarkEnd w:id="6"/>
    </w:p>
    <w:p w:rsidR="00602D8E" w:rsidRDefault="00602D8E" w:rsidP="00602D8E"/>
    <w:p w:rsidR="00602D8E" w:rsidRPr="00B27C5B" w:rsidRDefault="00ED0E77" w:rsidP="00602D8E">
      <w:pPr>
        <w:rPr>
          <w:szCs w:val="24"/>
        </w:rPr>
      </w:pPr>
      <w:r w:rsidRPr="00B27C5B">
        <w:rPr>
          <w:szCs w:val="24"/>
        </w:rPr>
        <w:t>The required</w:t>
      </w:r>
      <w:r w:rsidR="00851E15" w:rsidRPr="00B27C5B">
        <w:rPr>
          <w:szCs w:val="24"/>
        </w:rPr>
        <w:t xml:space="preserve"> </w:t>
      </w:r>
      <w:r w:rsidR="00E110FC">
        <w:rPr>
          <w:szCs w:val="24"/>
        </w:rPr>
        <w:t>RC</w:t>
      </w:r>
      <w:r w:rsidR="00602D8E" w:rsidRPr="00B27C5B">
        <w:rPr>
          <w:szCs w:val="24"/>
        </w:rPr>
        <w:t xml:space="preserve"> </w:t>
      </w:r>
      <w:r w:rsidR="00851E15" w:rsidRPr="00B27C5B">
        <w:rPr>
          <w:szCs w:val="24"/>
        </w:rPr>
        <w:t xml:space="preserve">(now referred to as an environmental covenant) </w:t>
      </w:r>
      <w:r w:rsidR="00602D8E" w:rsidRPr="00B27C5B">
        <w:rPr>
          <w:szCs w:val="24"/>
        </w:rPr>
        <w:t xml:space="preserve">was recorded </w:t>
      </w:r>
      <w:r w:rsidR="00E232AA">
        <w:rPr>
          <w:szCs w:val="24"/>
        </w:rPr>
        <w:t xml:space="preserve">as a part of the Quit Claim Deed </w:t>
      </w:r>
      <w:r w:rsidR="00602D8E" w:rsidRPr="00B27C5B">
        <w:rPr>
          <w:szCs w:val="24"/>
        </w:rPr>
        <w:t xml:space="preserve">for the </w:t>
      </w:r>
      <w:r w:rsidR="00D80B98" w:rsidRPr="00B27C5B">
        <w:rPr>
          <w:szCs w:val="24"/>
        </w:rPr>
        <w:t>Site</w:t>
      </w:r>
      <w:r w:rsidR="004E6205">
        <w:rPr>
          <w:szCs w:val="24"/>
        </w:rPr>
        <w:t xml:space="preserve"> on </w:t>
      </w:r>
      <w:r w:rsidR="00E232AA">
        <w:rPr>
          <w:szCs w:val="24"/>
        </w:rPr>
        <w:t>1-19-2001</w:t>
      </w:r>
      <w:r w:rsidR="00781E5C">
        <w:rPr>
          <w:color w:val="FF0000"/>
          <w:szCs w:val="24"/>
        </w:rPr>
        <w:t xml:space="preserve"> </w:t>
      </w:r>
      <w:r w:rsidR="004E6205">
        <w:rPr>
          <w:szCs w:val="24"/>
        </w:rPr>
        <w:t xml:space="preserve">and </w:t>
      </w:r>
      <w:r w:rsidR="00781E5C">
        <w:rPr>
          <w:szCs w:val="24"/>
        </w:rPr>
        <w:t>the implementation of the Remedial Action (RA) was considered completed on August 24, 1998</w:t>
      </w:r>
      <w:r w:rsidR="00602D8E" w:rsidRPr="00B27C5B">
        <w:rPr>
          <w:szCs w:val="24"/>
        </w:rPr>
        <w:t>.</w:t>
      </w:r>
      <w:r w:rsidR="004E6205">
        <w:rPr>
          <w:szCs w:val="24"/>
        </w:rPr>
        <w:t xml:space="preserve">  The Covenant was required because the RA resulted in residual concentrations of </w:t>
      </w:r>
      <w:r w:rsidR="00781E5C">
        <w:rPr>
          <w:szCs w:val="24"/>
        </w:rPr>
        <w:t xml:space="preserve">arsenic and lead </w:t>
      </w:r>
      <w:r w:rsidR="001072EA">
        <w:rPr>
          <w:szCs w:val="24"/>
        </w:rPr>
        <w:t>concentrations</w:t>
      </w:r>
      <w:r w:rsidR="004E6205">
        <w:rPr>
          <w:szCs w:val="24"/>
        </w:rPr>
        <w:t xml:space="preserve"> exceed</w:t>
      </w:r>
      <w:r w:rsidR="00616210">
        <w:rPr>
          <w:szCs w:val="24"/>
        </w:rPr>
        <w:t>ing</w:t>
      </w:r>
      <w:r w:rsidR="004E6205">
        <w:rPr>
          <w:szCs w:val="24"/>
        </w:rPr>
        <w:t xml:space="preserve"> MTCA Method A </w:t>
      </w:r>
      <w:r w:rsidR="00DD41F0">
        <w:rPr>
          <w:szCs w:val="24"/>
        </w:rPr>
        <w:t xml:space="preserve">and C </w:t>
      </w:r>
      <w:r w:rsidR="004E6205">
        <w:rPr>
          <w:szCs w:val="24"/>
        </w:rPr>
        <w:t xml:space="preserve">cleanup levels </w:t>
      </w:r>
      <w:r w:rsidR="00E71AEE">
        <w:rPr>
          <w:szCs w:val="24"/>
        </w:rPr>
        <w:t xml:space="preserve">in soils </w:t>
      </w:r>
      <w:r w:rsidR="004E6205">
        <w:rPr>
          <w:szCs w:val="24"/>
        </w:rPr>
        <w:t>at the Site.</w:t>
      </w:r>
      <w:r w:rsidR="00602D8E" w:rsidRPr="00B27C5B">
        <w:rPr>
          <w:szCs w:val="24"/>
        </w:rPr>
        <w:t xml:space="preserve">  The </w:t>
      </w:r>
      <w:r w:rsidR="00920B13" w:rsidRPr="00B27C5B">
        <w:rPr>
          <w:szCs w:val="24"/>
        </w:rPr>
        <w:t>Environmental C</w:t>
      </w:r>
      <w:r w:rsidR="00602D8E" w:rsidRPr="00B27C5B">
        <w:rPr>
          <w:szCs w:val="24"/>
        </w:rPr>
        <w:t xml:space="preserve">ovenant </w:t>
      </w:r>
      <w:r w:rsidR="00E110FC">
        <w:rPr>
          <w:szCs w:val="24"/>
        </w:rPr>
        <w:t xml:space="preserve">(EC) </w:t>
      </w:r>
      <w:r w:rsidR="00602D8E" w:rsidRPr="00B27C5B">
        <w:rPr>
          <w:szCs w:val="24"/>
        </w:rPr>
        <w:t>imposes the following limitations:</w:t>
      </w:r>
    </w:p>
    <w:p w:rsidR="009D5488" w:rsidRPr="00B27C5B" w:rsidRDefault="009D5488" w:rsidP="009D5488">
      <w:pPr>
        <w:autoSpaceDE w:val="0"/>
        <w:autoSpaceDN w:val="0"/>
        <w:adjustRightInd w:val="0"/>
        <w:ind w:left="720"/>
        <w:rPr>
          <w:szCs w:val="24"/>
        </w:rPr>
      </w:pPr>
    </w:p>
    <w:p w:rsidR="00E6026E" w:rsidRDefault="00DD41F0" w:rsidP="00DD41F0">
      <w:pPr>
        <w:autoSpaceDE w:val="0"/>
        <w:autoSpaceDN w:val="0"/>
        <w:adjustRightInd w:val="0"/>
        <w:rPr>
          <w:szCs w:val="24"/>
        </w:rPr>
      </w:pPr>
      <w:r w:rsidRPr="00913EC4">
        <w:rPr>
          <w:b/>
          <w:szCs w:val="24"/>
          <w:u w:val="single"/>
        </w:rPr>
        <w:t>Section 1:</w:t>
      </w:r>
      <w:r>
        <w:rPr>
          <w:szCs w:val="24"/>
        </w:rPr>
        <w:t xml:space="preserve">   The Site may be used only for Industrial uses as defined in and allowed under the City of Tacoma’s Zoning Regulations codified in the Tacoma City Codes as of the date of this EC.  </w:t>
      </w:r>
      <w:r w:rsidR="00E71AEE" w:rsidRPr="00E71AEE">
        <w:rPr>
          <w:szCs w:val="24"/>
        </w:rPr>
        <w:t xml:space="preserve">   </w:t>
      </w:r>
    </w:p>
    <w:p w:rsidR="00E71AEE" w:rsidRDefault="00E71AEE" w:rsidP="00E71AEE">
      <w:pPr>
        <w:pStyle w:val="ListParagraph"/>
        <w:rPr>
          <w:szCs w:val="24"/>
        </w:rPr>
      </w:pPr>
    </w:p>
    <w:p w:rsidR="00257E05" w:rsidRDefault="00DD41F0" w:rsidP="00DD41F0">
      <w:pPr>
        <w:autoSpaceDE w:val="0"/>
        <w:autoSpaceDN w:val="0"/>
        <w:adjustRightInd w:val="0"/>
        <w:rPr>
          <w:szCs w:val="24"/>
        </w:rPr>
      </w:pPr>
      <w:r w:rsidRPr="00913EC4">
        <w:rPr>
          <w:b/>
          <w:szCs w:val="24"/>
          <w:u w:val="single"/>
        </w:rPr>
        <w:t>Section 2:</w:t>
      </w:r>
      <w:r>
        <w:rPr>
          <w:szCs w:val="24"/>
        </w:rPr>
        <w:t xml:space="preserve">   Any activity on the Site is prohibited that may interfere with or reduce the effectiveness of the Cleanup Action, operation and maintenance, monitoring, or other activity required by the Decree.  Any activity on the Site that may result in the release of hazardous substance that was contained as a part of the Cleanup Action is prohibited.  </w:t>
      </w:r>
    </w:p>
    <w:p w:rsidR="007242A1" w:rsidRDefault="007242A1" w:rsidP="007242A1">
      <w:pPr>
        <w:pStyle w:val="ListParagraph"/>
        <w:rPr>
          <w:szCs w:val="24"/>
        </w:rPr>
      </w:pPr>
    </w:p>
    <w:p w:rsidR="00DD41F0" w:rsidRDefault="00DD41F0" w:rsidP="00DD41F0">
      <w:pPr>
        <w:autoSpaceDE w:val="0"/>
        <w:autoSpaceDN w:val="0"/>
        <w:adjustRightInd w:val="0"/>
        <w:rPr>
          <w:szCs w:val="24"/>
        </w:rPr>
      </w:pPr>
      <w:r w:rsidRPr="00913EC4">
        <w:rPr>
          <w:b/>
          <w:szCs w:val="24"/>
          <w:u w:val="single"/>
        </w:rPr>
        <w:t>Section 3:</w:t>
      </w:r>
      <w:r>
        <w:rPr>
          <w:szCs w:val="24"/>
        </w:rPr>
        <w:t xml:space="preserve">   The owner of the Site must give written notice to the Department of Ecology</w:t>
      </w:r>
      <w:r w:rsidR="00E06BD2">
        <w:rPr>
          <w:szCs w:val="24"/>
        </w:rPr>
        <w:t xml:space="preserve"> (Ecology)</w:t>
      </w:r>
      <w:r>
        <w:rPr>
          <w:szCs w:val="24"/>
        </w:rPr>
        <w:t>,</w:t>
      </w:r>
      <w:r w:rsidR="00E06BD2">
        <w:rPr>
          <w:szCs w:val="24"/>
        </w:rPr>
        <w:t xml:space="preserve"> or to a successor agency,</w:t>
      </w:r>
      <w:r>
        <w:rPr>
          <w:szCs w:val="24"/>
        </w:rPr>
        <w:t xml:space="preserve"> of the Owner’s intent to convey any interest in the </w:t>
      </w:r>
      <w:r w:rsidR="00E06BD2">
        <w:rPr>
          <w:szCs w:val="24"/>
        </w:rPr>
        <w:t>Site</w:t>
      </w:r>
      <w:r>
        <w:rPr>
          <w:szCs w:val="24"/>
        </w:rPr>
        <w:t xml:space="preserve">.  No conveyance of title, easement, lease, or other interest in the </w:t>
      </w:r>
      <w:r w:rsidR="00E06BD2">
        <w:rPr>
          <w:szCs w:val="24"/>
        </w:rPr>
        <w:t>Site</w:t>
      </w:r>
      <w:r>
        <w:rPr>
          <w:szCs w:val="24"/>
        </w:rPr>
        <w:t xml:space="preserve"> shall be consummated by the Owner without adequate and complete provision for </w:t>
      </w:r>
      <w:r w:rsidR="00E06BD2">
        <w:rPr>
          <w:szCs w:val="24"/>
        </w:rPr>
        <w:t xml:space="preserve">the </w:t>
      </w:r>
      <w:r>
        <w:rPr>
          <w:szCs w:val="24"/>
        </w:rPr>
        <w:t xml:space="preserve">continued operation, maintenance </w:t>
      </w:r>
      <w:r w:rsidR="00E06BD2">
        <w:rPr>
          <w:szCs w:val="24"/>
        </w:rPr>
        <w:t xml:space="preserve">and monitoring </w:t>
      </w:r>
      <w:r>
        <w:rPr>
          <w:szCs w:val="24"/>
        </w:rPr>
        <w:t xml:space="preserve">of the </w:t>
      </w:r>
      <w:r w:rsidR="00E06BD2">
        <w:rPr>
          <w:szCs w:val="24"/>
        </w:rPr>
        <w:t>Cleanup Action</w:t>
      </w:r>
      <w:r>
        <w:rPr>
          <w:szCs w:val="24"/>
        </w:rPr>
        <w:t>.</w:t>
      </w:r>
    </w:p>
    <w:p w:rsidR="00DB6252" w:rsidRDefault="00DB6252" w:rsidP="00913EC4">
      <w:pPr>
        <w:autoSpaceDE w:val="0"/>
        <w:autoSpaceDN w:val="0"/>
        <w:adjustRightInd w:val="0"/>
        <w:rPr>
          <w:szCs w:val="24"/>
        </w:rPr>
      </w:pPr>
      <w:r w:rsidRPr="00DB6252">
        <w:rPr>
          <w:szCs w:val="24"/>
        </w:rPr>
        <w:t xml:space="preserve"> </w:t>
      </w:r>
    </w:p>
    <w:p w:rsidR="00E06BD2" w:rsidRDefault="00E06BD2" w:rsidP="00E06BD2">
      <w:pPr>
        <w:autoSpaceDE w:val="0"/>
        <w:autoSpaceDN w:val="0"/>
        <w:adjustRightInd w:val="0"/>
        <w:rPr>
          <w:szCs w:val="24"/>
        </w:rPr>
      </w:pPr>
      <w:r w:rsidRPr="00913EC4">
        <w:rPr>
          <w:b/>
          <w:szCs w:val="24"/>
          <w:u w:val="single"/>
        </w:rPr>
        <w:t>Section 4:</w:t>
      </w:r>
      <w:r>
        <w:rPr>
          <w:szCs w:val="24"/>
        </w:rPr>
        <w:t xml:space="preserve">   T</w:t>
      </w:r>
      <w:r w:rsidRPr="00B27C5B">
        <w:rPr>
          <w:szCs w:val="24"/>
        </w:rPr>
        <w:t xml:space="preserve">he Owner must notify and obtain </w:t>
      </w:r>
      <w:r>
        <w:rPr>
          <w:szCs w:val="24"/>
        </w:rPr>
        <w:t xml:space="preserve">approval </w:t>
      </w:r>
      <w:r w:rsidRPr="00B27C5B">
        <w:rPr>
          <w:szCs w:val="24"/>
        </w:rPr>
        <w:t>from Ecology</w:t>
      </w:r>
      <w:r>
        <w:rPr>
          <w:szCs w:val="24"/>
        </w:rPr>
        <w:t>, or to a successor agency,</w:t>
      </w:r>
      <w:r w:rsidRPr="00B27C5B">
        <w:rPr>
          <w:szCs w:val="24"/>
        </w:rPr>
        <w:t xml:space="preserve"> prior to any use of the </w:t>
      </w:r>
      <w:r>
        <w:rPr>
          <w:szCs w:val="24"/>
        </w:rPr>
        <w:t>Site</w:t>
      </w:r>
      <w:r w:rsidRPr="00B27C5B">
        <w:rPr>
          <w:szCs w:val="24"/>
        </w:rPr>
        <w:t xml:space="preserve"> that </w:t>
      </w:r>
      <w:r>
        <w:rPr>
          <w:szCs w:val="24"/>
        </w:rPr>
        <w:t>may be</w:t>
      </w:r>
      <w:r w:rsidRPr="00B27C5B">
        <w:rPr>
          <w:szCs w:val="24"/>
        </w:rPr>
        <w:t xml:space="preserve"> inconsistent with the terms of this </w:t>
      </w:r>
      <w:r>
        <w:rPr>
          <w:szCs w:val="24"/>
        </w:rPr>
        <w:t>EC</w:t>
      </w:r>
      <w:r w:rsidRPr="00B27C5B">
        <w:rPr>
          <w:szCs w:val="24"/>
        </w:rPr>
        <w:t>. Ecology</w:t>
      </w:r>
      <w:r>
        <w:rPr>
          <w:szCs w:val="24"/>
        </w:rPr>
        <w:t>, or its successor agency,</w:t>
      </w:r>
      <w:r w:rsidRPr="00B27C5B">
        <w:rPr>
          <w:szCs w:val="24"/>
        </w:rPr>
        <w:t xml:space="preserve"> may approve </w:t>
      </w:r>
      <w:r>
        <w:rPr>
          <w:szCs w:val="24"/>
        </w:rPr>
        <w:t>such a</w:t>
      </w:r>
      <w:r w:rsidRPr="00B27C5B">
        <w:rPr>
          <w:szCs w:val="24"/>
        </w:rPr>
        <w:t xml:space="preserve"> use only after public notice and comment</w:t>
      </w:r>
      <w:r>
        <w:rPr>
          <w:szCs w:val="24"/>
        </w:rPr>
        <w:t>s</w:t>
      </w:r>
      <w:r w:rsidRPr="00B27C5B">
        <w:rPr>
          <w:szCs w:val="24"/>
        </w:rPr>
        <w:t>.</w:t>
      </w:r>
    </w:p>
    <w:p w:rsidR="0032579E" w:rsidRDefault="0032579E" w:rsidP="00E06BD2">
      <w:pPr>
        <w:autoSpaceDE w:val="0"/>
        <w:autoSpaceDN w:val="0"/>
        <w:adjustRightInd w:val="0"/>
        <w:rPr>
          <w:szCs w:val="24"/>
        </w:rPr>
      </w:pPr>
    </w:p>
    <w:p w:rsidR="00EC697B" w:rsidRDefault="00E06BD2" w:rsidP="00913EC4">
      <w:pPr>
        <w:autoSpaceDE w:val="0"/>
        <w:autoSpaceDN w:val="0"/>
        <w:adjustRightInd w:val="0"/>
        <w:rPr>
          <w:szCs w:val="24"/>
        </w:rPr>
      </w:pPr>
      <w:r w:rsidRPr="00913EC4">
        <w:rPr>
          <w:b/>
          <w:szCs w:val="24"/>
          <w:u w:val="single"/>
        </w:rPr>
        <w:t>Section 5:</w:t>
      </w:r>
      <w:r>
        <w:rPr>
          <w:szCs w:val="24"/>
        </w:rPr>
        <w:t xml:space="preserve">  </w:t>
      </w:r>
      <w:r w:rsidRPr="00B27C5B">
        <w:rPr>
          <w:szCs w:val="24"/>
        </w:rPr>
        <w:t>The Owner shall allow authorized representatives of Ecology</w:t>
      </w:r>
      <w:r>
        <w:rPr>
          <w:szCs w:val="24"/>
        </w:rPr>
        <w:t>, or of a successor agency,</w:t>
      </w:r>
      <w:r w:rsidRPr="00B27C5B">
        <w:rPr>
          <w:szCs w:val="24"/>
        </w:rPr>
        <w:t xml:space="preserve"> the right to enter the </w:t>
      </w:r>
      <w:r>
        <w:rPr>
          <w:szCs w:val="24"/>
        </w:rPr>
        <w:t>Site</w:t>
      </w:r>
      <w:r w:rsidRPr="00B27C5B">
        <w:rPr>
          <w:szCs w:val="24"/>
        </w:rPr>
        <w:t xml:space="preserve"> at reasonable times for the purpose of evaluating </w:t>
      </w:r>
      <w:r w:rsidR="00913EC4">
        <w:rPr>
          <w:szCs w:val="24"/>
        </w:rPr>
        <w:t xml:space="preserve">compliance with the Cleanup Action Plan and the Order, </w:t>
      </w:r>
      <w:r w:rsidRPr="00B27C5B">
        <w:rPr>
          <w:szCs w:val="24"/>
        </w:rPr>
        <w:t xml:space="preserve">to take samples, to inspect </w:t>
      </w:r>
      <w:r w:rsidR="00913EC4">
        <w:rPr>
          <w:szCs w:val="24"/>
        </w:rPr>
        <w:t>Cleanup</w:t>
      </w:r>
      <w:r>
        <w:rPr>
          <w:szCs w:val="24"/>
        </w:rPr>
        <w:t xml:space="preserve"> </w:t>
      </w:r>
      <w:r w:rsidR="00913EC4">
        <w:rPr>
          <w:szCs w:val="24"/>
        </w:rPr>
        <w:t>A</w:t>
      </w:r>
      <w:r>
        <w:rPr>
          <w:szCs w:val="24"/>
        </w:rPr>
        <w:t xml:space="preserve">ctions conducted at the </w:t>
      </w:r>
      <w:r w:rsidR="00913EC4">
        <w:rPr>
          <w:szCs w:val="24"/>
        </w:rPr>
        <w:t>Site</w:t>
      </w:r>
      <w:r>
        <w:rPr>
          <w:szCs w:val="24"/>
        </w:rPr>
        <w:t xml:space="preserve">, </w:t>
      </w:r>
      <w:r w:rsidR="00913EC4">
        <w:rPr>
          <w:szCs w:val="24"/>
        </w:rPr>
        <w:t xml:space="preserve">and inspect records that are related to the Cleanup Action.  </w:t>
      </w:r>
    </w:p>
    <w:p w:rsidR="009D5488" w:rsidRDefault="009D5488" w:rsidP="009D5488">
      <w:pPr>
        <w:pStyle w:val="ListParagraph"/>
        <w:rPr>
          <w:szCs w:val="24"/>
        </w:rPr>
      </w:pPr>
    </w:p>
    <w:p w:rsidR="0032579E" w:rsidRPr="00B27C5B" w:rsidRDefault="00913EC4" w:rsidP="00913EC4">
      <w:pPr>
        <w:autoSpaceDE w:val="0"/>
        <w:autoSpaceDN w:val="0"/>
        <w:adjustRightInd w:val="0"/>
        <w:rPr>
          <w:szCs w:val="24"/>
        </w:rPr>
      </w:pPr>
      <w:r w:rsidRPr="00913EC4">
        <w:rPr>
          <w:b/>
          <w:szCs w:val="24"/>
          <w:u w:val="single"/>
        </w:rPr>
        <w:t>Section 6:</w:t>
      </w:r>
      <w:r>
        <w:rPr>
          <w:szCs w:val="24"/>
        </w:rPr>
        <w:t xml:space="preserve">   </w:t>
      </w:r>
      <w:r w:rsidR="0032579E" w:rsidRPr="00B27C5B">
        <w:rPr>
          <w:szCs w:val="24"/>
        </w:rPr>
        <w:t xml:space="preserve">The Owner of the </w:t>
      </w:r>
      <w:r>
        <w:rPr>
          <w:szCs w:val="24"/>
        </w:rPr>
        <w:t>Site</w:t>
      </w:r>
      <w:r w:rsidR="0032579E" w:rsidRPr="00B27C5B">
        <w:rPr>
          <w:szCs w:val="24"/>
        </w:rPr>
        <w:t xml:space="preserve"> </w:t>
      </w:r>
      <w:r>
        <w:rPr>
          <w:szCs w:val="24"/>
        </w:rPr>
        <w:t xml:space="preserve">and owner’s assigns and successors in interest </w:t>
      </w:r>
      <w:r w:rsidR="0032579E" w:rsidRPr="00B27C5B">
        <w:rPr>
          <w:szCs w:val="24"/>
        </w:rPr>
        <w:t>reserves the right under WAC 173-340-4</w:t>
      </w:r>
      <w:r>
        <w:rPr>
          <w:szCs w:val="24"/>
        </w:rPr>
        <w:t>3</w:t>
      </w:r>
      <w:r w:rsidR="0032579E" w:rsidRPr="00B27C5B">
        <w:rPr>
          <w:szCs w:val="24"/>
        </w:rPr>
        <w:t xml:space="preserve">0 </w:t>
      </w:r>
      <w:r>
        <w:rPr>
          <w:szCs w:val="24"/>
        </w:rPr>
        <w:t xml:space="preserve">and WAC 173-340-440 </w:t>
      </w:r>
      <w:r w:rsidR="0032579E" w:rsidRPr="00B27C5B">
        <w:rPr>
          <w:szCs w:val="24"/>
        </w:rPr>
        <w:t xml:space="preserve">to record an instrument </w:t>
      </w:r>
      <w:r>
        <w:rPr>
          <w:szCs w:val="24"/>
        </w:rPr>
        <w:t>which</w:t>
      </w:r>
      <w:r w:rsidR="0032579E" w:rsidRPr="00B27C5B">
        <w:rPr>
          <w:szCs w:val="24"/>
        </w:rPr>
        <w:t xml:space="preserve"> provides that this </w:t>
      </w:r>
      <w:r w:rsidR="00E110FC">
        <w:rPr>
          <w:szCs w:val="24"/>
        </w:rPr>
        <w:t>EC</w:t>
      </w:r>
      <w:r w:rsidR="0032579E" w:rsidRPr="00B27C5B">
        <w:rPr>
          <w:szCs w:val="24"/>
        </w:rPr>
        <w:t xml:space="preserve"> shall no longer limit use of the </w:t>
      </w:r>
      <w:r>
        <w:rPr>
          <w:szCs w:val="24"/>
        </w:rPr>
        <w:t>Site</w:t>
      </w:r>
      <w:r w:rsidR="0032579E" w:rsidRPr="00B27C5B">
        <w:rPr>
          <w:szCs w:val="24"/>
        </w:rPr>
        <w:t xml:space="preserve"> or be of any further force or effect. </w:t>
      </w:r>
      <w:r w:rsidR="00E110FC">
        <w:rPr>
          <w:szCs w:val="24"/>
        </w:rPr>
        <w:t xml:space="preserve"> </w:t>
      </w:r>
      <w:r w:rsidR="0032579E" w:rsidRPr="00B27C5B">
        <w:rPr>
          <w:szCs w:val="24"/>
        </w:rPr>
        <w:t xml:space="preserve">However, such an instrument may be recorded only </w:t>
      </w:r>
      <w:r>
        <w:rPr>
          <w:szCs w:val="24"/>
        </w:rPr>
        <w:t xml:space="preserve">with the consent of </w:t>
      </w:r>
      <w:r w:rsidR="0032579E" w:rsidRPr="00B27C5B">
        <w:rPr>
          <w:szCs w:val="24"/>
        </w:rPr>
        <w:t>Ecology,</w:t>
      </w:r>
      <w:r>
        <w:rPr>
          <w:szCs w:val="24"/>
        </w:rPr>
        <w:t xml:space="preserve"> or of the successor agency.  Ecology or a successor agency</w:t>
      </w:r>
      <w:r w:rsidR="0032579E" w:rsidRPr="00B27C5B">
        <w:rPr>
          <w:szCs w:val="24"/>
        </w:rPr>
        <w:t xml:space="preserve"> </w:t>
      </w:r>
      <w:r>
        <w:rPr>
          <w:szCs w:val="24"/>
        </w:rPr>
        <w:t xml:space="preserve">may consent to the recording of such an instrument only </w:t>
      </w:r>
      <w:r w:rsidR="0032579E" w:rsidRPr="00B27C5B">
        <w:rPr>
          <w:szCs w:val="24"/>
        </w:rPr>
        <w:t>after public notice and comment.</w:t>
      </w:r>
    </w:p>
    <w:p w:rsidR="0032579E" w:rsidRPr="00B27C5B" w:rsidRDefault="0032579E" w:rsidP="0032579E">
      <w:pPr>
        <w:autoSpaceDE w:val="0"/>
        <w:autoSpaceDN w:val="0"/>
        <w:adjustRightInd w:val="0"/>
        <w:rPr>
          <w:szCs w:val="24"/>
        </w:rPr>
      </w:pPr>
    </w:p>
    <w:p w:rsidR="005A0ABF" w:rsidRPr="00B27C5B" w:rsidRDefault="005A0ABF" w:rsidP="0032579E">
      <w:pPr>
        <w:autoSpaceDE w:val="0"/>
        <w:autoSpaceDN w:val="0"/>
        <w:adjustRightInd w:val="0"/>
        <w:rPr>
          <w:szCs w:val="24"/>
        </w:rPr>
      </w:pPr>
      <w:r w:rsidRPr="00B27C5B">
        <w:rPr>
          <w:szCs w:val="24"/>
        </w:rPr>
        <w:t xml:space="preserve">The </w:t>
      </w:r>
      <w:r w:rsidR="00F2601D">
        <w:rPr>
          <w:szCs w:val="24"/>
        </w:rPr>
        <w:t>E</w:t>
      </w:r>
      <w:r w:rsidR="00E110FC">
        <w:rPr>
          <w:szCs w:val="24"/>
        </w:rPr>
        <w:t>C</w:t>
      </w:r>
      <w:r w:rsidR="00AD0983" w:rsidRPr="00B27C5B">
        <w:rPr>
          <w:szCs w:val="24"/>
        </w:rPr>
        <w:t xml:space="preserve"> is available </w:t>
      </w:r>
      <w:r w:rsidR="00616210">
        <w:rPr>
          <w:szCs w:val="24"/>
        </w:rPr>
        <w:t>in</w:t>
      </w:r>
      <w:r w:rsidR="00AD0983" w:rsidRPr="00B27C5B">
        <w:rPr>
          <w:szCs w:val="24"/>
        </w:rPr>
        <w:t xml:space="preserve"> </w:t>
      </w:r>
      <w:r w:rsidR="00AD0983" w:rsidRPr="00E232AA">
        <w:rPr>
          <w:szCs w:val="24"/>
        </w:rPr>
        <w:t xml:space="preserve">Appendix </w:t>
      </w:r>
      <w:r w:rsidR="00E232AA" w:rsidRPr="00E232AA">
        <w:rPr>
          <w:szCs w:val="24"/>
        </w:rPr>
        <w:t>6.6</w:t>
      </w:r>
      <w:r w:rsidR="00913EC4" w:rsidRPr="00E232AA">
        <w:rPr>
          <w:szCs w:val="24"/>
        </w:rPr>
        <w:t>.</w:t>
      </w:r>
    </w:p>
    <w:p w:rsidR="00D04004" w:rsidRDefault="00D04004" w:rsidP="004659B1"/>
    <w:p w:rsidR="00A11328" w:rsidRDefault="00A11328" w:rsidP="004659B1"/>
    <w:p w:rsidR="00A11328" w:rsidRDefault="00A11328" w:rsidP="004659B1"/>
    <w:p w:rsidR="00D4674A" w:rsidRDefault="00D4674A" w:rsidP="004659B1"/>
    <w:p w:rsidR="00A11328" w:rsidRDefault="00A11328" w:rsidP="004659B1"/>
    <w:p w:rsidR="00C3014B" w:rsidRDefault="001633D6" w:rsidP="005608F1">
      <w:pPr>
        <w:pStyle w:val="Heading1"/>
        <w:numPr>
          <w:ilvl w:val="0"/>
          <w:numId w:val="49"/>
        </w:numPr>
      </w:pPr>
      <w:bookmarkStart w:id="7" w:name="_Toc313360088"/>
      <w:r>
        <w:t>PERIODIC</w:t>
      </w:r>
      <w:r w:rsidR="00102941" w:rsidRPr="009A3B06">
        <w:t xml:space="preserve"> REVIEW</w:t>
      </w:r>
      <w:bookmarkEnd w:id="7"/>
    </w:p>
    <w:p w:rsidR="00102941" w:rsidRDefault="00102941" w:rsidP="004659B1"/>
    <w:p w:rsidR="00102941" w:rsidRPr="00AB6B9F" w:rsidRDefault="00102941" w:rsidP="005608F1">
      <w:pPr>
        <w:pStyle w:val="Heading2"/>
        <w:numPr>
          <w:ilvl w:val="1"/>
          <w:numId w:val="49"/>
        </w:numPr>
      </w:pPr>
      <w:bookmarkStart w:id="8" w:name="_Toc313360089"/>
      <w:r w:rsidRPr="00AB6B9F">
        <w:t xml:space="preserve">Effectiveness </w:t>
      </w:r>
      <w:r w:rsidR="006F2CA4" w:rsidRPr="00AB6B9F">
        <w:t xml:space="preserve">of </w:t>
      </w:r>
      <w:r w:rsidRPr="00AB6B9F">
        <w:t>completed cleanup</w:t>
      </w:r>
      <w:r w:rsidR="00AA3873" w:rsidRPr="00AB6B9F">
        <w:t xml:space="preserve"> actions</w:t>
      </w:r>
      <w:bookmarkEnd w:id="8"/>
    </w:p>
    <w:p w:rsidR="00E3276D" w:rsidRDefault="00E3276D" w:rsidP="00B35229"/>
    <w:p w:rsidR="0021664F" w:rsidRPr="00BF212D" w:rsidRDefault="00FC4E29" w:rsidP="0021664F">
      <w:r>
        <w:t xml:space="preserve">Based upon the </w:t>
      </w:r>
      <w:r w:rsidR="00D80B98">
        <w:t>Site</w:t>
      </w:r>
      <w:r>
        <w:t xml:space="preserve"> visit conducted </w:t>
      </w:r>
      <w:r w:rsidRPr="006673E5">
        <w:t xml:space="preserve">on </w:t>
      </w:r>
      <w:r w:rsidR="00C06686">
        <w:t>May 5</w:t>
      </w:r>
      <w:r w:rsidR="00D26F38">
        <w:t>,</w:t>
      </w:r>
      <w:r w:rsidR="004F27B9">
        <w:t xml:space="preserve"> 201</w:t>
      </w:r>
      <w:r w:rsidR="00050AE6">
        <w:t>4</w:t>
      </w:r>
      <w:r w:rsidRPr="006673E5">
        <w:t>,</w:t>
      </w:r>
      <w:r w:rsidR="00AD3BB2">
        <w:t xml:space="preserve"> </w:t>
      </w:r>
      <w:r w:rsidR="00595E52">
        <w:t>landfill</w:t>
      </w:r>
      <w:r w:rsidR="007A6CCD">
        <w:t xml:space="preserve"> cap </w:t>
      </w:r>
      <w:r w:rsidR="0021664F">
        <w:t xml:space="preserve">at the </w:t>
      </w:r>
      <w:r w:rsidR="00D80B98">
        <w:t>Site</w:t>
      </w:r>
      <w:r w:rsidR="0021664F">
        <w:t xml:space="preserve"> continue</w:t>
      </w:r>
      <w:r w:rsidR="00616210">
        <w:t>s</w:t>
      </w:r>
      <w:r w:rsidR="0021664F">
        <w:t xml:space="preserve"> to eliminate </w:t>
      </w:r>
      <w:r w:rsidR="00851E15">
        <w:t xml:space="preserve">direct </w:t>
      </w:r>
      <w:r w:rsidR="0021664F">
        <w:t xml:space="preserve">exposure pathways (ingestion, contact) to contaminated </w:t>
      </w:r>
      <w:r w:rsidR="00595E52">
        <w:t xml:space="preserve">sludge, </w:t>
      </w:r>
      <w:r w:rsidR="0069390A">
        <w:t xml:space="preserve">sediment, </w:t>
      </w:r>
      <w:r w:rsidR="00595E52">
        <w:t>asbestos contained in sludge</w:t>
      </w:r>
      <w:r w:rsidR="0069390A">
        <w:t xml:space="preserve">, </w:t>
      </w:r>
      <w:r w:rsidR="00595E52">
        <w:t xml:space="preserve">and metals contaminated </w:t>
      </w:r>
      <w:r w:rsidR="0021664F">
        <w:t>soils.</w:t>
      </w:r>
      <w:r w:rsidR="00B3059E">
        <w:t xml:space="preserve"> </w:t>
      </w:r>
      <w:r w:rsidR="0021664F">
        <w:t xml:space="preserve"> </w:t>
      </w:r>
      <w:r w:rsidR="00D2062C">
        <w:t xml:space="preserve">The </w:t>
      </w:r>
      <w:r w:rsidR="00595E52">
        <w:t>integrity of the landfill</w:t>
      </w:r>
      <w:r w:rsidR="007A6CCD">
        <w:t xml:space="preserve"> </w:t>
      </w:r>
      <w:r w:rsidR="006E0FC4">
        <w:t xml:space="preserve">has been maintained and </w:t>
      </w:r>
      <w:r w:rsidR="007A6CCD">
        <w:t xml:space="preserve">cap </w:t>
      </w:r>
      <w:r w:rsidR="002E3B1E">
        <w:t>is</w:t>
      </w:r>
      <w:r w:rsidR="0021664F">
        <w:t xml:space="preserve"> in satisfactory condition and no repair, maintenance or contingency actions </w:t>
      </w:r>
      <w:r w:rsidR="00013BC7">
        <w:t>are</w:t>
      </w:r>
      <w:r w:rsidR="0021664F">
        <w:t xml:space="preserve"> required</w:t>
      </w:r>
      <w:r w:rsidR="00013BC7">
        <w:t xml:space="preserve"> at this time</w:t>
      </w:r>
      <w:r w:rsidR="0021664F">
        <w:t xml:space="preserve">.  A photo </w:t>
      </w:r>
      <w:r w:rsidR="00851E15">
        <w:t xml:space="preserve">log is available </w:t>
      </w:r>
      <w:r w:rsidR="00616210">
        <w:t>in</w:t>
      </w:r>
      <w:r w:rsidR="00851E15">
        <w:t xml:space="preserve"> </w:t>
      </w:r>
      <w:r w:rsidR="00851E15" w:rsidRPr="00BF212D">
        <w:t xml:space="preserve">Appendix </w:t>
      </w:r>
      <w:r w:rsidR="00BF212D" w:rsidRPr="00BF212D">
        <w:t>6.</w:t>
      </w:r>
      <w:r w:rsidR="005E1BA6">
        <w:t>9.</w:t>
      </w:r>
      <w:r w:rsidR="0021664F" w:rsidRPr="00BF212D">
        <w:t xml:space="preserve">  </w:t>
      </w:r>
    </w:p>
    <w:p w:rsidR="00100EDD" w:rsidRDefault="00100EDD" w:rsidP="0021664F"/>
    <w:p w:rsidR="00060CE4" w:rsidRDefault="003411E2" w:rsidP="0021664F">
      <w:r>
        <w:t xml:space="preserve">A total of approximately </w:t>
      </w:r>
      <w:r w:rsidR="009570C4">
        <w:t>1</w:t>
      </w:r>
      <w:r>
        <w:t>8</w:t>
      </w:r>
      <w:r w:rsidR="009570C4">
        <w:t>,</w:t>
      </w:r>
      <w:r w:rsidR="007D7AC4">
        <w:t>00</w:t>
      </w:r>
      <w:r w:rsidR="009570C4">
        <w:t>0</w:t>
      </w:r>
      <w:r>
        <w:t xml:space="preserve"> </w:t>
      </w:r>
      <w:r w:rsidR="009570C4">
        <w:t xml:space="preserve">cubic yards of contaminated soils, sludge </w:t>
      </w:r>
      <w:r>
        <w:t>were excavated as part of the remedial action</w:t>
      </w:r>
      <w:r w:rsidR="009570C4">
        <w:t xml:space="preserve"> and </w:t>
      </w:r>
      <w:r w:rsidR="0069390A">
        <w:t xml:space="preserve">these materials were </w:t>
      </w:r>
      <w:r w:rsidR="009570C4">
        <w:t>consolidated within an on-Site engineered landfill (containment facility)</w:t>
      </w:r>
      <w:r>
        <w:t xml:space="preserve">.  </w:t>
      </w:r>
      <w:r w:rsidR="009570C4">
        <w:t xml:space="preserve">The landfill was capped with </w:t>
      </w:r>
      <w:r w:rsidR="0069390A">
        <w:t>a composite cap (Resource Conservation Recovery Act cap)</w:t>
      </w:r>
      <w:r w:rsidR="00B75462">
        <w:t xml:space="preserve"> and the contaminated material contained beneath the cap which continues to eliminate the direct contact exposure pathway to the humans</w:t>
      </w:r>
      <w:r w:rsidR="0069390A">
        <w:t>.</w:t>
      </w:r>
      <w:r w:rsidR="00B75462">
        <w:t xml:space="preserve">  Site personnel regularly perform well-head maintenance, vegetation control in the cap surface, fence maintenance and Site security control.</w:t>
      </w:r>
      <w:r w:rsidR="0069390A">
        <w:t xml:space="preserve">  </w:t>
      </w:r>
      <w:r w:rsidR="00B75462">
        <w:t xml:space="preserve">Though the concentrations of cis-1,2-DCE and VC </w:t>
      </w:r>
      <w:r w:rsidR="005D4A27">
        <w:t xml:space="preserve">slightly </w:t>
      </w:r>
      <w:r w:rsidR="00B75462">
        <w:t xml:space="preserve">exceed their cleanup levels, </w:t>
      </w:r>
      <w:r w:rsidR="005D4A27">
        <w:rPr>
          <w:szCs w:val="24"/>
        </w:rPr>
        <w:t xml:space="preserve">comparison of compliance monitoring analytical data to the cleanup standards shows overall decreasing trends over the entire monitoring period of 16 years indicating that the contaminated materials within the landfill do not pose a threat to groundwater.  </w:t>
      </w:r>
      <w:r w:rsidR="00100EDD">
        <w:t xml:space="preserve">  </w:t>
      </w:r>
    </w:p>
    <w:p w:rsidR="00100EDD" w:rsidRDefault="00100EDD" w:rsidP="00100EDD"/>
    <w:p w:rsidR="00ED68BE" w:rsidRDefault="00710791" w:rsidP="00100EDD">
      <w:r>
        <w:t>A</w:t>
      </w:r>
      <w:r w:rsidR="00EC6036">
        <w:t>n</w:t>
      </w:r>
      <w:r>
        <w:t xml:space="preserve"> </w:t>
      </w:r>
      <w:r w:rsidR="00E110FC">
        <w:t>EC</w:t>
      </w:r>
      <w:r>
        <w:t xml:space="preserve"> was recorded</w:t>
      </w:r>
      <w:r w:rsidR="00100EDD">
        <w:t xml:space="preserve"> for the </w:t>
      </w:r>
      <w:r w:rsidR="00D80B98">
        <w:t>Site</w:t>
      </w:r>
      <w:r w:rsidR="00100EDD">
        <w:t xml:space="preserve"> and </w:t>
      </w:r>
      <w:r>
        <w:t>remains active</w:t>
      </w:r>
      <w:r w:rsidR="00100EDD">
        <w:t xml:space="preserve">.  This </w:t>
      </w:r>
      <w:r w:rsidR="00E110FC">
        <w:t>EC</w:t>
      </w:r>
      <w:r w:rsidR="00100EDD">
        <w:t xml:space="preserve"> prohibits </w:t>
      </w:r>
      <w:r w:rsidR="005D4A27">
        <w:t xml:space="preserve">activities that will result in the release of contaminants contained as part of the cleanup without Ecology’s approval and prohibits </w:t>
      </w:r>
      <w:r w:rsidR="00100EDD">
        <w:t>any use of the property</w:t>
      </w:r>
      <w:r>
        <w:t xml:space="preserve"> that is inconsistent with the </w:t>
      </w:r>
      <w:r w:rsidR="00C92A5E">
        <w:t>C</w:t>
      </w:r>
      <w:r w:rsidR="00100EDD">
        <w:t xml:space="preserve">ovenant or </w:t>
      </w:r>
      <w:r w:rsidR="00F72C70">
        <w:t xml:space="preserve">that </w:t>
      </w:r>
      <w:r w:rsidR="00100EDD">
        <w:t xml:space="preserve">will </w:t>
      </w:r>
      <w:r w:rsidR="00F72C70">
        <w:t xml:space="preserve">allow the </w:t>
      </w:r>
      <w:r w:rsidR="00100EDD">
        <w:t xml:space="preserve">release </w:t>
      </w:r>
      <w:r w:rsidR="00F72C70">
        <w:t xml:space="preserve">of </w:t>
      </w:r>
      <w:r w:rsidR="00100EDD">
        <w:t xml:space="preserve">contaminants remaining in </w:t>
      </w:r>
      <w:r w:rsidR="005D4A27">
        <w:t>the contaminated materials</w:t>
      </w:r>
      <w:r w:rsidR="00100EDD">
        <w:t xml:space="preserve"> at the </w:t>
      </w:r>
      <w:r w:rsidR="00D80B98">
        <w:t>Site</w:t>
      </w:r>
      <w:r w:rsidR="00F72C70">
        <w:t xml:space="preserve"> to the environment</w:t>
      </w:r>
      <w:r w:rsidR="00100EDD">
        <w:t>.</w:t>
      </w:r>
      <w:r w:rsidR="005D4A27">
        <w:t xml:space="preserve">  The Covenant also </w:t>
      </w:r>
      <w:r w:rsidR="008A2F41">
        <w:t>restricts the Site for Industrial uses only, requires</w:t>
      </w:r>
      <w:r w:rsidR="005D4A27">
        <w:t xml:space="preserve"> fencing to restrict public access to the Site</w:t>
      </w:r>
      <w:r w:rsidR="008A2F41">
        <w:t>, regular operation and maintenance of the landfill, landfill cap and groundwater monitoring.  The EC serves to assure the long term property use and integrity of the landfill cap.</w:t>
      </w:r>
      <w:r w:rsidR="005D4A27">
        <w:t xml:space="preserve"> </w:t>
      </w:r>
      <w:r w:rsidR="00100EDD">
        <w:t xml:space="preserve"> </w:t>
      </w:r>
    </w:p>
    <w:p w:rsidR="00ED68BE" w:rsidRPr="00E41655" w:rsidRDefault="00ED68BE" w:rsidP="00ED68BE"/>
    <w:p w:rsidR="00A47416" w:rsidRDefault="00A47416" w:rsidP="005608F1">
      <w:pPr>
        <w:pStyle w:val="Heading2"/>
        <w:numPr>
          <w:ilvl w:val="1"/>
          <w:numId w:val="49"/>
        </w:numPr>
      </w:pPr>
      <w:bookmarkStart w:id="9" w:name="_Toc313360090"/>
      <w:r w:rsidRPr="00AB6B9F">
        <w:t>New scientific information for individual hazardous substanc</w:t>
      </w:r>
      <w:r w:rsidR="002B2C14">
        <w:t xml:space="preserve">es for mixtures present at the </w:t>
      </w:r>
      <w:r w:rsidR="00D80B98">
        <w:t>Site</w:t>
      </w:r>
      <w:bookmarkEnd w:id="9"/>
    </w:p>
    <w:p w:rsidR="00A47416" w:rsidRDefault="00A47416" w:rsidP="00B35229"/>
    <w:p w:rsidR="00A34A64" w:rsidRDefault="00100EDD" w:rsidP="00832D1D">
      <w:pPr>
        <w:autoSpaceDE w:val="0"/>
        <w:autoSpaceDN w:val="0"/>
        <w:adjustRightInd w:val="0"/>
        <w:rPr>
          <w:rFonts w:ascii="TimesNewRomanPSMT" w:hAnsi="TimesNewRomanPSMT" w:cs="TimesNewRomanPSMT"/>
          <w:szCs w:val="24"/>
        </w:rPr>
      </w:pPr>
      <w:r>
        <w:rPr>
          <w:rFonts w:ascii="TimesNewRomanPSMT" w:hAnsi="TimesNewRomanPSMT" w:cs="TimesNewRomanPSMT"/>
          <w:szCs w:val="24"/>
        </w:rPr>
        <w:t xml:space="preserve">There is no new relevant scientific information for hazardous substances remaining at the </w:t>
      </w:r>
      <w:r w:rsidR="00D80B98">
        <w:rPr>
          <w:rFonts w:ascii="TimesNewRomanPSMT" w:hAnsi="TimesNewRomanPSMT" w:cs="TimesNewRomanPSMT"/>
          <w:szCs w:val="24"/>
        </w:rPr>
        <w:t>Site</w:t>
      </w:r>
      <w:r>
        <w:rPr>
          <w:rFonts w:ascii="TimesNewRomanPSMT" w:hAnsi="TimesNewRomanPSMT" w:cs="TimesNewRomanPSMT"/>
          <w:szCs w:val="24"/>
        </w:rPr>
        <w:t xml:space="preserve">.  </w:t>
      </w:r>
    </w:p>
    <w:p w:rsidR="00832D1D" w:rsidRDefault="00832D1D" w:rsidP="00832D1D">
      <w:pPr>
        <w:autoSpaceDE w:val="0"/>
        <w:autoSpaceDN w:val="0"/>
        <w:adjustRightInd w:val="0"/>
      </w:pPr>
    </w:p>
    <w:p w:rsidR="00A34A64" w:rsidRDefault="00A34A64" w:rsidP="005608F1">
      <w:pPr>
        <w:pStyle w:val="Heading2"/>
        <w:numPr>
          <w:ilvl w:val="1"/>
          <w:numId w:val="49"/>
        </w:numPr>
      </w:pPr>
      <w:bookmarkStart w:id="10" w:name="_Toc313360091"/>
      <w:r w:rsidRPr="00AB6B9F">
        <w:t xml:space="preserve">New applicable state and federal laws for hazardous substances present at the </w:t>
      </w:r>
      <w:r w:rsidR="00D80B98">
        <w:t>Site</w:t>
      </w:r>
      <w:bookmarkEnd w:id="10"/>
    </w:p>
    <w:p w:rsidR="00A34A64" w:rsidRDefault="00A34A64" w:rsidP="00B35229">
      <w:pPr>
        <w:rPr>
          <w:b/>
        </w:rPr>
      </w:pPr>
    </w:p>
    <w:p w:rsidR="00E232AA" w:rsidRDefault="003F580E" w:rsidP="00832D1D">
      <w:pPr>
        <w:autoSpaceDE w:val="0"/>
        <w:autoSpaceDN w:val="0"/>
        <w:adjustRightInd w:val="0"/>
        <w:rPr>
          <w:rFonts w:ascii="TimesNewRomanPSMT" w:hAnsi="TimesNewRomanPSMT" w:cs="TimesNewRomanPSMT"/>
          <w:szCs w:val="24"/>
        </w:rPr>
      </w:pPr>
      <w:r>
        <w:rPr>
          <w:rFonts w:ascii="TimesNewRomanPSMT" w:hAnsi="TimesNewRomanPSMT" w:cs="TimesNewRomanPSMT"/>
          <w:szCs w:val="24"/>
        </w:rPr>
        <w:t xml:space="preserve">MTCA Method </w:t>
      </w:r>
      <w:r w:rsidR="00D03DE2">
        <w:rPr>
          <w:rFonts w:ascii="TimesNewRomanPSMT" w:hAnsi="TimesNewRomanPSMT" w:cs="TimesNewRomanPSMT"/>
          <w:szCs w:val="24"/>
        </w:rPr>
        <w:t>A</w:t>
      </w:r>
      <w:r>
        <w:rPr>
          <w:rFonts w:ascii="TimesNewRomanPSMT" w:hAnsi="TimesNewRomanPSMT" w:cs="TimesNewRomanPSMT"/>
          <w:szCs w:val="24"/>
        </w:rPr>
        <w:t xml:space="preserve"> cleanup levels </w:t>
      </w:r>
      <w:r w:rsidR="00710791">
        <w:rPr>
          <w:rFonts w:ascii="TimesNewRomanPSMT" w:hAnsi="TimesNewRomanPSMT" w:cs="TimesNewRomanPSMT"/>
          <w:szCs w:val="24"/>
        </w:rPr>
        <w:t xml:space="preserve">for contaminants of concern at the </w:t>
      </w:r>
      <w:r w:rsidR="00D80B98">
        <w:rPr>
          <w:rFonts w:ascii="TimesNewRomanPSMT" w:hAnsi="TimesNewRomanPSMT" w:cs="TimesNewRomanPSMT"/>
          <w:szCs w:val="24"/>
        </w:rPr>
        <w:t>Site</w:t>
      </w:r>
      <w:r w:rsidR="00710791">
        <w:rPr>
          <w:rFonts w:ascii="TimesNewRomanPSMT" w:hAnsi="TimesNewRomanPSMT" w:cs="TimesNewRomanPSMT"/>
          <w:szCs w:val="24"/>
        </w:rPr>
        <w:t xml:space="preserve"> </w:t>
      </w:r>
      <w:r>
        <w:rPr>
          <w:rFonts w:ascii="TimesNewRomanPSMT" w:hAnsi="TimesNewRomanPSMT" w:cs="TimesNewRomanPSMT"/>
          <w:szCs w:val="24"/>
        </w:rPr>
        <w:t xml:space="preserve">have not changed since the </w:t>
      </w:r>
      <w:r w:rsidR="00E110FC">
        <w:rPr>
          <w:rFonts w:ascii="TimesNewRomanPSMT" w:hAnsi="TimesNewRomanPSMT" w:cs="TimesNewRomanPSMT"/>
          <w:szCs w:val="24"/>
        </w:rPr>
        <w:t>NFA</w:t>
      </w:r>
      <w:r w:rsidR="00710791">
        <w:rPr>
          <w:rFonts w:ascii="TimesNewRomanPSMT" w:hAnsi="TimesNewRomanPSMT" w:cs="TimesNewRomanPSMT"/>
          <w:szCs w:val="24"/>
        </w:rPr>
        <w:t xml:space="preserve"> determination was issued </w:t>
      </w:r>
      <w:r w:rsidR="00050AE6">
        <w:rPr>
          <w:rFonts w:ascii="TimesNewRomanPSMT" w:hAnsi="TimesNewRomanPSMT" w:cs="TimesNewRomanPSMT"/>
          <w:szCs w:val="24"/>
        </w:rPr>
        <w:t>o</w:t>
      </w:r>
      <w:r w:rsidR="00710791">
        <w:rPr>
          <w:rFonts w:ascii="TimesNewRomanPSMT" w:hAnsi="TimesNewRomanPSMT" w:cs="TimesNewRomanPSMT"/>
          <w:szCs w:val="24"/>
        </w:rPr>
        <w:t xml:space="preserve">n </w:t>
      </w:r>
      <w:r w:rsidR="009F7153">
        <w:rPr>
          <w:rFonts w:ascii="TimesNewRomanPSMT" w:hAnsi="TimesNewRomanPSMT" w:cs="TimesNewRomanPSMT"/>
          <w:szCs w:val="24"/>
        </w:rPr>
        <w:t>March</w:t>
      </w:r>
      <w:r w:rsidR="00050AE6">
        <w:rPr>
          <w:rFonts w:ascii="TimesNewRomanPSMT" w:hAnsi="TimesNewRomanPSMT" w:cs="TimesNewRomanPSMT"/>
          <w:szCs w:val="24"/>
        </w:rPr>
        <w:t xml:space="preserve"> 1</w:t>
      </w:r>
      <w:r w:rsidR="009F7153">
        <w:rPr>
          <w:rFonts w:ascii="TimesNewRomanPSMT" w:hAnsi="TimesNewRomanPSMT" w:cs="TimesNewRomanPSMT"/>
          <w:szCs w:val="24"/>
        </w:rPr>
        <w:t>8</w:t>
      </w:r>
      <w:r w:rsidR="00050AE6">
        <w:rPr>
          <w:rFonts w:ascii="TimesNewRomanPSMT" w:hAnsi="TimesNewRomanPSMT" w:cs="TimesNewRomanPSMT"/>
          <w:szCs w:val="24"/>
        </w:rPr>
        <w:t xml:space="preserve">, </w:t>
      </w:r>
      <w:r w:rsidR="00710791">
        <w:rPr>
          <w:rFonts w:ascii="TimesNewRomanPSMT" w:hAnsi="TimesNewRomanPSMT" w:cs="TimesNewRomanPSMT"/>
          <w:szCs w:val="24"/>
        </w:rPr>
        <w:t>200</w:t>
      </w:r>
      <w:r w:rsidR="00050AE6">
        <w:rPr>
          <w:rFonts w:ascii="TimesNewRomanPSMT" w:hAnsi="TimesNewRomanPSMT" w:cs="TimesNewRomanPSMT"/>
          <w:szCs w:val="24"/>
        </w:rPr>
        <w:t>9</w:t>
      </w:r>
      <w:r w:rsidR="00100EDD">
        <w:rPr>
          <w:rFonts w:ascii="TimesNewRomanPSMT" w:hAnsi="TimesNewRomanPSMT" w:cs="TimesNewRomanPSMT"/>
          <w:szCs w:val="24"/>
        </w:rPr>
        <w:t xml:space="preserve">. </w:t>
      </w:r>
    </w:p>
    <w:p w:rsidR="00453FB6" w:rsidRDefault="00453FB6" w:rsidP="00832D1D">
      <w:pPr>
        <w:autoSpaceDE w:val="0"/>
        <w:autoSpaceDN w:val="0"/>
        <w:adjustRightInd w:val="0"/>
        <w:rPr>
          <w:rFonts w:ascii="TimesNewRomanPSMT" w:hAnsi="TimesNewRomanPSMT" w:cs="TimesNewRomanPSMT"/>
          <w:szCs w:val="24"/>
        </w:rPr>
      </w:pPr>
    </w:p>
    <w:p w:rsidR="00453FB6" w:rsidRDefault="00453FB6" w:rsidP="00832D1D">
      <w:pPr>
        <w:autoSpaceDE w:val="0"/>
        <w:autoSpaceDN w:val="0"/>
        <w:adjustRightInd w:val="0"/>
        <w:rPr>
          <w:rFonts w:ascii="TimesNewRomanPSMT" w:hAnsi="TimesNewRomanPSMT" w:cs="TimesNewRomanPSMT"/>
          <w:szCs w:val="24"/>
        </w:rPr>
      </w:pPr>
    </w:p>
    <w:p w:rsidR="00453FB6" w:rsidRDefault="00453FB6" w:rsidP="00832D1D">
      <w:pPr>
        <w:autoSpaceDE w:val="0"/>
        <w:autoSpaceDN w:val="0"/>
        <w:adjustRightInd w:val="0"/>
        <w:rPr>
          <w:rFonts w:ascii="TimesNewRomanPSMT" w:hAnsi="TimesNewRomanPSMT" w:cs="TimesNewRomanPSMT"/>
          <w:szCs w:val="24"/>
        </w:rPr>
      </w:pPr>
    </w:p>
    <w:p w:rsidR="00453FB6" w:rsidRDefault="00453FB6" w:rsidP="00832D1D">
      <w:pPr>
        <w:autoSpaceDE w:val="0"/>
        <w:autoSpaceDN w:val="0"/>
        <w:adjustRightInd w:val="0"/>
        <w:rPr>
          <w:rFonts w:ascii="TimesNewRomanPSMT" w:hAnsi="TimesNewRomanPSMT" w:cs="TimesNewRomanPSMT"/>
          <w:szCs w:val="24"/>
        </w:rPr>
      </w:pPr>
    </w:p>
    <w:p w:rsidR="00453FB6" w:rsidRDefault="00453FB6" w:rsidP="00832D1D">
      <w:pPr>
        <w:autoSpaceDE w:val="0"/>
        <w:autoSpaceDN w:val="0"/>
        <w:adjustRightInd w:val="0"/>
        <w:rPr>
          <w:rFonts w:ascii="TimesNewRomanPSMT" w:hAnsi="TimesNewRomanPSMT" w:cs="TimesNewRomanPSMT"/>
          <w:szCs w:val="24"/>
        </w:rPr>
      </w:pPr>
    </w:p>
    <w:p w:rsidR="00E232AA" w:rsidRDefault="00E232AA" w:rsidP="00832D1D">
      <w:pPr>
        <w:autoSpaceDE w:val="0"/>
        <w:autoSpaceDN w:val="0"/>
        <w:adjustRightInd w:val="0"/>
        <w:rPr>
          <w:rFonts w:ascii="TimesNewRomanPSMT" w:hAnsi="TimesNewRomanPSMT" w:cs="TimesNewRomanPSMT"/>
          <w:szCs w:val="24"/>
        </w:rPr>
      </w:pPr>
    </w:p>
    <w:p w:rsidR="00DB57B9" w:rsidRPr="00AB6B9F" w:rsidRDefault="00DB57B9" w:rsidP="005608F1">
      <w:pPr>
        <w:pStyle w:val="Heading2"/>
        <w:numPr>
          <w:ilvl w:val="1"/>
          <w:numId w:val="49"/>
        </w:numPr>
      </w:pPr>
      <w:bookmarkStart w:id="11" w:name="_Toc313360092"/>
      <w:r w:rsidRPr="00AB6B9F">
        <w:t xml:space="preserve">Current and projected </w:t>
      </w:r>
      <w:r w:rsidR="00D80B98">
        <w:t>Site</w:t>
      </w:r>
      <w:r w:rsidRPr="00AB6B9F">
        <w:t xml:space="preserve"> use</w:t>
      </w:r>
      <w:bookmarkEnd w:id="11"/>
    </w:p>
    <w:p w:rsidR="00DB57B9" w:rsidRDefault="00DB57B9" w:rsidP="00B35229"/>
    <w:p w:rsidR="006E6255" w:rsidRDefault="003F580E" w:rsidP="00B35229">
      <w:r>
        <w:t xml:space="preserve">The </w:t>
      </w:r>
      <w:r w:rsidR="00D80B98">
        <w:t>Site</w:t>
      </w:r>
      <w:r w:rsidR="006E6255">
        <w:t xml:space="preserve"> </w:t>
      </w:r>
      <w:r>
        <w:t xml:space="preserve">is currently occupied by </w:t>
      </w:r>
      <w:r w:rsidR="009F7153">
        <w:t>commercial building, State Highway 19 and Irondale Road easement areas.</w:t>
      </w:r>
      <w:r w:rsidR="00640480">
        <w:t xml:space="preserve"> </w:t>
      </w:r>
      <w:r w:rsidR="00F73FB5">
        <w:t>This use is</w:t>
      </w:r>
      <w:r w:rsidR="002D2EA7">
        <w:t xml:space="preserve"> not likely to have a negative impact on the </w:t>
      </w:r>
      <w:r w:rsidR="00832D1D">
        <w:t xml:space="preserve">risk posed by hazardous substances contained at the </w:t>
      </w:r>
      <w:r w:rsidR="00D80B98">
        <w:t>Site</w:t>
      </w:r>
      <w:r w:rsidR="002D2EA7">
        <w:t>.</w:t>
      </w:r>
      <w:r>
        <w:t xml:space="preserve">  There are no changes projected in the </w:t>
      </w:r>
      <w:r w:rsidR="00D80B98">
        <w:t>Site</w:t>
      </w:r>
      <w:r>
        <w:t xml:space="preserve"> use.</w:t>
      </w:r>
    </w:p>
    <w:p w:rsidR="006E6255" w:rsidRDefault="006E6255" w:rsidP="00B35229"/>
    <w:p w:rsidR="006E6255" w:rsidRPr="00AB6B9F" w:rsidRDefault="006E6255" w:rsidP="005608F1">
      <w:pPr>
        <w:pStyle w:val="Heading2"/>
        <w:numPr>
          <w:ilvl w:val="1"/>
          <w:numId w:val="49"/>
        </w:numPr>
      </w:pPr>
      <w:bookmarkStart w:id="12" w:name="_Toc313360093"/>
      <w:r w:rsidRPr="00AB6B9F">
        <w:t>Availability and practicability of higher preference technologies</w:t>
      </w:r>
      <w:bookmarkEnd w:id="12"/>
    </w:p>
    <w:p w:rsidR="006E6255" w:rsidRDefault="006E6255" w:rsidP="00B35229">
      <w:pPr>
        <w:rPr>
          <w:b/>
        </w:rPr>
      </w:pPr>
    </w:p>
    <w:p w:rsidR="00E354E7" w:rsidRDefault="00F73FB5" w:rsidP="00B35229">
      <w:r>
        <w:t xml:space="preserve">The remedy implemented included </w:t>
      </w:r>
      <w:r w:rsidR="009F7153">
        <w:t xml:space="preserve">excavation and disposal of majority of contaminated soils and </w:t>
      </w:r>
      <w:r w:rsidR="00A36B03">
        <w:t>containment</w:t>
      </w:r>
      <w:r>
        <w:t xml:space="preserve"> of </w:t>
      </w:r>
      <w:r w:rsidR="00A36B03">
        <w:t>remaining soils/</w:t>
      </w:r>
      <w:r>
        <w:t>hazardous substances</w:t>
      </w:r>
      <w:r w:rsidR="00A36B03">
        <w:t>.  The implemented remedy</w:t>
      </w:r>
      <w:r>
        <w:t xml:space="preserve"> continues to be protective of human health and the environment.  While higher preference cleanup technologies may be available, they are still not practicable at this </w:t>
      </w:r>
      <w:r w:rsidR="00D80B98">
        <w:t>Site</w:t>
      </w:r>
      <w:r>
        <w:t>.</w:t>
      </w:r>
    </w:p>
    <w:p w:rsidR="008B0543" w:rsidRDefault="008B0543" w:rsidP="00B35229"/>
    <w:p w:rsidR="006E6255" w:rsidRPr="00AB6B9F" w:rsidRDefault="006E6255" w:rsidP="005608F1">
      <w:pPr>
        <w:pStyle w:val="Heading2"/>
        <w:numPr>
          <w:ilvl w:val="1"/>
          <w:numId w:val="49"/>
        </w:numPr>
      </w:pPr>
      <w:bookmarkStart w:id="13" w:name="_Toc313360094"/>
      <w:r w:rsidRPr="00AB6B9F">
        <w:t>Availability of improved analytical techniques to evaluate compliance with cleanup levels</w:t>
      </w:r>
      <w:bookmarkEnd w:id="13"/>
    </w:p>
    <w:p w:rsidR="006E6255" w:rsidRDefault="006E6255" w:rsidP="00B35229"/>
    <w:p w:rsidR="009135AD" w:rsidRDefault="00EC08A0" w:rsidP="0095328E">
      <w:pPr>
        <w:autoSpaceDE w:val="0"/>
        <w:autoSpaceDN w:val="0"/>
        <w:adjustRightInd w:val="0"/>
        <w:rPr>
          <w:szCs w:val="24"/>
        </w:rPr>
      </w:pPr>
      <w:r>
        <w:rPr>
          <w:szCs w:val="24"/>
        </w:rPr>
        <w:t>The analytical</w:t>
      </w:r>
      <w:r w:rsidR="0095328E">
        <w:rPr>
          <w:szCs w:val="24"/>
        </w:rPr>
        <w:t xml:space="preserve"> </w:t>
      </w:r>
      <w:r>
        <w:rPr>
          <w:szCs w:val="24"/>
        </w:rPr>
        <w:t xml:space="preserve">methods </w:t>
      </w:r>
      <w:r w:rsidR="0095328E">
        <w:rPr>
          <w:szCs w:val="24"/>
        </w:rPr>
        <w:t>used at the time of the remedial action</w:t>
      </w:r>
      <w:r w:rsidR="00832D1D">
        <w:rPr>
          <w:szCs w:val="24"/>
        </w:rPr>
        <w:t>s</w:t>
      </w:r>
      <w:r w:rsidR="00FC4E29">
        <w:rPr>
          <w:szCs w:val="24"/>
        </w:rPr>
        <w:t xml:space="preserve"> were capable of detection </w:t>
      </w:r>
      <w:r w:rsidR="0095328E">
        <w:rPr>
          <w:szCs w:val="24"/>
        </w:rPr>
        <w:t xml:space="preserve">below </w:t>
      </w:r>
      <w:r w:rsidR="00D80B98">
        <w:rPr>
          <w:szCs w:val="24"/>
        </w:rPr>
        <w:t>Site</w:t>
      </w:r>
      <w:r w:rsidR="0095328E">
        <w:rPr>
          <w:szCs w:val="24"/>
        </w:rPr>
        <w:t xml:space="preserve"> cleanup levels.  </w:t>
      </w:r>
      <w:r w:rsidR="009135AD">
        <w:rPr>
          <w:szCs w:val="24"/>
        </w:rPr>
        <w:t xml:space="preserve">The presence of improved analytical techniques would not </w:t>
      </w:r>
      <w:r w:rsidR="004B4DAD">
        <w:rPr>
          <w:szCs w:val="24"/>
        </w:rPr>
        <w:t>af</w:t>
      </w:r>
      <w:r w:rsidR="009135AD">
        <w:rPr>
          <w:szCs w:val="24"/>
        </w:rPr>
        <w:t xml:space="preserve">fect decisions or recommendations made for the </w:t>
      </w:r>
      <w:r w:rsidR="00D80B98">
        <w:rPr>
          <w:szCs w:val="24"/>
        </w:rPr>
        <w:t>Site</w:t>
      </w:r>
      <w:r w:rsidR="009135AD">
        <w:rPr>
          <w:szCs w:val="24"/>
        </w:rPr>
        <w:t>.</w:t>
      </w:r>
    </w:p>
    <w:p w:rsidR="009135AD" w:rsidRDefault="009135AD" w:rsidP="0095328E">
      <w:pPr>
        <w:autoSpaceDE w:val="0"/>
        <w:autoSpaceDN w:val="0"/>
        <w:adjustRightInd w:val="0"/>
        <w:rPr>
          <w:szCs w:val="24"/>
        </w:rPr>
      </w:pPr>
    </w:p>
    <w:p w:rsidR="009912C8" w:rsidRDefault="009912C8" w:rsidP="0095328E">
      <w:pPr>
        <w:autoSpaceDE w:val="0"/>
        <w:autoSpaceDN w:val="0"/>
        <w:adjustRightInd w:val="0"/>
      </w:pPr>
    </w:p>
    <w:p w:rsidR="009C19C7" w:rsidRDefault="009912C8" w:rsidP="00E0181B">
      <w:r>
        <w:br w:type="page"/>
      </w:r>
      <w:r w:rsidR="00E14E41">
        <w:lastRenderedPageBreak/>
        <w:t xml:space="preserve"> </w:t>
      </w:r>
    </w:p>
    <w:p w:rsidR="00EF5B09" w:rsidRDefault="004E6062" w:rsidP="005608F1">
      <w:pPr>
        <w:pStyle w:val="Heading1"/>
        <w:numPr>
          <w:ilvl w:val="0"/>
          <w:numId w:val="49"/>
        </w:numPr>
      </w:pPr>
      <w:r>
        <w:t xml:space="preserve">  </w:t>
      </w:r>
      <w:bookmarkStart w:id="14" w:name="_Toc313360095"/>
      <w:r w:rsidR="000E7BE8" w:rsidRPr="009A3B06">
        <w:t>CONCLUSIONS</w:t>
      </w:r>
      <w:bookmarkEnd w:id="14"/>
    </w:p>
    <w:p w:rsidR="006E6255" w:rsidRDefault="006E6255" w:rsidP="00B35229"/>
    <w:p w:rsidR="007D61F9" w:rsidRDefault="00F73FB5" w:rsidP="007D61F9">
      <w:pPr>
        <w:numPr>
          <w:ilvl w:val="0"/>
          <w:numId w:val="2"/>
        </w:numPr>
      </w:pPr>
      <w:r>
        <w:t xml:space="preserve">The cleanup actions completed at the </w:t>
      </w:r>
      <w:r w:rsidR="00D80B98">
        <w:t>Site</w:t>
      </w:r>
      <w:r>
        <w:t xml:space="preserve"> </w:t>
      </w:r>
      <w:r w:rsidR="00DC6D36">
        <w:t xml:space="preserve">appears to </w:t>
      </w:r>
      <w:r>
        <w:t>be protective of human health</w:t>
      </w:r>
      <w:r w:rsidR="00B3059E">
        <w:t xml:space="preserve"> and the environment</w:t>
      </w:r>
      <w:r w:rsidR="002A78E6">
        <w:t>.</w:t>
      </w:r>
    </w:p>
    <w:p w:rsidR="009E5897" w:rsidRDefault="009E5897" w:rsidP="009E5897"/>
    <w:p w:rsidR="00F73FB5" w:rsidRDefault="00710791" w:rsidP="00F73FB5">
      <w:pPr>
        <w:numPr>
          <w:ilvl w:val="0"/>
          <w:numId w:val="2"/>
        </w:numPr>
      </w:pPr>
      <w:r>
        <w:t>Soil</w:t>
      </w:r>
      <w:r w:rsidR="007F567D">
        <w:t xml:space="preserve"> </w:t>
      </w:r>
      <w:r w:rsidR="00F73FB5">
        <w:t xml:space="preserve">cleanup levels have not been met at the </w:t>
      </w:r>
      <w:r w:rsidR="00D80B98">
        <w:t>Site</w:t>
      </w:r>
      <w:r w:rsidR="00F73FB5">
        <w:t>; however, under WAC 173-340-740(6</w:t>
      </w:r>
      <w:r w:rsidR="00AB1034">
        <w:t>) (</w:t>
      </w:r>
      <w:r w:rsidR="00F73FB5">
        <w:t xml:space="preserve">d), the cleanup action </w:t>
      </w:r>
      <w:r w:rsidR="002A78E6">
        <w:t>could</w:t>
      </w:r>
      <w:r w:rsidR="00F73FB5">
        <w:t xml:space="preserve"> comply with cleanup standards</w:t>
      </w:r>
      <w:r w:rsidR="002A78E6">
        <w:t xml:space="preserve"> if</w:t>
      </w:r>
      <w:r w:rsidR="00F73FB5">
        <w:t xml:space="preserve"> the long-term integ</w:t>
      </w:r>
      <w:r w:rsidR="002A78E6">
        <w:t>rity of the containment system was</w:t>
      </w:r>
      <w:r w:rsidR="00F73FB5">
        <w:t xml:space="preserve"> ensured and the requirements for containment technologies in WAC 173-340-360(8) have been met. </w:t>
      </w:r>
    </w:p>
    <w:p w:rsidR="00DC6D36" w:rsidRDefault="00DC6D36" w:rsidP="00DC6D36">
      <w:pPr>
        <w:pStyle w:val="ListParagraph"/>
      </w:pPr>
    </w:p>
    <w:p w:rsidR="005E1BA6" w:rsidRPr="005E1BA6" w:rsidRDefault="00DC6D36" w:rsidP="00F73FB5">
      <w:pPr>
        <w:numPr>
          <w:ilvl w:val="0"/>
          <w:numId w:val="2"/>
        </w:numPr>
      </w:pPr>
      <w:r>
        <w:rPr>
          <w:szCs w:val="24"/>
        </w:rPr>
        <w:t xml:space="preserve">The </w:t>
      </w:r>
      <w:r w:rsidR="004D4646">
        <w:rPr>
          <w:szCs w:val="24"/>
        </w:rPr>
        <w:t xml:space="preserve">results of </w:t>
      </w:r>
      <w:r>
        <w:rPr>
          <w:szCs w:val="24"/>
        </w:rPr>
        <w:t xml:space="preserve">confirmation groundwater monitoring </w:t>
      </w:r>
      <w:r w:rsidR="0059092B">
        <w:rPr>
          <w:szCs w:val="24"/>
        </w:rPr>
        <w:t xml:space="preserve">showed slight exceedence of cis-1,2 DCE and VC concentrations; however, comparison of compliance monitoring results to the cleanup standards showed overall decreasing trends over the entire monitoring period of 16 years indicating that the contaminated materials contained within the landfill are not impacting the groundwater and may not pose a threat to groundwater.  </w:t>
      </w:r>
      <w:r w:rsidR="0059092B">
        <w:t xml:space="preserve">  </w:t>
      </w:r>
    </w:p>
    <w:p w:rsidR="00F73FB5" w:rsidRDefault="00F73FB5" w:rsidP="00F73FB5"/>
    <w:p w:rsidR="00F73FB5" w:rsidRDefault="00BE3EBF" w:rsidP="00F73FB5">
      <w:pPr>
        <w:numPr>
          <w:ilvl w:val="0"/>
          <w:numId w:val="2"/>
        </w:numPr>
      </w:pPr>
      <w:r>
        <w:t>The</w:t>
      </w:r>
      <w:r w:rsidR="00F73FB5">
        <w:t xml:space="preserve"> </w:t>
      </w:r>
      <w:r w:rsidR="00E110FC">
        <w:t>EC</w:t>
      </w:r>
      <w:r w:rsidR="00F73FB5">
        <w:t xml:space="preserve"> for the property </w:t>
      </w:r>
      <w:r>
        <w:t xml:space="preserve">is in place and will be </w:t>
      </w:r>
      <w:r w:rsidR="00F73FB5">
        <w:t xml:space="preserve">effective in protecting public health from exposure to hazardous substances and protecting the integrity of the cleanup action. </w:t>
      </w:r>
    </w:p>
    <w:p w:rsidR="00F73FB5" w:rsidRDefault="00F73FB5" w:rsidP="00F73FB5"/>
    <w:p w:rsidR="00F73FB5" w:rsidRDefault="00F73FB5" w:rsidP="00F73FB5">
      <w:r>
        <w:t xml:space="preserve">Based on this review, Ecology has determined that the </w:t>
      </w:r>
      <w:r w:rsidR="00E110FC">
        <w:t>remedial actions conducted at the</w:t>
      </w:r>
      <w:r w:rsidR="00CC72B6">
        <w:t xml:space="preserve"> </w:t>
      </w:r>
      <w:r w:rsidR="00E110FC">
        <w:t xml:space="preserve">Site </w:t>
      </w:r>
      <w:r w:rsidR="00CC72B6">
        <w:t xml:space="preserve">continue to be protective of human health and the environment.  The requirements of the EC </w:t>
      </w:r>
      <w:r w:rsidR="004538F7">
        <w:t>are being</w:t>
      </w:r>
      <w:r>
        <w:t xml:space="preserve"> satisfactorily </w:t>
      </w:r>
      <w:r w:rsidR="002A78E6">
        <w:t>followed</w:t>
      </w:r>
      <w:r w:rsidR="00CC72B6">
        <w:t xml:space="preserve"> and no additional remedial ac</w:t>
      </w:r>
      <w:r w:rsidR="00BE3EBF">
        <w:t>tions are required at this time.</w:t>
      </w:r>
      <w:r>
        <w:t xml:space="preserve">  It is the property owner’s responsibility to continue to inspect the </w:t>
      </w:r>
      <w:r w:rsidR="00D80B98">
        <w:t>Site</w:t>
      </w:r>
      <w:r>
        <w:t xml:space="preserve"> to assure that the integrity of the </w:t>
      </w:r>
      <w:r w:rsidR="00710791">
        <w:t xml:space="preserve">surface cover </w:t>
      </w:r>
      <w:r>
        <w:t>is maintained.</w:t>
      </w:r>
      <w:r w:rsidR="007D61F9">
        <w:t xml:space="preserve">  </w:t>
      </w:r>
    </w:p>
    <w:p w:rsidR="00362C5E" w:rsidRDefault="00362C5E" w:rsidP="00362C5E"/>
    <w:p w:rsidR="00362C5E" w:rsidRDefault="00362C5E" w:rsidP="005608F1">
      <w:pPr>
        <w:pStyle w:val="Heading2"/>
        <w:numPr>
          <w:ilvl w:val="1"/>
          <w:numId w:val="49"/>
        </w:numPr>
      </w:pPr>
      <w:bookmarkStart w:id="15" w:name="_Toc202327308"/>
      <w:bookmarkStart w:id="16" w:name="_Toc201723014"/>
      <w:bookmarkStart w:id="17" w:name="_Toc313360096"/>
      <w:r>
        <w:t>N</w:t>
      </w:r>
      <w:r w:rsidR="002B2C14">
        <w:t>ext</w:t>
      </w:r>
      <w:r>
        <w:t xml:space="preserve"> R</w:t>
      </w:r>
      <w:r w:rsidR="002B2C14">
        <w:t>eview</w:t>
      </w:r>
      <w:bookmarkEnd w:id="15"/>
      <w:bookmarkEnd w:id="16"/>
      <w:bookmarkEnd w:id="17"/>
    </w:p>
    <w:p w:rsidR="00362C5E" w:rsidRDefault="00362C5E" w:rsidP="00362C5E"/>
    <w:p w:rsidR="00876F44" w:rsidRPr="00E375CB" w:rsidRDefault="00362C5E" w:rsidP="00362C5E">
      <w:pPr>
        <w:rPr>
          <w:b/>
        </w:rPr>
      </w:pPr>
      <w:r>
        <w:t xml:space="preserve">The next review for the </w:t>
      </w:r>
      <w:r w:rsidR="00D80B98">
        <w:t>Site</w:t>
      </w:r>
      <w:r>
        <w:t xml:space="preserve"> will be scheduled five years from the date of this periodic review.  In the event that additional cleanup actions or institutional controls are required, the next periodic review will be scheduled five years from the completion of those activities.</w:t>
      </w:r>
      <w:r w:rsidR="00E375CB" w:rsidRPr="00E375CB">
        <w:rPr>
          <w:b/>
        </w:rPr>
        <w:br w:type="page"/>
      </w:r>
    </w:p>
    <w:p w:rsidR="006F2CA4" w:rsidRPr="009A3B06" w:rsidRDefault="004E6062" w:rsidP="005608F1">
      <w:pPr>
        <w:pStyle w:val="Heading1"/>
        <w:numPr>
          <w:ilvl w:val="0"/>
          <w:numId w:val="49"/>
        </w:numPr>
      </w:pPr>
      <w:r>
        <w:lastRenderedPageBreak/>
        <w:t xml:space="preserve">  </w:t>
      </w:r>
      <w:bookmarkStart w:id="18" w:name="_Toc313360097"/>
      <w:r w:rsidR="000E7BE8" w:rsidRPr="009A3B06">
        <w:t>REFERENCES</w:t>
      </w:r>
      <w:bookmarkEnd w:id="18"/>
    </w:p>
    <w:p w:rsidR="00CB32BE" w:rsidRDefault="00CB32BE" w:rsidP="00EC5819"/>
    <w:p w:rsidR="001153A3" w:rsidRDefault="00FE2298" w:rsidP="00EC5819">
      <w:r>
        <w:t>CH2M Hill, 1993.   Off-site Migration Pathway Assessment</w:t>
      </w:r>
      <w:r w:rsidR="00782DEC">
        <w:t>, BPA Tacoma Substation.  Prepared for Bonneville Power Administration.</w:t>
      </w:r>
    </w:p>
    <w:p w:rsidR="00782DEC" w:rsidRDefault="00782DEC" w:rsidP="00EC5819"/>
    <w:p w:rsidR="00782DEC" w:rsidRDefault="00782DEC" w:rsidP="00EC5819">
      <w:r>
        <w:t>CH2M Hill, 1996.   BPA/Oxychem Site,  Remedial Investigation and Feasibility Study Report.  Prepared for Bonneville Power Administration and Occidental Chemical Corporation.</w:t>
      </w:r>
    </w:p>
    <w:p w:rsidR="00782DEC" w:rsidRDefault="00782DEC" w:rsidP="00EC5819"/>
    <w:p w:rsidR="00782DEC" w:rsidRDefault="00782DEC" w:rsidP="00EC5819">
      <w:r>
        <w:t>Conestoga-Rovers and Associates (CRA), 1991.  Site Investigation, Bonneville Power Authority Property, Taylor Way, Tacoma, Washington.  Prepared for Occidental Chemical Corporation.</w:t>
      </w:r>
    </w:p>
    <w:p w:rsidR="00782DEC" w:rsidRDefault="00782DEC" w:rsidP="00EC5819"/>
    <w:p w:rsidR="00782DEC" w:rsidRDefault="00782DEC" w:rsidP="00EC5819">
      <w:r>
        <w:t xml:space="preserve">Conestoga-Rovers and Associates (CRA), 1993.  Preliminary Evaluation of </w:t>
      </w:r>
      <w:r w:rsidR="006D21A6">
        <w:t>Remedial Alternatives.  Bonneville Power Administration Property, Taylor Way, Tacoma, Washington.  Prepared for Occidental Chemical Corporation.</w:t>
      </w:r>
    </w:p>
    <w:p w:rsidR="006D21A6" w:rsidRDefault="006D21A6" w:rsidP="00EC5819"/>
    <w:p w:rsidR="006D21A6" w:rsidRDefault="006D21A6" w:rsidP="00EC5819">
      <w:r>
        <w:t>Hart Crowser, 1991a.  Final Investigation Report, East-West Road Property, Tacoma, Washington.  Prepared for the Port of Tacoma.</w:t>
      </w:r>
    </w:p>
    <w:p w:rsidR="006D21A6" w:rsidRDefault="006D21A6" w:rsidP="00EC5819"/>
    <w:p w:rsidR="006D21A6" w:rsidRDefault="006D21A6" w:rsidP="00EC5819">
      <w:r>
        <w:t>Hart Crowser, 1991b.  Final Investigation Report, Taylor Way Property, Tacoma, Washington.  Prepared for the Port of Tacoma.</w:t>
      </w:r>
    </w:p>
    <w:p w:rsidR="006D21A6" w:rsidRDefault="006D21A6" w:rsidP="00EC5819"/>
    <w:p w:rsidR="006D21A6" w:rsidRDefault="006D21A6" w:rsidP="00EC5819">
      <w:r>
        <w:t>Occidental Chemical Corporation, 1984.  Tacoma Off-Plant Disposal Site Investigation, Bonneville Power Administration.</w:t>
      </w:r>
    </w:p>
    <w:p w:rsidR="001153A3" w:rsidRDefault="001153A3" w:rsidP="00EC5819"/>
    <w:p w:rsidR="00846601" w:rsidRDefault="005405C7" w:rsidP="00313D99">
      <w:r>
        <w:t xml:space="preserve">Department of </w:t>
      </w:r>
      <w:r w:rsidR="002D4F74">
        <w:t>Ecology</w:t>
      </w:r>
      <w:r w:rsidR="004F7567">
        <w:t>,</w:t>
      </w:r>
      <w:r>
        <w:t xml:space="preserve"> </w:t>
      </w:r>
      <w:r w:rsidR="00920B13" w:rsidRPr="004F7567">
        <w:t>Site Visit</w:t>
      </w:r>
      <w:r w:rsidR="004F7567">
        <w:t>,</w:t>
      </w:r>
      <w:r w:rsidR="00920B13" w:rsidRPr="004F7567">
        <w:t xml:space="preserve"> </w:t>
      </w:r>
      <w:r w:rsidR="006D21A6">
        <w:t>May</w:t>
      </w:r>
      <w:r w:rsidR="00CC72B6">
        <w:rPr>
          <w:i/>
        </w:rPr>
        <w:t xml:space="preserve"> </w:t>
      </w:r>
      <w:r w:rsidR="006D21A6" w:rsidRPr="006D21A6">
        <w:t>5</w:t>
      </w:r>
      <w:r w:rsidR="00D26F38" w:rsidRPr="006D21A6">
        <w:t>,</w:t>
      </w:r>
      <w:r w:rsidR="00DE0689" w:rsidRPr="00DE0689">
        <w:t xml:space="preserve"> 2014</w:t>
      </w:r>
      <w:r w:rsidR="002D4F74">
        <w:t>.</w:t>
      </w:r>
    </w:p>
    <w:p w:rsidR="00105EE5" w:rsidRDefault="00105EE5" w:rsidP="0049725F">
      <w:pPr>
        <w:ind w:left="1080"/>
      </w:pPr>
    </w:p>
    <w:p w:rsidR="00181312" w:rsidRPr="00181312" w:rsidRDefault="00197389" w:rsidP="0049725F">
      <w:pPr>
        <w:ind w:left="1080"/>
      </w:pPr>
      <w:r>
        <w:t xml:space="preserve"> </w:t>
      </w:r>
      <w:r w:rsidR="00544A5D">
        <w:t xml:space="preserve"> </w:t>
      </w:r>
    </w:p>
    <w:p w:rsidR="0024789D" w:rsidRDefault="0024789D" w:rsidP="0024789D">
      <w:pPr>
        <w:jc w:val="center"/>
        <w:rPr>
          <w:b/>
        </w:rPr>
      </w:pPr>
    </w:p>
    <w:p w:rsidR="0024789D" w:rsidRDefault="0024789D" w:rsidP="0024789D">
      <w:pPr>
        <w:jc w:val="center"/>
        <w:rPr>
          <w:b/>
        </w:rPr>
      </w:pPr>
    </w:p>
    <w:p w:rsidR="00B9517A" w:rsidRDefault="009A3B06" w:rsidP="005608F1">
      <w:pPr>
        <w:pStyle w:val="Heading1"/>
        <w:numPr>
          <w:ilvl w:val="0"/>
          <w:numId w:val="49"/>
        </w:numPr>
      </w:pPr>
      <w:r>
        <w:br w:type="page"/>
      </w:r>
      <w:r w:rsidR="004E6062">
        <w:lastRenderedPageBreak/>
        <w:t xml:space="preserve">  </w:t>
      </w:r>
      <w:bookmarkStart w:id="19" w:name="_Toc313360098"/>
      <w:r w:rsidRPr="009A3B06">
        <w:t>APPENDICES</w:t>
      </w:r>
      <w:bookmarkEnd w:id="19"/>
    </w:p>
    <w:p w:rsidR="00B9517A" w:rsidRDefault="00B9517A" w:rsidP="005608F1">
      <w:pPr>
        <w:pStyle w:val="Heading2"/>
        <w:numPr>
          <w:ilvl w:val="1"/>
          <w:numId w:val="49"/>
        </w:numPr>
      </w:pPr>
      <w:r>
        <w:br w:type="page"/>
      </w:r>
      <w:bookmarkStart w:id="20" w:name="_Toc181689954"/>
      <w:bookmarkStart w:id="21" w:name="_Toc313360099"/>
      <w:bookmarkEnd w:id="20"/>
      <w:r w:rsidR="002A5290" w:rsidRPr="005A0ABF">
        <w:lastRenderedPageBreak/>
        <w:t>Vicinity</w:t>
      </w:r>
      <w:r w:rsidR="002A5290">
        <w:t xml:space="preserve"> Map</w:t>
      </w:r>
      <w:bookmarkEnd w:id="21"/>
    </w:p>
    <w:p w:rsidR="009139ED" w:rsidRDefault="009139ED" w:rsidP="00E92DED">
      <w:pPr>
        <w:jc w:val="center"/>
        <w:rPr>
          <w:noProof/>
        </w:rPr>
      </w:pPr>
    </w:p>
    <w:p w:rsidR="002A1C52" w:rsidRDefault="002A1C52" w:rsidP="00E92DED">
      <w:pPr>
        <w:jc w:val="center"/>
        <w:rPr>
          <w:noProof/>
        </w:rPr>
      </w:pPr>
    </w:p>
    <w:p w:rsidR="002A5290" w:rsidRDefault="00543402" w:rsidP="00543402">
      <w:pPr>
        <w:pStyle w:val="Heading2"/>
        <w:numPr>
          <w:ilvl w:val="0"/>
          <w:numId w:val="0"/>
        </w:numPr>
      </w:pPr>
      <w:r>
        <w:rPr>
          <w:noProof/>
        </w:rPr>
        <w:drawing>
          <wp:inline distT="0" distB="0" distL="0" distR="0">
            <wp:extent cx="5942949" cy="7296150"/>
            <wp:effectExtent l="19050" t="0" r="651"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5943600" cy="7296949"/>
                    </a:xfrm>
                    <a:prstGeom prst="rect">
                      <a:avLst/>
                    </a:prstGeom>
                    <a:noFill/>
                    <a:ln w="9525">
                      <a:noFill/>
                      <a:miter lim="800000"/>
                      <a:headEnd/>
                      <a:tailEnd/>
                    </a:ln>
                  </pic:spPr>
                </pic:pic>
              </a:graphicData>
            </a:graphic>
          </wp:inline>
        </w:drawing>
      </w:r>
      <w:r w:rsidR="002A5290">
        <w:br w:type="page"/>
      </w:r>
      <w:bookmarkStart w:id="22" w:name="_Toc313360100"/>
      <w:r w:rsidR="00F9172B">
        <w:lastRenderedPageBreak/>
        <w:t xml:space="preserve">6.2   </w:t>
      </w:r>
      <w:r w:rsidR="002A5290">
        <w:t>Site Plan</w:t>
      </w:r>
      <w:bookmarkEnd w:id="22"/>
    </w:p>
    <w:p w:rsidR="00C5446B" w:rsidRDefault="00C5446B" w:rsidP="00571362">
      <w:pPr>
        <w:rPr>
          <w:noProof/>
        </w:rPr>
      </w:pPr>
    </w:p>
    <w:p w:rsidR="00BE2250" w:rsidRDefault="00BE2250" w:rsidP="00571362">
      <w:pPr>
        <w:rPr>
          <w:noProof/>
        </w:rPr>
      </w:pPr>
    </w:p>
    <w:p w:rsidR="00F9172B" w:rsidRDefault="00F9172B" w:rsidP="00571362">
      <w:r>
        <w:rPr>
          <w:noProof/>
        </w:rPr>
        <w:drawing>
          <wp:inline distT="0" distB="0" distL="0" distR="0">
            <wp:extent cx="5942949" cy="7381875"/>
            <wp:effectExtent l="19050" t="0" r="651"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5943600" cy="7382684"/>
                    </a:xfrm>
                    <a:prstGeom prst="rect">
                      <a:avLst/>
                    </a:prstGeom>
                    <a:noFill/>
                    <a:ln w="9525">
                      <a:noFill/>
                      <a:miter lim="800000"/>
                      <a:headEnd/>
                      <a:tailEnd/>
                    </a:ln>
                  </pic:spPr>
                </pic:pic>
              </a:graphicData>
            </a:graphic>
          </wp:inline>
        </w:drawing>
      </w:r>
    </w:p>
    <w:p w:rsidR="00C56A98" w:rsidRDefault="00C56A98" w:rsidP="00C56A98">
      <w:pPr>
        <w:pStyle w:val="Heading2"/>
        <w:numPr>
          <w:ilvl w:val="0"/>
          <w:numId w:val="0"/>
        </w:numPr>
        <w:ind w:left="576" w:hanging="576"/>
      </w:pPr>
      <w:r>
        <w:rPr>
          <w:noProof/>
        </w:rPr>
        <w:lastRenderedPageBreak/>
        <w:drawing>
          <wp:inline distT="0" distB="0" distL="0" distR="0">
            <wp:extent cx="5943600" cy="7715250"/>
            <wp:effectExtent l="19050" t="0" r="0" b="0"/>
            <wp:docPr id="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srcRect/>
                    <a:stretch>
                      <a:fillRect/>
                    </a:stretch>
                  </pic:blipFill>
                  <pic:spPr bwMode="auto">
                    <a:xfrm>
                      <a:off x="0" y="0"/>
                      <a:ext cx="5943600" cy="7715250"/>
                    </a:xfrm>
                    <a:prstGeom prst="rect">
                      <a:avLst/>
                    </a:prstGeom>
                    <a:noFill/>
                    <a:ln w="9525">
                      <a:noFill/>
                      <a:miter lim="800000"/>
                      <a:headEnd/>
                      <a:tailEnd/>
                    </a:ln>
                  </pic:spPr>
                </pic:pic>
              </a:graphicData>
            </a:graphic>
          </wp:inline>
        </w:drawing>
      </w:r>
    </w:p>
    <w:p w:rsidR="00C56A98" w:rsidRPr="00C56A98" w:rsidRDefault="00C56A98" w:rsidP="00C56A98"/>
    <w:p w:rsidR="00C56A98" w:rsidRDefault="00C56A98" w:rsidP="00C56A98">
      <w:pPr>
        <w:pStyle w:val="Heading2"/>
        <w:numPr>
          <w:ilvl w:val="0"/>
          <w:numId w:val="0"/>
        </w:numPr>
        <w:ind w:left="576" w:hanging="576"/>
      </w:pPr>
    </w:p>
    <w:p w:rsidR="004F5B0C" w:rsidRDefault="00C56A98" w:rsidP="00C56A98">
      <w:pPr>
        <w:pStyle w:val="Heading2"/>
        <w:numPr>
          <w:ilvl w:val="0"/>
          <w:numId w:val="0"/>
        </w:numPr>
        <w:ind w:left="576" w:hanging="576"/>
      </w:pPr>
      <w:r>
        <w:t xml:space="preserve">6.3    </w:t>
      </w:r>
      <w:r w:rsidR="00F75A93">
        <w:t xml:space="preserve">1984, 1990 and 1991 </w:t>
      </w:r>
      <w:r w:rsidR="00802263">
        <w:t xml:space="preserve">Site </w:t>
      </w:r>
      <w:r w:rsidR="007A63FF">
        <w:t>Investigations Sampling Locations</w:t>
      </w:r>
    </w:p>
    <w:p w:rsidR="007A63FF" w:rsidRDefault="007A63FF" w:rsidP="00571362"/>
    <w:p w:rsidR="00F75A93" w:rsidRDefault="00F75A93" w:rsidP="00571362"/>
    <w:p w:rsidR="007A63FF" w:rsidRDefault="00F75A93" w:rsidP="00571362">
      <w:r>
        <w:rPr>
          <w:noProof/>
        </w:rPr>
        <w:drawing>
          <wp:inline distT="0" distB="0" distL="0" distR="0">
            <wp:extent cx="5486400" cy="7085257"/>
            <wp:effectExtent l="1905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5486400" cy="7085257"/>
                    </a:xfrm>
                    <a:prstGeom prst="rect">
                      <a:avLst/>
                    </a:prstGeom>
                    <a:noFill/>
                    <a:ln w="9525">
                      <a:noFill/>
                      <a:miter lim="800000"/>
                      <a:headEnd/>
                      <a:tailEnd/>
                    </a:ln>
                  </pic:spPr>
                </pic:pic>
              </a:graphicData>
            </a:graphic>
          </wp:inline>
        </w:drawing>
      </w:r>
      <w:r>
        <w:t xml:space="preserve"> </w:t>
      </w:r>
    </w:p>
    <w:p w:rsidR="00696D7C" w:rsidRDefault="00F75A93" w:rsidP="00696D7C">
      <w:pPr>
        <w:pStyle w:val="Heading2"/>
        <w:numPr>
          <w:ilvl w:val="0"/>
          <w:numId w:val="0"/>
        </w:numPr>
        <w:ind w:left="576"/>
      </w:pPr>
      <w:bookmarkStart w:id="23" w:name="_Toc313360101"/>
      <w:r>
        <w:rPr>
          <w:noProof/>
        </w:rPr>
        <w:lastRenderedPageBreak/>
        <w:drawing>
          <wp:inline distT="0" distB="0" distL="0" distR="0">
            <wp:extent cx="5581650" cy="7372350"/>
            <wp:effectExtent l="19050" t="0" r="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5581650" cy="7372350"/>
                    </a:xfrm>
                    <a:prstGeom prst="rect">
                      <a:avLst/>
                    </a:prstGeom>
                    <a:noFill/>
                    <a:ln w="9525">
                      <a:noFill/>
                      <a:miter lim="800000"/>
                      <a:headEnd/>
                      <a:tailEnd/>
                    </a:ln>
                  </pic:spPr>
                </pic:pic>
              </a:graphicData>
            </a:graphic>
          </wp:inline>
        </w:drawing>
      </w:r>
    </w:p>
    <w:bookmarkEnd w:id="23"/>
    <w:p w:rsidR="00F75A93" w:rsidRPr="00F75A93" w:rsidRDefault="00F75A93" w:rsidP="00F75A93">
      <w:pPr>
        <w:pStyle w:val="Heading2"/>
        <w:numPr>
          <w:ilvl w:val="0"/>
          <w:numId w:val="0"/>
        </w:numPr>
        <w:ind w:left="576"/>
        <w:rPr>
          <w:rFonts w:cs="Arial"/>
          <w:szCs w:val="28"/>
        </w:rPr>
      </w:pPr>
    </w:p>
    <w:p w:rsidR="00F75A93" w:rsidRPr="00F75A93" w:rsidRDefault="00F75A93" w:rsidP="00F75A93">
      <w:pPr>
        <w:pStyle w:val="Heading2"/>
        <w:numPr>
          <w:ilvl w:val="0"/>
          <w:numId w:val="0"/>
        </w:numPr>
        <w:ind w:left="576"/>
        <w:rPr>
          <w:rFonts w:cs="Arial"/>
          <w:szCs w:val="28"/>
        </w:rPr>
      </w:pPr>
    </w:p>
    <w:p w:rsidR="00F75A93" w:rsidRPr="00F75A93" w:rsidRDefault="00F75A93" w:rsidP="00F75A93">
      <w:pPr>
        <w:pStyle w:val="Heading2"/>
        <w:numPr>
          <w:ilvl w:val="0"/>
          <w:numId w:val="0"/>
        </w:numPr>
        <w:ind w:left="576"/>
        <w:rPr>
          <w:rFonts w:cs="Arial"/>
          <w:szCs w:val="28"/>
        </w:rPr>
      </w:pPr>
    </w:p>
    <w:p w:rsidR="00F75A93" w:rsidRPr="00F75A93" w:rsidRDefault="00F75A93" w:rsidP="00F75A93">
      <w:pPr>
        <w:pStyle w:val="Heading2"/>
        <w:numPr>
          <w:ilvl w:val="0"/>
          <w:numId w:val="0"/>
        </w:numPr>
        <w:ind w:left="576"/>
        <w:rPr>
          <w:rFonts w:cs="Arial"/>
          <w:szCs w:val="28"/>
        </w:rPr>
      </w:pPr>
    </w:p>
    <w:p w:rsidR="00BF212D" w:rsidRPr="00C83110" w:rsidRDefault="00F75A93" w:rsidP="00F75A93">
      <w:pPr>
        <w:pStyle w:val="Heading2"/>
        <w:numPr>
          <w:ilvl w:val="0"/>
          <w:numId w:val="0"/>
        </w:numPr>
        <w:ind w:left="576" w:hanging="576"/>
        <w:rPr>
          <w:rFonts w:cs="Arial"/>
          <w:szCs w:val="28"/>
        </w:rPr>
      </w:pPr>
      <w:r>
        <w:rPr>
          <w:rFonts w:cs="Arial"/>
          <w:noProof/>
          <w:szCs w:val="28"/>
        </w:rPr>
        <w:drawing>
          <wp:inline distT="0" distB="0" distL="0" distR="0">
            <wp:extent cx="5633825" cy="7275645"/>
            <wp:effectExtent l="19050" t="0" r="4975" b="0"/>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5633825" cy="7275645"/>
                    </a:xfrm>
                    <a:prstGeom prst="rect">
                      <a:avLst/>
                    </a:prstGeom>
                    <a:noFill/>
                    <a:ln w="9525">
                      <a:noFill/>
                      <a:miter lim="800000"/>
                      <a:headEnd/>
                      <a:tailEnd/>
                    </a:ln>
                  </pic:spPr>
                </pic:pic>
              </a:graphicData>
            </a:graphic>
          </wp:inline>
        </w:drawing>
      </w:r>
    </w:p>
    <w:p w:rsidR="00696D7C" w:rsidRDefault="00696D7C" w:rsidP="00696D7C">
      <w:pPr>
        <w:rPr>
          <w:noProof/>
        </w:rPr>
      </w:pPr>
    </w:p>
    <w:p w:rsidR="00C712D1" w:rsidRDefault="00C712D1" w:rsidP="00696D7C"/>
    <w:p w:rsidR="00696D7C" w:rsidRDefault="00696D7C" w:rsidP="00696D7C">
      <w:pPr>
        <w:rPr>
          <w:rFonts w:ascii="Arial" w:hAnsi="Arial" w:cs="Arial"/>
          <w:b/>
          <w:sz w:val="28"/>
          <w:szCs w:val="28"/>
        </w:rPr>
      </w:pPr>
      <w:r>
        <w:tab/>
      </w:r>
    </w:p>
    <w:p w:rsidR="00F51246" w:rsidRPr="00C53879" w:rsidRDefault="00F75A93" w:rsidP="00696D7C">
      <w:pPr>
        <w:rPr>
          <w:rFonts w:ascii="Arial" w:hAnsi="Arial" w:cs="Arial"/>
          <w:b/>
          <w:sz w:val="28"/>
          <w:szCs w:val="28"/>
        </w:rPr>
      </w:pPr>
      <w:r>
        <w:rPr>
          <w:rFonts w:ascii="Arial" w:hAnsi="Arial" w:cs="Arial"/>
          <w:b/>
          <w:noProof/>
          <w:sz w:val="28"/>
          <w:szCs w:val="28"/>
        </w:rPr>
        <w:lastRenderedPageBreak/>
        <w:drawing>
          <wp:inline distT="0" distB="0" distL="0" distR="0">
            <wp:extent cx="5943600" cy="7675695"/>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5943600" cy="7675695"/>
                    </a:xfrm>
                    <a:prstGeom prst="rect">
                      <a:avLst/>
                    </a:prstGeom>
                    <a:noFill/>
                    <a:ln w="9525">
                      <a:noFill/>
                      <a:miter lim="800000"/>
                      <a:headEnd/>
                      <a:tailEnd/>
                    </a:ln>
                  </pic:spPr>
                </pic:pic>
              </a:graphicData>
            </a:graphic>
          </wp:inline>
        </w:drawing>
      </w:r>
    </w:p>
    <w:p w:rsidR="00696D7C" w:rsidRPr="00C83110" w:rsidRDefault="00696D7C" w:rsidP="00696D7C">
      <w:pPr>
        <w:rPr>
          <w:b/>
        </w:rPr>
      </w:pPr>
    </w:p>
    <w:p w:rsidR="003232C9" w:rsidRDefault="00F75A93" w:rsidP="00F75A93">
      <w:pPr>
        <w:pStyle w:val="Heading2"/>
        <w:numPr>
          <w:ilvl w:val="1"/>
          <w:numId w:val="48"/>
        </w:numPr>
      </w:pPr>
      <w:r>
        <w:lastRenderedPageBreak/>
        <w:t xml:space="preserve">    Landfill / Containment Facility </w:t>
      </w:r>
      <w:r w:rsidR="008E2FED">
        <w:t xml:space="preserve">Layout </w:t>
      </w:r>
      <w:r>
        <w:t>and Cap Cross-Section</w:t>
      </w:r>
    </w:p>
    <w:p w:rsidR="00C56A98" w:rsidRDefault="00C56A98" w:rsidP="00C56A98"/>
    <w:p w:rsidR="00C56A98" w:rsidRDefault="00C56A98" w:rsidP="00C56A98"/>
    <w:p w:rsidR="00C56A98" w:rsidRPr="00C56A98" w:rsidRDefault="00C56A98" w:rsidP="00C56A98">
      <w:r>
        <w:rPr>
          <w:noProof/>
        </w:rPr>
        <w:drawing>
          <wp:inline distT="0" distB="0" distL="0" distR="0">
            <wp:extent cx="5943600" cy="7134225"/>
            <wp:effectExtent l="19050" t="0" r="0" b="0"/>
            <wp:docPr id="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srcRect/>
                    <a:stretch>
                      <a:fillRect/>
                    </a:stretch>
                  </pic:blipFill>
                  <pic:spPr bwMode="auto">
                    <a:xfrm>
                      <a:off x="0" y="0"/>
                      <a:ext cx="5943600" cy="7134225"/>
                    </a:xfrm>
                    <a:prstGeom prst="rect">
                      <a:avLst/>
                    </a:prstGeom>
                    <a:noFill/>
                    <a:ln w="9525">
                      <a:noFill/>
                      <a:miter lim="800000"/>
                      <a:headEnd/>
                      <a:tailEnd/>
                    </a:ln>
                  </pic:spPr>
                </pic:pic>
              </a:graphicData>
            </a:graphic>
          </wp:inline>
        </w:drawing>
      </w:r>
    </w:p>
    <w:p w:rsidR="00D65670" w:rsidRDefault="00D65670" w:rsidP="00D65670"/>
    <w:p w:rsidR="00D65670" w:rsidRPr="00D65670" w:rsidRDefault="00D65670" w:rsidP="00D65670"/>
    <w:p w:rsidR="008E2FED" w:rsidRDefault="008E2FED" w:rsidP="00696D7C">
      <w:pPr>
        <w:rPr>
          <w:rFonts w:ascii="Arial" w:hAnsi="Arial" w:cs="Arial"/>
          <w:b/>
          <w:sz w:val="28"/>
          <w:szCs w:val="28"/>
        </w:rPr>
      </w:pPr>
      <w:r>
        <w:rPr>
          <w:rFonts w:ascii="Arial" w:hAnsi="Arial" w:cs="Arial"/>
          <w:b/>
          <w:noProof/>
          <w:sz w:val="28"/>
          <w:szCs w:val="28"/>
        </w:rPr>
        <w:lastRenderedPageBreak/>
        <w:drawing>
          <wp:inline distT="0" distB="0" distL="0" distR="0">
            <wp:extent cx="5553075" cy="7171362"/>
            <wp:effectExtent l="19050" t="0" r="9525" b="0"/>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5553075" cy="7171362"/>
                    </a:xfrm>
                    <a:prstGeom prst="rect">
                      <a:avLst/>
                    </a:prstGeom>
                    <a:noFill/>
                    <a:ln w="9525">
                      <a:noFill/>
                      <a:miter lim="800000"/>
                      <a:headEnd/>
                      <a:tailEnd/>
                    </a:ln>
                  </pic:spPr>
                </pic:pic>
              </a:graphicData>
            </a:graphic>
          </wp:inline>
        </w:drawing>
      </w:r>
    </w:p>
    <w:p w:rsidR="008E2FED" w:rsidRDefault="008E2FED" w:rsidP="00696D7C">
      <w:pPr>
        <w:rPr>
          <w:rFonts w:ascii="Arial" w:hAnsi="Arial" w:cs="Arial"/>
          <w:b/>
          <w:sz w:val="28"/>
          <w:szCs w:val="28"/>
        </w:rPr>
      </w:pPr>
    </w:p>
    <w:p w:rsidR="008E2FED" w:rsidRPr="00AA151F" w:rsidRDefault="008E2FED" w:rsidP="00696D7C">
      <w:pPr>
        <w:rPr>
          <w:rFonts w:ascii="Arial" w:hAnsi="Arial" w:cs="Arial"/>
          <w:b/>
          <w:sz w:val="28"/>
          <w:szCs w:val="28"/>
        </w:rPr>
      </w:pPr>
      <w:r>
        <w:rPr>
          <w:rFonts w:ascii="Arial" w:hAnsi="Arial" w:cs="Arial"/>
          <w:b/>
          <w:noProof/>
          <w:sz w:val="28"/>
          <w:szCs w:val="28"/>
        </w:rPr>
        <w:lastRenderedPageBreak/>
        <w:drawing>
          <wp:inline distT="0" distB="0" distL="0" distR="0">
            <wp:extent cx="5943600" cy="7675695"/>
            <wp:effectExtent l="19050" t="0" r="0" b="0"/>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5943600" cy="7675695"/>
                    </a:xfrm>
                    <a:prstGeom prst="rect">
                      <a:avLst/>
                    </a:prstGeom>
                    <a:noFill/>
                    <a:ln w="9525">
                      <a:noFill/>
                      <a:miter lim="800000"/>
                      <a:headEnd/>
                      <a:tailEnd/>
                    </a:ln>
                  </pic:spPr>
                </pic:pic>
              </a:graphicData>
            </a:graphic>
          </wp:inline>
        </w:drawing>
      </w:r>
    </w:p>
    <w:p w:rsidR="00AA151F" w:rsidRDefault="00AA151F" w:rsidP="00696D7C"/>
    <w:p w:rsidR="008E2FED" w:rsidRDefault="008E2FED" w:rsidP="008E2FED">
      <w:pPr>
        <w:pStyle w:val="Heading2"/>
        <w:numPr>
          <w:ilvl w:val="1"/>
          <w:numId w:val="48"/>
        </w:numPr>
        <w:rPr>
          <w:szCs w:val="28"/>
        </w:rPr>
      </w:pPr>
      <w:r w:rsidRPr="008E2FED">
        <w:rPr>
          <w:szCs w:val="28"/>
        </w:rPr>
        <w:lastRenderedPageBreak/>
        <w:t>Compliance Groundwater Monitoring:  Monitoring Well Locations</w:t>
      </w:r>
      <w:r>
        <w:rPr>
          <w:szCs w:val="28"/>
        </w:rPr>
        <w:t xml:space="preserve">, </w:t>
      </w:r>
      <w:r w:rsidR="005D6219">
        <w:rPr>
          <w:szCs w:val="28"/>
        </w:rPr>
        <w:t xml:space="preserve">cis-1,2 DCE and Vinyl Chloride </w:t>
      </w:r>
      <w:r>
        <w:rPr>
          <w:szCs w:val="28"/>
        </w:rPr>
        <w:t>Concentrations Trend</w:t>
      </w:r>
      <w:r w:rsidRPr="008E2FED">
        <w:rPr>
          <w:szCs w:val="28"/>
        </w:rPr>
        <w:t xml:space="preserve"> and</w:t>
      </w:r>
      <w:r>
        <w:rPr>
          <w:szCs w:val="28"/>
        </w:rPr>
        <w:t xml:space="preserve"> November 2013 Sampling Results</w:t>
      </w:r>
    </w:p>
    <w:p w:rsidR="005D6219" w:rsidRDefault="005D6219" w:rsidP="005D6219"/>
    <w:p w:rsidR="005D6219" w:rsidRPr="005D6219" w:rsidRDefault="005D6219" w:rsidP="005D6219">
      <w:r>
        <w:rPr>
          <w:noProof/>
        </w:rPr>
        <w:drawing>
          <wp:inline distT="0" distB="0" distL="0" distR="0">
            <wp:extent cx="5942949" cy="6896100"/>
            <wp:effectExtent l="19050" t="0" r="651" b="0"/>
            <wp:docPr id="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5943600" cy="6896856"/>
                    </a:xfrm>
                    <a:prstGeom prst="rect">
                      <a:avLst/>
                    </a:prstGeom>
                    <a:noFill/>
                    <a:ln w="9525">
                      <a:noFill/>
                      <a:miter lim="800000"/>
                      <a:headEnd/>
                      <a:tailEnd/>
                    </a:ln>
                  </pic:spPr>
                </pic:pic>
              </a:graphicData>
            </a:graphic>
          </wp:inline>
        </w:drawing>
      </w:r>
    </w:p>
    <w:p w:rsidR="008E2FED" w:rsidRDefault="008E2FED" w:rsidP="008E2FED"/>
    <w:p w:rsidR="008E2FED" w:rsidRDefault="008E2FED" w:rsidP="008E2FED"/>
    <w:p w:rsidR="005D6219" w:rsidRPr="008E2FED" w:rsidRDefault="005D6219" w:rsidP="008E2FED">
      <w:r>
        <w:rPr>
          <w:noProof/>
        </w:rPr>
        <w:lastRenderedPageBreak/>
        <w:drawing>
          <wp:inline distT="0" distB="0" distL="0" distR="0">
            <wp:extent cx="5942949" cy="7458075"/>
            <wp:effectExtent l="19050" t="0" r="651" b="0"/>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5943600" cy="7458892"/>
                    </a:xfrm>
                    <a:prstGeom prst="rect">
                      <a:avLst/>
                    </a:prstGeom>
                    <a:noFill/>
                    <a:ln w="9525">
                      <a:noFill/>
                      <a:miter lim="800000"/>
                      <a:headEnd/>
                      <a:tailEnd/>
                    </a:ln>
                  </pic:spPr>
                </pic:pic>
              </a:graphicData>
            </a:graphic>
          </wp:inline>
        </w:drawing>
      </w:r>
    </w:p>
    <w:p w:rsidR="005D6219" w:rsidRDefault="000D7414" w:rsidP="00696D7C">
      <w:pPr>
        <w:rPr>
          <w:b/>
          <w:sz w:val="28"/>
          <w:szCs w:val="28"/>
        </w:rPr>
      </w:pPr>
      <w:r>
        <w:rPr>
          <w:b/>
          <w:sz w:val="28"/>
          <w:szCs w:val="28"/>
        </w:rPr>
        <w:t xml:space="preserve">     </w:t>
      </w:r>
    </w:p>
    <w:p w:rsidR="00283D28" w:rsidRPr="00A328F0" w:rsidRDefault="005D6219" w:rsidP="00696D7C">
      <w:pPr>
        <w:rPr>
          <w:b/>
          <w:sz w:val="28"/>
          <w:szCs w:val="28"/>
        </w:rPr>
      </w:pPr>
      <w:r>
        <w:rPr>
          <w:b/>
          <w:noProof/>
          <w:sz w:val="28"/>
          <w:szCs w:val="28"/>
        </w:rPr>
        <w:lastRenderedPageBreak/>
        <w:drawing>
          <wp:inline distT="0" distB="0" distL="0" distR="0">
            <wp:extent cx="5561965" cy="7677150"/>
            <wp:effectExtent l="19050" t="0" r="635" b="0"/>
            <wp:docPr id="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5562558" cy="7677969"/>
                    </a:xfrm>
                    <a:prstGeom prst="rect">
                      <a:avLst/>
                    </a:prstGeom>
                    <a:noFill/>
                    <a:ln w="9525">
                      <a:noFill/>
                      <a:miter lim="800000"/>
                      <a:headEnd/>
                      <a:tailEnd/>
                    </a:ln>
                  </pic:spPr>
                </pic:pic>
              </a:graphicData>
            </a:graphic>
          </wp:inline>
        </w:drawing>
      </w:r>
      <w:r w:rsidR="00AA151F">
        <w:rPr>
          <w:b/>
          <w:sz w:val="28"/>
          <w:szCs w:val="28"/>
        </w:rPr>
        <w:t xml:space="preserve"> </w:t>
      </w:r>
    </w:p>
    <w:p w:rsidR="00283D28" w:rsidRDefault="00283D28" w:rsidP="00696D7C">
      <w:pPr>
        <w:rPr>
          <w:noProof/>
        </w:rPr>
      </w:pPr>
    </w:p>
    <w:p w:rsidR="00722318" w:rsidRDefault="005D6219" w:rsidP="00696D7C">
      <w:r>
        <w:rPr>
          <w:noProof/>
        </w:rPr>
        <w:lastRenderedPageBreak/>
        <w:drawing>
          <wp:inline distT="0" distB="0" distL="0" distR="0">
            <wp:extent cx="5943600" cy="7675695"/>
            <wp:effectExtent l="19050" t="0" r="0" b="0"/>
            <wp:docPr id="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5943600" cy="7675695"/>
                    </a:xfrm>
                    <a:prstGeom prst="rect">
                      <a:avLst/>
                    </a:prstGeom>
                    <a:noFill/>
                    <a:ln w="9525">
                      <a:noFill/>
                      <a:miter lim="800000"/>
                      <a:headEnd/>
                      <a:tailEnd/>
                    </a:ln>
                  </pic:spPr>
                </pic:pic>
              </a:graphicData>
            </a:graphic>
          </wp:inline>
        </w:drawing>
      </w:r>
    </w:p>
    <w:p w:rsidR="00D209E8" w:rsidRDefault="00D209E8" w:rsidP="00696D7C">
      <w:pPr>
        <w:rPr>
          <w:b/>
          <w:sz w:val="28"/>
          <w:szCs w:val="28"/>
        </w:rPr>
      </w:pPr>
    </w:p>
    <w:p w:rsidR="00C53879" w:rsidRPr="000A7FF2" w:rsidRDefault="000A7FF2" w:rsidP="000A7FF2">
      <w:pPr>
        <w:pStyle w:val="Heading2"/>
        <w:numPr>
          <w:ilvl w:val="1"/>
          <w:numId w:val="48"/>
        </w:numPr>
        <w:rPr>
          <w:rFonts w:cs="Arial"/>
          <w:szCs w:val="28"/>
        </w:rPr>
      </w:pPr>
      <w:r>
        <w:rPr>
          <w:rFonts w:cs="Arial"/>
          <w:szCs w:val="28"/>
        </w:rPr>
        <w:lastRenderedPageBreak/>
        <w:t xml:space="preserve">Quit Claim Deed and </w:t>
      </w:r>
      <w:r w:rsidR="00D7471C" w:rsidRPr="000A7FF2">
        <w:rPr>
          <w:rFonts w:cs="Arial"/>
          <w:szCs w:val="28"/>
        </w:rPr>
        <w:t>Environmental</w:t>
      </w:r>
      <w:r w:rsidR="00C53879" w:rsidRPr="000A7FF2">
        <w:rPr>
          <w:rFonts w:cs="Arial"/>
          <w:szCs w:val="28"/>
        </w:rPr>
        <w:t xml:space="preserve"> Covenant</w:t>
      </w:r>
    </w:p>
    <w:p w:rsidR="000A7FF2" w:rsidRDefault="000A7FF2" w:rsidP="00696D7C">
      <w:pPr>
        <w:rPr>
          <w:rFonts w:ascii="Arial" w:hAnsi="Arial" w:cs="Arial"/>
          <w:b/>
          <w:sz w:val="28"/>
          <w:szCs w:val="28"/>
        </w:rPr>
      </w:pPr>
    </w:p>
    <w:p w:rsidR="000A7FF2" w:rsidRDefault="000A7FF2" w:rsidP="00696D7C">
      <w:pPr>
        <w:rPr>
          <w:rFonts w:ascii="Arial" w:hAnsi="Arial" w:cs="Arial"/>
          <w:b/>
          <w:sz w:val="28"/>
          <w:szCs w:val="28"/>
        </w:rPr>
      </w:pPr>
    </w:p>
    <w:p w:rsidR="000A7FF2" w:rsidRPr="00C53879" w:rsidRDefault="000A7FF2" w:rsidP="00696D7C">
      <w:pPr>
        <w:rPr>
          <w:rFonts w:ascii="Arial" w:hAnsi="Arial" w:cs="Arial"/>
          <w:b/>
          <w:sz w:val="28"/>
          <w:szCs w:val="28"/>
        </w:rPr>
      </w:pPr>
      <w:r>
        <w:rPr>
          <w:rFonts w:ascii="Arial" w:hAnsi="Arial" w:cs="Arial"/>
          <w:b/>
          <w:noProof/>
          <w:sz w:val="28"/>
          <w:szCs w:val="28"/>
        </w:rPr>
        <w:drawing>
          <wp:inline distT="0" distB="0" distL="0" distR="0">
            <wp:extent cx="5418873" cy="7082282"/>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5418873" cy="7082282"/>
                    </a:xfrm>
                    <a:prstGeom prst="rect">
                      <a:avLst/>
                    </a:prstGeom>
                    <a:noFill/>
                    <a:ln w="9525">
                      <a:noFill/>
                      <a:miter lim="800000"/>
                      <a:headEnd/>
                      <a:tailEnd/>
                    </a:ln>
                  </pic:spPr>
                </pic:pic>
              </a:graphicData>
            </a:graphic>
          </wp:inline>
        </w:drawing>
      </w:r>
    </w:p>
    <w:p w:rsidR="00110A4F" w:rsidRDefault="00110A4F" w:rsidP="004E0ABA">
      <w:pPr>
        <w:rPr>
          <w:noProof/>
        </w:rPr>
      </w:pPr>
    </w:p>
    <w:p w:rsidR="000A7FF2" w:rsidRDefault="000A7FF2" w:rsidP="004E0ABA">
      <w:pPr>
        <w:rPr>
          <w:noProof/>
        </w:rPr>
      </w:pPr>
    </w:p>
    <w:p w:rsidR="00E52A96" w:rsidRDefault="00E52A96" w:rsidP="004E0ABA">
      <w:pPr>
        <w:rPr>
          <w:noProof/>
        </w:rPr>
      </w:pPr>
    </w:p>
    <w:p w:rsidR="00E52A96" w:rsidRDefault="00E52A96" w:rsidP="004E0ABA">
      <w:pPr>
        <w:rPr>
          <w:noProof/>
        </w:rPr>
      </w:pPr>
    </w:p>
    <w:p w:rsidR="000A7FF2" w:rsidRDefault="000A7FF2" w:rsidP="004E0ABA">
      <w:pPr>
        <w:rPr>
          <w:noProof/>
        </w:rPr>
      </w:pPr>
      <w:r>
        <w:rPr>
          <w:noProof/>
        </w:rPr>
        <w:drawing>
          <wp:inline distT="0" distB="0" distL="0" distR="0">
            <wp:extent cx="5665461" cy="7458075"/>
            <wp:effectExtent l="1905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5668500" cy="7462076"/>
                    </a:xfrm>
                    <a:prstGeom prst="rect">
                      <a:avLst/>
                    </a:prstGeom>
                    <a:noFill/>
                    <a:ln w="9525">
                      <a:noFill/>
                      <a:miter lim="800000"/>
                      <a:headEnd/>
                      <a:tailEnd/>
                    </a:ln>
                  </pic:spPr>
                </pic:pic>
              </a:graphicData>
            </a:graphic>
          </wp:inline>
        </w:drawing>
      </w:r>
    </w:p>
    <w:p w:rsidR="00C827F7" w:rsidRDefault="00E52A96" w:rsidP="004E0ABA">
      <w:r>
        <w:rPr>
          <w:noProof/>
        </w:rPr>
        <w:lastRenderedPageBreak/>
        <w:drawing>
          <wp:inline distT="0" distB="0" distL="0" distR="0">
            <wp:extent cx="5943600" cy="7817202"/>
            <wp:effectExtent l="1905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5943600" cy="7817202"/>
                    </a:xfrm>
                    <a:prstGeom prst="rect">
                      <a:avLst/>
                    </a:prstGeom>
                    <a:noFill/>
                    <a:ln w="9525">
                      <a:noFill/>
                      <a:miter lim="800000"/>
                      <a:headEnd/>
                      <a:tailEnd/>
                    </a:ln>
                  </pic:spPr>
                </pic:pic>
              </a:graphicData>
            </a:graphic>
          </wp:inline>
        </w:drawing>
      </w:r>
      <w:r w:rsidR="004E6062" w:rsidRPr="00AB6B9F">
        <w:br w:type="page"/>
      </w:r>
    </w:p>
    <w:p w:rsidR="00E52A96" w:rsidRDefault="00E52A96" w:rsidP="004E0ABA">
      <w:r>
        <w:rPr>
          <w:noProof/>
        </w:rPr>
        <w:lastRenderedPageBreak/>
        <w:drawing>
          <wp:inline distT="0" distB="0" distL="0" distR="0">
            <wp:extent cx="5943600" cy="7838254"/>
            <wp:effectExtent l="1905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5943600" cy="7838254"/>
                    </a:xfrm>
                    <a:prstGeom prst="rect">
                      <a:avLst/>
                    </a:prstGeom>
                    <a:noFill/>
                    <a:ln w="9525">
                      <a:noFill/>
                      <a:miter lim="800000"/>
                      <a:headEnd/>
                      <a:tailEnd/>
                    </a:ln>
                  </pic:spPr>
                </pic:pic>
              </a:graphicData>
            </a:graphic>
          </wp:inline>
        </w:drawing>
      </w:r>
      <w:r>
        <w:rPr>
          <w:noProof/>
        </w:rPr>
        <w:lastRenderedPageBreak/>
        <w:drawing>
          <wp:inline distT="0" distB="0" distL="0" distR="0">
            <wp:extent cx="5943600" cy="7718961"/>
            <wp:effectExtent l="1905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5943600" cy="7718961"/>
                    </a:xfrm>
                    <a:prstGeom prst="rect">
                      <a:avLst/>
                    </a:prstGeom>
                    <a:noFill/>
                    <a:ln w="9525">
                      <a:noFill/>
                      <a:miter lim="800000"/>
                      <a:headEnd/>
                      <a:tailEnd/>
                    </a:ln>
                  </pic:spPr>
                </pic:pic>
              </a:graphicData>
            </a:graphic>
          </wp:inline>
        </w:drawing>
      </w:r>
    </w:p>
    <w:p w:rsidR="00E52A96" w:rsidRDefault="00E52A96" w:rsidP="004E0ABA"/>
    <w:p w:rsidR="00E52A96" w:rsidRDefault="00E52A96" w:rsidP="004E0ABA"/>
    <w:p w:rsidR="00E52A96" w:rsidRDefault="00E52A96" w:rsidP="004E0ABA">
      <w:r>
        <w:rPr>
          <w:noProof/>
        </w:rPr>
        <w:lastRenderedPageBreak/>
        <w:drawing>
          <wp:inline distT="0" distB="0" distL="0" distR="0">
            <wp:extent cx="5943600" cy="7704927"/>
            <wp:effectExtent l="19050" t="0" r="0" b="0"/>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5943600" cy="7704927"/>
                    </a:xfrm>
                    <a:prstGeom prst="rect">
                      <a:avLst/>
                    </a:prstGeom>
                    <a:noFill/>
                    <a:ln w="9525">
                      <a:noFill/>
                      <a:miter lim="800000"/>
                      <a:headEnd/>
                      <a:tailEnd/>
                    </a:ln>
                  </pic:spPr>
                </pic:pic>
              </a:graphicData>
            </a:graphic>
          </wp:inline>
        </w:drawing>
      </w:r>
    </w:p>
    <w:p w:rsidR="00E52A96" w:rsidRDefault="00E52A96" w:rsidP="004E0ABA">
      <w:r>
        <w:rPr>
          <w:noProof/>
        </w:rPr>
        <w:lastRenderedPageBreak/>
        <w:drawing>
          <wp:inline distT="0" distB="0" distL="0" distR="0">
            <wp:extent cx="5943600" cy="9817115"/>
            <wp:effectExtent l="19050" t="0" r="0" b="0"/>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5943600" cy="9817115"/>
                    </a:xfrm>
                    <a:prstGeom prst="rect">
                      <a:avLst/>
                    </a:prstGeom>
                    <a:noFill/>
                    <a:ln w="9525">
                      <a:noFill/>
                      <a:miter lim="800000"/>
                      <a:headEnd/>
                      <a:tailEnd/>
                    </a:ln>
                  </pic:spPr>
                </pic:pic>
              </a:graphicData>
            </a:graphic>
          </wp:inline>
        </w:drawing>
      </w:r>
    </w:p>
    <w:p w:rsidR="00E52A96" w:rsidRDefault="00E52A96" w:rsidP="004E0ABA"/>
    <w:p w:rsidR="00E52A96" w:rsidRPr="002E6C4F" w:rsidRDefault="00E52A96" w:rsidP="004E0ABA">
      <w:pPr>
        <w:rPr>
          <w:rFonts w:ascii="Arial" w:hAnsi="Arial" w:cs="Arial"/>
          <w:b/>
          <w:sz w:val="28"/>
          <w:szCs w:val="28"/>
        </w:rPr>
      </w:pPr>
      <w:r w:rsidRPr="002E6C4F">
        <w:rPr>
          <w:rFonts w:ascii="Arial" w:hAnsi="Arial" w:cs="Arial"/>
          <w:b/>
          <w:sz w:val="28"/>
          <w:szCs w:val="28"/>
        </w:rPr>
        <w:t>Restrictive Covenant</w:t>
      </w:r>
    </w:p>
    <w:p w:rsidR="00E52A96" w:rsidRDefault="00E52A96" w:rsidP="004E0ABA"/>
    <w:p w:rsidR="00E52A96" w:rsidRDefault="00E52A96" w:rsidP="004E0ABA">
      <w:r>
        <w:rPr>
          <w:noProof/>
        </w:rPr>
        <w:drawing>
          <wp:inline distT="0" distB="0" distL="0" distR="0">
            <wp:extent cx="5495797" cy="7247704"/>
            <wp:effectExtent l="19050" t="0" r="0"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srcRect/>
                    <a:stretch>
                      <a:fillRect/>
                    </a:stretch>
                  </pic:blipFill>
                  <pic:spPr bwMode="auto">
                    <a:xfrm>
                      <a:off x="0" y="0"/>
                      <a:ext cx="5495797" cy="7247704"/>
                    </a:xfrm>
                    <a:prstGeom prst="rect">
                      <a:avLst/>
                    </a:prstGeom>
                    <a:noFill/>
                    <a:ln w="9525">
                      <a:noFill/>
                      <a:miter lim="800000"/>
                      <a:headEnd/>
                      <a:tailEnd/>
                    </a:ln>
                  </pic:spPr>
                </pic:pic>
              </a:graphicData>
            </a:graphic>
          </wp:inline>
        </w:drawing>
      </w:r>
    </w:p>
    <w:p w:rsidR="00E52A96" w:rsidRDefault="00E52A96" w:rsidP="004E0ABA"/>
    <w:p w:rsidR="009C529F" w:rsidRDefault="009C529F" w:rsidP="004E0ABA">
      <w:r>
        <w:rPr>
          <w:noProof/>
        </w:rPr>
        <w:lastRenderedPageBreak/>
        <w:drawing>
          <wp:inline distT="0" distB="0" distL="0" distR="0">
            <wp:extent cx="5943600" cy="7852289"/>
            <wp:effectExtent l="19050" t="0" r="0" b="0"/>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srcRect/>
                    <a:stretch>
                      <a:fillRect/>
                    </a:stretch>
                  </pic:blipFill>
                  <pic:spPr bwMode="auto">
                    <a:xfrm>
                      <a:off x="0" y="0"/>
                      <a:ext cx="5943600" cy="7852289"/>
                    </a:xfrm>
                    <a:prstGeom prst="rect">
                      <a:avLst/>
                    </a:prstGeom>
                    <a:noFill/>
                    <a:ln w="9525">
                      <a:noFill/>
                      <a:miter lim="800000"/>
                      <a:headEnd/>
                      <a:tailEnd/>
                    </a:ln>
                  </pic:spPr>
                </pic:pic>
              </a:graphicData>
            </a:graphic>
          </wp:inline>
        </w:drawing>
      </w:r>
    </w:p>
    <w:p w:rsidR="00E52A96" w:rsidRDefault="00E52A96" w:rsidP="004E0ABA"/>
    <w:p w:rsidR="00E95BB9" w:rsidRDefault="000C26A5" w:rsidP="000C26A5">
      <w:pPr>
        <w:pStyle w:val="Heading2"/>
        <w:numPr>
          <w:ilvl w:val="1"/>
          <w:numId w:val="48"/>
        </w:numPr>
        <w:rPr>
          <w:noProof/>
        </w:rPr>
      </w:pPr>
      <w:r>
        <w:rPr>
          <w:noProof/>
        </w:rPr>
        <w:lastRenderedPageBreak/>
        <w:t>Photo Log</w:t>
      </w:r>
    </w:p>
    <w:p w:rsidR="000C26A5" w:rsidRDefault="000C26A5" w:rsidP="000C26A5"/>
    <w:p w:rsidR="00E95BB9" w:rsidRDefault="009C529F" w:rsidP="00D85396">
      <w:pPr>
        <w:rPr>
          <w:noProof/>
        </w:rPr>
      </w:pPr>
      <w:r>
        <w:rPr>
          <w:noProof/>
        </w:rPr>
        <w:drawing>
          <wp:inline distT="0" distB="0" distL="0" distR="0">
            <wp:extent cx="5942949" cy="7334250"/>
            <wp:effectExtent l="19050" t="0" r="651" b="0"/>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srcRect/>
                    <a:stretch>
                      <a:fillRect/>
                    </a:stretch>
                  </pic:blipFill>
                  <pic:spPr bwMode="auto">
                    <a:xfrm>
                      <a:off x="0" y="0"/>
                      <a:ext cx="5943600" cy="7335054"/>
                    </a:xfrm>
                    <a:prstGeom prst="rect">
                      <a:avLst/>
                    </a:prstGeom>
                    <a:noFill/>
                    <a:ln w="9525">
                      <a:noFill/>
                      <a:miter lim="800000"/>
                      <a:headEnd/>
                      <a:tailEnd/>
                    </a:ln>
                  </pic:spPr>
                </pic:pic>
              </a:graphicData>
            </a:graphic>
          </wp:inline>
        </w:drawing>
      </w:r>
    </w:p>
    <w:p w:rsidR="00E95BB9" w:rsidRDefault="00E95BB9" w:rsidP="00EE647D">
      <w:pPr>
        <w:pStyle w:val="Heading2"/>
        <w:numPr>
          <w:ilvl w:val="0"/>
          <w:numId w:val="0"/>
        </w:numPr>
      </w:pPr>
    </w:p>
    <w:p w:rsidR="00505441" w:rsidRDefault="00505441" w:rsidP="00FA1103">
      <w:r>
        <w:rPr>
          <w:noProof/>
        </w:rPr>
        <w:drawing>
          <wp:inline distT="0" distB="0" distL="0" distR="0">
            <wp:extent cx="6038850" cy="7639050"/>
            <wp:effectExtent l="19050" t="0" r="0" b="0"/>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srcRect/>
                    <a:stretch>
                      <a:fillRect/>
                    </a:stretch>
                  </pic:blipFill>
                  <pic:spPr bwMode="auto">
                    <a:xfrm>
                      <a:off x="0" y="0"/>
                      <a:ext cx="6038850" cy="7639050"/>
                    </a:xfrm>
                    <a:prstGeom prst="rect">
                      <a:avLst/>
                    </a:prstGeom>
                    <a:noFill/>
                    <a:ln w="9525">
                      <a:noFill/>
                      <a:miter lim="800000"/>
                      <a:headEnd/>
                      <a:tailEnd/>
                    </a:ln>
                  </pic:spPr>
                </pic:pic>
              </a:graphicData>
            </a:graphic>
          </wp:inline>
        </w:drawing>
      </w:r>
    </w:p>
    <w:p w:rsidR="00505441" w:rsidRDefault="00505441" w:rsidP="00505441"/>
    <w:p w:rsidR="00505441" w:rsidRDefault="00505441" w:rsidP="00505441">
      <w:r>
        <w:rPr>
          <w:noProof/>
        </w:rPr>
        <w:lastRenderedPageBreak/>
        <w:drawing>
          <wp:inline distT="0" distB="0" distL="0" distR="0">
            <wp:extent cx="5942949" cy="7753350"/>
            <wp:effectExtent l="19050" t="0" r="651" b="0"/>
            <wp:docPr id="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srcRect/>
                    <a:stretch>
                      <a:fillRect/>
                    </a:stretch>
                  </pic:blipFill>
                  <pic:spPr bwMode="auto">
                    <a:xfrm>
                      <a:off x="0" y="0"/>
                      <a:ext cx="5943600" cy="7754199"/>
                    </a:xfrm>
                    <a:prstGeom prst="rect">
                      <a:avLst/>
                    </a:prstGeom>
                    <a:noFill/>
                    <a:ln w="9525">
                      <a:noFill/>
                      <a:miter lim="800000"/>
                      <a:headEnd/>
                      <a:tailEnd/>
                    </a:ln>
                  </pic:spPr>
                </pic:pic>
              </a:graphicData>
            </a:graphic>
          </wp:inline>
        </w:drawing>
      </w:r>
    </w:p>
    <w:sectPr w:rsidR="00505441" w:rsidSect="00A52761">
      <w:headerReference w:type="default" r:id="rId34"/>
      <w:footerReference w:type="default" r:id="rId35"/>
      <w:footerReference w:type="first" r:id="rId36"/>
      <w:pgSz w:w="12240" w:h="15840" w:code="1"/>
      <w:pgMar w:top="1440" w:right="1440" w:bottom="1440" w:left="1440" w:header="720" w:footer="720"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62785" w:rsidRDefault="00A62785">
      <w:r>
        <w:separator/>
      </w:r>
    </w:p>
  </w:endnote>
  <w:endnote w:type="continuationSeparator" w:id="0">
    <w:p w:rsidR="00A62785" w:rsidRDefault="00A627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imesNewRomanPSMT">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6BD2" w:rsidRDefault="00E06BD2">
    <w:pPr>
      <w:pStyle w:val="Footer"/>
      <w:pBdr>
        <w:bottom w:val="single" w:sz="12" w:space="1" w:color="auto"/>
      </w:pBdr>
    </w:pPr>
  </w:p>
  <w:p w:rsidR="00E06BD2" w:rsidRDefault="00E06BD2">
    <w:pPr>
      <w:pStyle w:val="Footer"/>
    </w:pPr>
  </w:p>
  <w:p w:rsidR="00E06BD2" w:rsidRPr="00616943" w:rsidRDefault="00E06BD2" w:rsidP="00E3276B">
    <w:pPr>
      <w:pStyle w:val="Footer"/>
      <w:jc w:val="center"/>
      <w:rPr>
        <w:sz w:val="18"/>
        <w:szCs w:val="18"/>
      </w:rPr>
    </w:pPr>
    <w:r w:rsidRPr="00616943">
      <w:rPr>
        <w:sz w:val="18"/>
        <w:szCs w:val="18"/>
      </w:rPr>
      <w:t>Washington Department of Ecology</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6BD2" w:rsidRDefault="00E06BD2" w:rsidP="00AC2B42">
    <w:pPr>
      <w:pStyle w:val="Footer"/>
      <w:pBdr>
        <w:bottom w:val="single" w:sz="12" w:space="1" w:color="auto"/>
      </w:pBdr>
    </w:pPr>
  </w:p>
  <w:p w:rsidR="00E06BD2" w:rsidRDefault="00E06BD2" w:rsidP="00AC2B42">
    <w:pPr>
      <w:pStyle w:val="Footer"/>
    </w:pPr>
  </w:p>
  <w:p w:rsidR="00E06BD2" w:rsidRPr="00AC2B42" w:rsidRDefault="00E06BD2" w:rsidP="00AC2B42">
    <w:pPr>
      <w:pStyle w:val="Footer"/>
      <w:jc w:val="center"/>
      <w:rPr>
        <w:sz w:val="18"/>
        <w:szCs w:val="18"/>
      </w:rPr>
    </w:pPr>
    <w:r w:rsidRPr="00616943">
      <w:rPr>
        <w:sz w:val="18"/>
        <w:szCs w:val="18"/>
      </w:rPr>
      <w:t>Washington Department of Ecology</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62785" w:rsidRDefault="00A62785">
      <w:r>
        <w:separator/>
      </w:r>
    </w:p>
  </w:footnote>
  <w:footnote w:type="continuationSeparator" w:id="0">
    <w:p w:rsidR="00A62785" w:rsidRDefault="00A627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B08" w:rsidRPr="005A793C" w:rsidRDefault="00921B08" w:rsidP="00921B08">
    <w:pPr>
      <w:pStyle w:val="Header"/>
      <w:tabs>
        <w:tab w:val="clear" w:pos="8640"/>
        <w:tab w:val="right" w:pos="9180"/>
      </w:tabs>
      <w:rPr>
        <w:sz w:val="20"/>
      </w:rPr>
    </w:pPr>
    <w:r>
      <w:rPr>
        <w:sz w:val="20"/>
      </w:rPr>
      <w:t>BPA Tacoma Occidental Sludge</w:t>
    </w:r>
    <w:r>
      <w:rPr>
        <w:sz w:val="20"/>
      </w:rPr>
      <w:tab/>
    </w:r>
    <w:r>
      <w:rPr>
        <w:sz w:val="20"/>
      </w:rPr>
      <w:tab/>
    </w:r>
    <w:r w:rsidR="002C2456">
      <w:rPr>
        <w:sz w:val="20"/>
      </w:rPr>
      <w:t>March</w:t>
    </w:r>
    <w:r>
      <w:rPr>
        <w:sz w:val="20"/>
      </w:rPr>
      <w:t xml:space="preserve"> 201</w:t>
    </w:r>
    <w:r w:rsidR="00B3755A">
      <w:rPr>
        <w:sz w:val="20"/>
      </w:rPr>
      <w:t>5</w:t>
    </w:r>
    <w:r w:rsidRPr="005A793C">
      <w:rPr>
        <w:sz w:val="20"/>
      </w:rPr>
      <w:t xml:space="preserve"> </w:t>
    </w:r>
  </w:p>
  <w:p w:rsidR="00921B08" w:rsidRPr="005A793C" w:rsidRDefault="00921B08" w:rsidP="00921B08">
    <w:pPr>
      <w:pStyle w:val="Header"/>
      <w:tabs>
        <w:tab w:val="clear" w:pos="8640"/>
        <w:tab w:val="right" w:pos="9180"/>
      </w:tabs>
      <w:rPr>
        <w:sz w:val="20"/>
      </w:rPr>
    </w:pPr>
    <w:r>
      <w:rPr>
        <w:sz w:val="20"/>
      </w:rPr>
      <w:t>Periodic Review</w:t>
    </w:r>
    <w:r w:rsidRPr="005A793C">
      <w:rPr>
        <w:sz w:val="20"/>
      </w:rPr>
      <w:t xml:space="preserve"> </w:t>
    </w:r>
    <w:r>
      <w:rPr>
        <w:sz w:val="20"/>
      </w:rPr>
      <w:t>Report-</w:t>
    </w:r>
    <w:r w:rsidR="002C2456">
      <w:rPr>
        <w:sz w:val="20"/>
      </w:rPr>
      <w:t>Final</w:t>
    </w:r>
    <w:r w:rsidRPr="005A793C">
      <w:rPr>
        <w:sz w:val="20"/>
      </w:rPr>
      <w:tab/>
    </w:r>
    <w:r w:rsidRPr="005A793C">
      <w:rPr>
        <w:sz w:val="20"/>
      </w:rPr>
      <w:tab/>
      <w:t xml:space="preserve">Page </w:t>
    </w:r>
    <w:r w:rsidR="003B473D" w:rsidRPr="005A793C">
      <w:rPr>
        <w:rStyle w:val="PageNumber"/>
        <w:sz w:val="20"/>
      </w:rPr>
      <w:fldChar w:fldCharType="begin"/>
    </w:r>
    <w:r w:rsidRPr="005A793C">
      <w:rPr>
        <w:rStyle w:val="PageNumber"/>
        <w:sz w:val="20"/>
      </w:rPr>
      <w:instrText xml:space="preserve"> PAGE </w:instrText>
    </w:r>
    <w:r w:rsidR="003B473D" w:rsidRPr="005A793C">
      <w:rPr>
        <w:rStyle w:val="PageNumber"/>
        <w:sz w:val="20"/>
      </w:rPr>
      <w:fldChar w:fldCharType="separate"/>
    </w:r>
    <w:r w:rsidR="0089275C">
      <w:rPr>
        <w:rStyle w:val="PageNumber"/>
        <w:noProof/>
        <w:sz w:val="20"/>
      </w:rPr>
      <w:t>41</w:t>
    </w:r>
    <w:r w:rsidR="003B473D" w:rsidRPr="005A793C">
      <w:rPr>
        <w:rStyle w:val="PageNumber"/>
        <w:sz w:val="20"/>
      </w:rPr>
      <w:fldChar w:fldCharType="end"/>
    </w:r>
  </w:p>
  <w:p w:rsidR="00E06BD2" w:rsidRPr="00921B08" w:rsidRDefault="00E06BD2" w:rsidP="00921B08">
    <w:pPr>
      <w:pStyle w:val="Header"/>
      <w:rPr>
        <w:rStyle w:val="PageNumber"/>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4E605A"/>
    <w:multiLevelType w:val="hybridMultilevel"/>
    <w:tmpl w:val="B7AE2CF6"/>
    <w:lvl w:ilvl="0" w:tplc="C768677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AB0BE3"/>
    <w:multiLevelType w:val="hybridMultilevel"/>
    <w:tmpl w:val="725CA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823DE0"/>
    <w:multiLevelType w:val="hybridMultilevel"/>
    <w:tmpl w:val="02861E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0C3C79"/>
    <w:multiLevelType w:val="hybridMultilevel"/>
    <w:tmpl w:val="E08E6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00234B"/>
    <w:multiLevelType w:val="hybridMultilevel"/>
    <w:tmpl w:val="FBBE6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EE2FC3"/>
    <w:multiLevelType w:val="hybridMultilevel"/>
    <w:tmpl w:val="FC54C5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4F76F5"/>
    <w:multiLevelType w:val="hybridMultilevel"/>
    <w:tmpl w:val="B31A86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941225"/>
    <w:multiLevelType w:val="hybridMultilevel"/>
    <w:tmpl w:val="79EA9F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1E84A53"/>
    <w:multiLevelType w:val="hybridMultilevel"/>
    <w:tmpl w:val="C17A2082"/>
    <w:lvl w:ilvl="0" w:tplc="541E5A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355090A"/>
    <w:multiLevelType w:val="hybridMultilevel"/>
    <w:tmpl w:val="CECE57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4AC663D"/>
    <w:multiLevelType w:val="hybridMultilevel"/>
    <w:tmpl w:val="01F21C0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6DB252A"/>
    <w:multiLevelType w:val="hybridMultilevel"/>
    <w:tmpl w:val="901C1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9E4AEC"/>
    <w:multiLevelType w:val="hybridMultilevel"/>
    <w:tmpl w:val="14A0BF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E24388C"/>
    <w:multiLevelType w:val="hybridMultilevel"/>
    <w:tmpl w:val="433E14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41C26C4"/>
    <w:multiLevelType w:val="hybridMultilevel"/>
    <w:tmpl w:val="E3A023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B652D3A"/>
    <w:multiLevelType w:val="hybridMultilevel"/>
    <w:tmpl w:val="6FF203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FCD242E"/>
    <w:multiLevelType w:val="hybridMultilevel"/>
    <w:tmpl w:val="1D14D4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0C85E36"/>
    <w:multiLevelType w:val="hybridMultilevel"/>
    <w:tmpl w:val="F8F2EF5A"/>
    <w:lvl w:ilvl="0" w:tplc="E3B2D44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5CE77E0"/>
    <w:multiLevelType w:val="multilevel"/>
    <w:tmpl w:val="3D8EDA24"/>
    <w:lvl w:ilvl="0">
      <w:start w:val="1"/>
      <w:numFmt w:val="decimal"/>
      <w:pStyle w:val="Heading1"/>
      <w:lvlText w:val="%1.0  "/>
      <w:lvlJc w:val="left"/>
      <w:pPr>
        <w:tabs>
          <w:tab w:val="num" w:pos="432"/>
        </w:tabs>
        <w:ind w:left="432" w:hanging="432"/>
      </w:pPr>
      <w:rPr>
        <w:rFonts w:hint="default"/>
        <w:b/>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1260"/>
        </w:tabs>
        <w:ind w:left="126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9" w15:restartNumberingAfterBreak="0">
    <w:nsid w:val="56391153"/>
    <w:multiLevelType w:val="hybridMultilevel"/>
    <w:tmpl w:val="14A0BF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6AF4843"/>
    <w:multiLevelType w:val="hybridMultilevel"/>
    <w:tmpl w:val="CDF0EECE"/>
    <w:lvl w:ilvl="0" w:tplc="B8261E0E">
      <w:start w:val="1"/>
      <w:numFmt w:val="lowerLetter"/>
      <w:lvlText w:val="(%1)"/>
      <w:lvlJc w:val="left"/>
      <w:pPr>
        <w:ind w:left="720" w:hanging="360"/>
      </w:pPr>
      <w:rPr>
        <w:rFonts w:hint="default"/>
      </w:rPr>
    </w:lvl>
    <w:lvl w:ilvl="1" w:tplc="C03C519C">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8A7344B"/>
    <w:multiLevelType w:val="hybridMultilevel"/>
    <w:tmpl w:val="21B693CC"/>
    <w:lvl w:ilvl="0" w:tplc="8830213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E5E7B85"/>
    <w:multiLevelType w:val="hybridMultilevel"/>
    <w:tmpl w:val="074069CE"/>
    <w:lvl w:ilvl="0" w:tplc="C03C519C">
      <w:start w:val="1"/>
      <w:numFmt w:val="lowerLetter"/>
      <w:lvlText w:val="(%1)"/>
      <w:lvlJc w:val="left"/>
      <w:pPr>
        <w:tabs>
          <w:tab w:val="num" w:pos="810"/>
        </w:tabs>
        <w:ind w:left="810" w:hanging="360"/>
      </w:pPr>
      <w:rPr>
        <w:rFonts w:hint="default"/>
      </w:rPr>
    </w:lvl>
    <w:lvl w:ilvl="1" w:tplc="66A2B9A8">
      <w:numFmt w:val="bullet"/>
      <w:lvlText w:val="•"/>
      <w:lvlJc w:val="left"/>
      <w:pPr>
        <w:ind w:left="1530" w:hanging="360"/>
      </w:pPr>
      <w:rPr>
        <w:rFonts w:ascii="Times New Roman" w:eastAsia="Times New Roman" w:hAnsi="Times New Roman" w:cs="Times New Roman" w:hint="default"/>
      </w:rPr>
    </w:lvl>
    <w:lvl w:ilvl="2" w:tplc="0409001B" w:tentative="1">
      <w:start w:val="1"/>
      <w:numFmt w:val="lowerRoman"/>
      <w:lvlText w:val="%3."/>
      <w:lvlJc w:val="right"/>
      <w:pPr>
        <w:tabs>
          <w:tab w:val="num" w:pos="2250"/>
        </w:tabs>
        <w:ind w:left="2250" w:hanging="180"/>
      </w:pPr>
    </w:lvl>
    <w:lvl w:ilvl="3" w:tplc="0409000F" w:tentative="1">
      <w:start w:val="1"/>
      <w:numFmt w:val="decimal"/>
      <w:lvlText w:val="%4."/>
      <w:lvlJc w:val="left"/>
      <w:pPr>
        <w:tabs>
          <w:tab w:val="num" w:pos="2970"/>
        </w:tabs>
        <w:ind w:left="2970" w:hanging="360"/>
      </w:pPr>
    </w:lvl>
    <w:lvl w:ilvl="4" w:tplc="04090019" w:tentative="1">
      <w:start w:val="1"/>
      <w:numFmt w:val="lowerLetter"/>
      <w:lvlText w:val="%5."/>
      <w:lvlJc w:val="left"/>
      <w:pPr>
        <w:tabs>
          <w:tab w:val="num" w:pos="3690"/>
        </w:tabs>
        <w:ind w:left="3690" w:hanging="360"/>
      </w:pPr>
    </w:lvl>
    <w:lvl w:ilvl="5" w:tplc="0409001B" w:tentative="1">
      <w:start w:val="1"/>
      <w:numFmt w:val="lowerRoman"/>
      <w:lvlText w:val="%6."/>
      <w:lvlJc w:val="right"/>
      <w:pPr>
        <w:tabs>
          <w:tab w:val="num" w:pos="4410"/>
        </w:tabs>
        <w:ind w:left="4410" w:hanging="180"/>
      </w:pPr>
    </w:lvl>
    <w:lvl w:ilvl="6" w:tplc="0409000F" w:tentative="1">
      <w:start w:val="1"/>
      <w:numFmt w:val="decimal"/>
      <w:lvlText w:val="%7."/>
      <w:lvlJc w:val="left"/>
      <w:pPr>
        <w:tabs>
          <w:tab w:val="num" w:pos="5130"/>
        </w:tabs>
        <w:ind w:left="5130" w:hanging="360"/>
      </w:pPr>
    </w:lvl>
    <w:lvl w:ilvl="7" w:tplc="04090019" w:tentative="1">
      <w:start w:val="1"/>
      <w:numFmt w:val="lowerLetter"/>
      <w:lvlText w:val="%8."/>
      <w:lvlJc w:val="left"/>
      <w:pPr>
        <w:tabs>
          <w:tab w:val="num" w:pos="5850"/>
        </w:tabs>
        <w:ind w:left="5850" w:hanging="360"/>
      </w:pPr>
    </w:lvl>
    <w:lvl w:ilvl="8" w:tplc="0409001B" w:tentative="1">
      <w:start w:val="1"/>
      <w:numFmt w:val="lowerRoman"/>
      <w:lvlText w:val="%9."/>
      <w:lvlJc w:val="right"/>
      <w:pPr>
        <w:tabs>
          <w:tab w:val="num" w:pos="6570"/>
        </w:tabs>
        <w:ind w:left="6570" w:hanging="180"/>
      </w:pPr>
    </w:lvl>
  </w:abstractNum>
  <w:abstractNum w:abstractNumId="23" w15:restartNumberingAfterBreak="0">
    <w:nsid w:val="60BE1609"/>
    <w:multiLevelType w:val="hybridMultilevel"/>
    <w:tmpl w:val="1D14D4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3452C53"/>
    <w:multiLevelType w:val="hybridMultilevel"/>
    <w:tmpl w:val="567A1BB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648D483F"/>
    <w:multiLevelType w:val="hybridMultilevel"/>
    <w:tmpl w:val="BDAE5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AB616C8"/>
    <w:multiLevelType w:val="hybridMultilevel"/>
    <w:tmpl w:val="8E9A355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7" w15:restartNumberingAfterBreak="0">
    <w:nsid w:val="6BB723AD"/>
    <w:multiLevelType w:val="hybridMultilevel"/>
    <w:tmpl w:val="23CA7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7E84ADE"/>
    <w:multiLevelType w:val="hybridMultilevel"/>
    <w:tmpl w:val="E9B67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A3A4EB3"/>
    <w:multiLevelType w:val="multilevel"/>
    <w:tmpl w:val="CD4C73EE"/>
    <w:lvl w:ilvl="0">
      <w:start w:val="1"/>
      <w:numFmt w:val="decimal"/>
      <w:lvlText w:val="%1.0"/>
      <w:lvlJc w:val="left"/>
      <w:pPr>
        <w:ind w:left="465" w:hanging="465"/>
      </w:pPr>
      <w:rPr>
        <w:rFonts w:hint="default"/>
      </w:rPr>
    </w:lvl>
    <w:lvl w:ilvl="1">
      <w:start w:val="1"/>
      <w:numFmt w:val="decimal"/>
      <w:lvlText w:val="%1.%2"/>
      <w:lvlJc w:val="left"/>
      <w:pPr>
        <w:ind w:left="555" w:hanging="46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7ACF3CE6"/>
    <w:multiLevelType w:val="hybridMultilevel"/>
    <w:tmpl w:val="42D2D5B8"/>
    <w:lvl w:ilvl="0" w:tplc="7A86E5AE">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E4D36C9"/>
    <w:multiLevelType w:val="hybridMultilevel"/>
    <w:tmpl w:val="14E88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FFA7E1F"/>
    <w:multiLevelType w:val="hybridMultilevel"/>
    <w:tmpl w:val="96E67248"/>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10"/>
  </w:num>
  <w:num w:numId="3">
    <w:abstractNumId w:val="18"/>
  </w:num>
  <w:num w:numId="4">
    <w:abstractNumId w:val="1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4"/>
  </w:num>
  <w:num w:numId="6">
    <w:abstractNumId w:val="18"/>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0"/>
  </w:num>
  <w:num w:numId="10">
    <w:abstractNumId w:val="8"/>
  </w:num>
  <w:num w:numId="11">
    <w:abstractNumId w:val="21"/>
  </w:num>
  <w:num w:numId="12">
    <w:abstractNumId w:val="17"/>
  </w:num>
  <w:num w:numId="13">
    <w:abstractNumId w:val="18"/>
  </w:num>
  <w:num w:numId="14">
    <w:abstractNumId w:val="18"/>
  </w:num>
  <w:num w:numId="15">
    <w:abstractNumId w:val="18"/>
  </w:num>
  <w:num w:numId="16">
    <w:abstractNumId w:val="18"/>
  </w:num>
  <w:num w:numId="17">
    <w:abstractNumId w:val="18"/>
  </w:num>
  <w:num w:numId="18">
    <w:abstractNumId w:val="18"/>
  </w:num>
  <w:num w:numId="19">
    <w:abstractNumId w:val="18"/>
  </w:num>
  <w:num w:numId="20">
    <w:abstractNumId w:val="18"/>
  </w:num>
  <w:num w:numId="21">
    <w:abstractNumId w:val="18"/>
  </w:num>
  <w:num w:numId="22">
    <w:abstractNumId w:val="9"/>
  </w:num>
  <w:num w:numId="23">
    <w:abstractNumId w:val="14"/>
  </w:num>
  <w:num w:numId="24">
    <w:abstractNumId w:val="7"/>
  </w:num>
  <w:num w:numId="25">
    <w:abstractNumId w:val="32"/>
  </w:num>
  <w:num w:numId="26">
    <w:abstractNumId w:val="23"/>
  </w:num>
  <w:num w:numId="27">
    <w:abstractNumId w:val="16"/>
  </w:num>
  <w:num w:numId="28">
    <w:abstractNumId w:val="11"/>
  </w:num>
  <w:num w:numId="29">
    <w:abstractNumId w:val="25"/>
  </w:num>
  <w:num w:numId="30">
    <w:abstractNumId w:val="28"/>
  </w:num>
  <w:num w:numId="31">
    <w:abstractNumId w:val="6"/>
  </w:num>
  <w:num w:numId="32">
    <w:abstractNumId w:val="12"/>
  </w:num>
  <w:num w:numId="33">
    <w:abstractNumId w:val="20"/>
  </w:num>
  <w:num w:numId="34">
    <w:abstractNumId w:val="19"/>
  </w:num>
  <w:num w:numId="35">
    <w:abstractNumId w:val="15"/>
  </w:num>
  <w:num w:numId="36">
    <w:abstractNumId w:val="1"/>
  </w:num>
  <w:num w:numId="37">
    <w:abstractNumId w:val="2"/>
  </w:num>
  <w:num w:numId="38">
    <w:abstractNumId w:val="5"/>
  </w:num>
  <w:num w:numId="39">
    <w:abstractNumId w:val="18"/>
    <w:lvlOverride w:ilvl="0">
      <w:startOverride w:val="6"/>
    </w:lvlOverride>
    <w:lvlOverride w:ilvl="1">
      <w:startOverride w:val="4"/>
    </w:lvlOverride>
  </w:num>
  <w:num w:numId="40">
    <w:abstractNumId w:val="18"/>
  </w:num>
  <w:num w:numId="41">
    <w:abstractNumId w:val="26"/>
  </w:num>
  <w:num w:numId="42">
    <w:abstractNumId w:val="18"/>
  </w:num>
  <w:num w:numId="43">
    <w:abstractNumId w:val="30"/>
  </w:num>
  <w:num w:numId="44">
    <w:abstractNumId w:val="27"/>
  </w:num>
  <w:num w:numId="45">
    <w:abstractNumId w:val="31"/>
  </w:num>
  <w:num w:numId="46">
    <w:abstractNumId w:val="3"/>
  </w:num>
  <w:num w:numId="47">
    <w:abstractNumId w:val="4"/>
  </w:num>
  <w:num w:numId="48">
    <w:abstractNumId w:val="18"/>
    <w:lvlOverride w:ilvl="0">
      <w:startOverride w:val="6"/>
    </w:lvlOverride>
    <w:lvlOverride w:ilvl="1">
      <w:startOverride w:val="4"/>
    </w:lvlOverride>
  </w:num>
  <w:num w:numId="49">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38FB"/>
    <w:rsid w:val="00001454"/>
    <w:rsid w:val="00004F0D"/>
    <w:rsid w:val="0000758F"/>
    <w:rsid w:val="00012720"/>
    <w:rsid w:val="00012F1E"/>
    <w:rsid w:val="00013BC7"/>
    <w:rsid w:val="000148DE"/>
    <w:rsid w:val="00017D92"/>
    <w:rsid w:val="000220B7"/>
    <w:rsid w:val="00022272"/>
    <w:rsid w:val="00030819"/>
    <w:rsid w:val="00032054"/>
    <w:rsid w:val="00035FFE"/>
    <w:rsid w:val="0003682B"/>
    <w:rsid w:val="000370A2"/>
    <w:rsid w:val="00037B71"/>
    <w:rsid w:val="000465AE"/>
    <w:rsid w:val="0004770A"/>
    <w:rsid w:val="00047D24"/>
    <w:rsid w:val="00050AE6"/>
    <w:rsid w:val="00050D43"/>
    <w:rsid w:val="00053A9E"/>
    <w:rsid w:val="00053E74"/>
    <w:rsid w:val="00057936"/>
    <w:rsid w:val="00060CE4"/>
    <w:rsid w:val="00060D17"/>
    <w:rsid w:val="000635DD"/>
    <w:rsid w:val="00065119"/>
    <w:rsid w:val="00065275"/>
    <w:rsid w:val="000718F0"/>
    <w:rsid w:val="00071F77"/>
    <w:rsid w:val="0007256E"/>
    <w:rsid w:val="000743CB"/>
    <w:rsid w:val="00076B8B"/>
    <w:rsid w:val="000824DC"/>
    <w:rsid w:val="00085487"/>
    <w:rsid w:val="00087421"/>
    <w:rsid w:val="00092340"/>
    <w:rsid w:val="00092611"/>
    <w:rsid w:val="00096956"/>
    <w:rsid w:val="000A1F37"/>
    <w:rsid w:val="000A2464"/>
    <w:rsid w:val="000A30F9"/>
    <w:rsid w:val="000A34AA"/>
    <w:rsid w:val="000A5467"/>
    <w:rsid w:val="000A556C"/>
    <w:rsid w:val="000A7462"/>
    <w:rsid w:val="000A7FF2"/>
    <w:rsid w:val="000B0932"/>
    <w:rsid w:val="000B11EF"/>
    <w:rsid w:val="000B277B"/>
    <w:rsid w:val="000B5E92"/>
    <w:rsid w:val="000B737C"/>
    <w:rsid w:val="000B76D0"/>
    <w:rsid w:val="000B7D8E"/>
    <w:rsid w:val="000C0190"/>
    <w:rsid w:val="000C07C9"/>
    <w:rsid w:val="000C1A84"/>
    <w:rsid w:val="000C1ECC"/>
    <w:rsid w:val="000C2671"/>
    <w:rsid w:val="000C26A5"/>
    <w:rsid w:val="000C29C5"/>
    <w:rsid w:val="000C2E91"/>
    <w:rsid w:val="000C4E04"/>
    <w:rsid w:val="000C6B8D"/>
    <w:rsid w:val="000C6E1E"/>
    <w:rsid w:val="000C77F0"/>
    <w:rsid w:val="000D34D1"/>
    <w:rsid w:val="000D4644"/>
    <w:rsid w:val="000D4B27"/>
    <w:rsid w:val="000D4DF7"/>
    <w:rsid w:val="000D50B8"/>
    <w:rsid w:val="000D7414"/>
    <w:rsid w:val="000E0503"/>
    <w:rsid w:val="000E29C1"/>
    <w:rsid w:val="000E32A5"/>
    <w:rsid w:val="000E582E"/>
    <w:rsid w:val="000E7BE8"/>
    <w:rsid w:val="000F1A2D"/>
    <w:rsid w:val="000F35A1"/>
    <w:rsid w:val="000F4ABD"/>
    <w:rsid w:val="000F4B0F"/>
    <w:rsid w:val="000F507A"/>
    <w:rsid w:val="000F5B36"/>
    <w:rsid w:val="00100EDD"/>
    <w:rsid w:val="001018A7"/>
    <w:rsid w:val="00102941"/>
    <w:rsid w:val="00103ECB"/>
    <w:rsid w:val="00104EBC"/>
    <w:rsid w:val="001051D1"/>
    <w:rsid w:val="0010533F"/>
    <w:rsid w:val="00105AA3"/>
    <w:rsid w:val="00105EE5"/>
    <w:rsid w:val="001072EA"/>
    <w:rsid w:val="00110A4F"/>
    <w:rsid w:val="00111546"/>
    <w:rsid w:val="00112330"/>
    <w:rsid w:val="0011255D"/>
    <w:rsid w:val="00112A3C"/>
    <w:rsid w:val="00112B48"/>
    <w:rsid w:val="00112E22"/>
    <w:rsid w:val="00114411"/>
    <w:rsid w:val="00115200"/>
    <w:rsid w:val="001153A3"/>
    <w:rsid w:val="001159BA"/>
    <w:rsid w:val="00123005"/>
    <w:rsid w:val="00124243"/>
    <w:rsid w:val="001270BA"/>
    <w:rsid w:val="00130434"/>
    <w:rsid w:val="0013159A"/>
    <w:rsid w:val="00133664"/>
    <w:rsid w:val="00133A5E"/>
    <w:rsid w:val="00135258"/>
    <w:rsid w:val="00140B88"/>
    <w:rsid w:val="00143336"/>
    <w:rsid w:val="0014492D"/>
    <w:rsid w:val="00145DC5"/>
    <w:rsid w:val="00147EDF"/>
    <w:rsid w:val="00151001"/>
    <w:rsid w:val="001526AB"/>
    <w:rsid w:val="001568F4"/>
    <w:rsid w:val="001569A8"/>
    <w:rsid w:val="001572DE"/>
    <w:rsid w:val="00160D03"/>
    <w:rsid w:val="001633D6"/>
    <w:rsid w:val="001644AB"/>
    <w:rsid w:val="00170C38"/>
    <w:rsid w:val="001714B1"/>
    <w:rsid w:val="00171814"/>
    <w:rsid w:val="00171F30"/>
    <w:rsid w:val="0017335B"/>
    <w:rsid w:val="0017557F"/>
    <w:rsid w:val="0017633F"/>
    <w:rsid w:val="0017691B"/>
    <w:rsid w:val="001775A8"/>
    <w:rsid w:val="00177E8E"/>
    <w:rsid w:val="0018032D"/>
    <w:rsid w:val="00181312"/>
    <w:rsid w:val="00184F67"/>
    <w:rsid w:val="001857ED"/>
    <w:rsid w:val="00185C5A"/>
    <w:rsid w:val="00187CCC"/>
    <w:rsid w:val="001907DD"/>
    <w:rsid w:val="001913F7"/>
    <w:rsid w:val="001927FA"/>
    <w:rsid w:val="00192CBE"/>
    <w:rsid w:val="00193B31"/>
    <w:rsid w:val="00195D2F"/>
    <w:rsid w:val="00197389"/>
    <w:rsid w:val="001A0B1D"/>
    <w:rsid w:val="001A6BC2"/>
    <w:rsid w:val="001B23A5"/>
    <w:rsid w:val="001B7EFF"/>
    <w:rsid w:val="001C0526"/>
    <w:rsid w:val="001C1916"/>
    <w:rsid w:val="001C3EB4"/>
    <w:rsid w:val="001C7DE8"/>
    <w:rsid w:val="001D1063"/>
    <w:rsid w:val="001D52CC"/>
    <w:rsid w:val="001D6839"/>
    <w:rsid w:val="001E1DB6"/>
    <w:rsid w:val="001E40C4"/>
    <w:rsid w:val="001E4BBE"/>
    <w:rsid w:val="001E6DF0"/>
    <w:rsid w:val="001F0793"/>
    <w:rsid w:val="001F23C4"/>
    <w:rsid w:val="001F6DA2"/>
    <w:rsid w:val="001F7BFC"/>
    <w:rsid w:val="00201550"/>
    <w:rsid w:val="00201554"/>
    <w:rsid w:val="002038DB"/>
    <w:rsid w:val="00203DCC"/>
    <w:rsid w:val="002100EB"/>
    <w:rsid w:val="00210191"/>
    <w:rsid w:val="00211F10"/>
    <w:rsid w:val="00212445"/>
    <w:rsid w:val="0021664F"/>
    <w:rsid w:val="00220EAC"/>
    <w:rsid w:val="0022162F"/>
    <w:rsid w:val="00222AF9"/>
    <w:rsid w:val="00223161"/>
    <w:rsid w:val="00225E63"/>
    <w:rsid w:val="00227EC2"/>
    <w:rsid w:val="002315FA"/>
    <w:rsid w:val="00231982"/>
    <w:rsid w:val="0023218D"/>
    <w:rsid w:val="0024187F"/>
    <w:rsid w:val="00243A42"/>
    <w:rsid w:val="00244340"/>
    <w:rsid w:val="00244C39"/>
    <w:rsid w:val="002457CD"/>
    <w:rsid w:val="0024789D"/>
    <w:rsid w:val="00247C30"/>
    <w:rsid w:val="00254426"/>
    <w:rsid w:val="00255042"/>
    <w:rsid w:val="00257E05"/>
    <w:rsid w:val="002607B2"/>
    <w:rsid w:val="00261044"/>
    <w:rsid w:val="0026199B"/>
    <w:rsid w:val="002621C8"/>
    <w:rsid w:val="002670D2"/>
    <w:rsid w:val="00267217"/>
    <w:rsid w:val="0027298C"/>
    <w:rsid w:val="00272BA7"/>
    <w:rsid w:val="0027358A"/>
    <w:rsid w:val="00273AC5"/>
    <w:rsid w:val="00273D79"/>
    <w:rsid w:val="00275A02"/>
    <w:rsid w:val="0027703F"/>
    <w:rsid w:val="00281F5B"/>
    <w:rsid w:val="00282741"/>
    <w:rsid w:val="00282CBC"/>
    <w:rsid w:val="00283D28"/>
    <w:rsid w:val="00284DFE"/>
    <w:rsid w:val="00286940"/>
    <w:rsid w:val="00286C06"/>
    <w:rsid w:val="00292161"/>
    <w:rsid w:val="002935B7"/>
    <w:rsid w:val="0029666D"/>
    <w:rsid w:val="00297BD0"/>
    <w:rsid w:val="002A1184"/>
    <w:rsid w:val="002A1531"/>
    <w:rsid w:val="002A1C52"/>
    <w:rsid w:val="002A2ADE"/>
    <w:rsid w:val="002A2C4C"/>
    <w:rsid w:val="002A3C1B"/>
    <w:rsid w:val="002A5290"/>
    <w:rsid w:val="002A5C94"/>
    <w:rsid w:val="002A78E6"/>
    <w:rsid w:val="002A7DEB"/>
    <w:rsid w:val="002B2C14"/>
    <w:rsid w:val="002B4A07"/>
    <w:rsid w:val="002B4A54"/>
    <w:rsid w:val="002B65BF"/>
    <w:rsid w:val="002C060B"/>
    <w:rsid w:val="002C1327"/>
    <w:rsid w:val="002C1441"/>
    <w:rsid w:val="002C2456"/>
    <w:rsid w:val="002C4836"/>
    <w:rsid w:val="002D0273"/>
    <w:rsid w:val="002D1022"/>
    <w:rsid w:val="002D2C5D"/>
    <w:rsid w:val="002D2EA7"/>
    <w:rsid w:val="002D32BC"/>
    <w:rsid w:val="002D4F74"/>
    <w:rsid w:val="002D6CF5"/>
    <w:rsid w:val="002D7750"/>
    <w:rsid w:val="002E0810"/>
    <w:rsid w:val="002E0C74"/>
    <w:rsid w:val="002E1B60"/>
    <w:rsid w:val="002E2F51"/>
    <w:rsid w:val="002E3B1E"/>
    <w:rsid w:val="002E52BE"/>
    <w:rsid w:val="002E6C4F"/>
    <w:rsid w:val="002E6E3C"/>
    <w:rsid w:val="002F136C"/>
    <w:rsid w:val="002F5A76"/>
    <w:rsid w:val="00302603"/>
    <w:rsid w:val="00302E86"/>
    <w:rsid w:val="00303C1B"/>
    <w:rsid w:val="00303D8B"/>
    <w:rsid w:val="00306E6C"/>
    <w:rsid w:val="003103C0"/>
    <w:rsid w:val="0031162B"/>
    <w:rsid w:val="00313D99"/>
    <w:rsid w:val="003147F0"/>
    <w:rsid w:val="00317CD6"/>
    <w:rsid w:val="00322D29"/>
    <w:rsid w:val="003232C9"/>
    <w:rsid w:val="003243AD"/>
    <w:rsid w:val="0032579E"/>
    <w:rsid w:val="00327658"/>
    <w:rsid w:val="0033030F"/>
    <w:rsid w:val="00330F09"/>
    <w:rsid w:val="00331A73"/>
    <w:rsid w:val="0033571E"/>
    <w:rsid w:val="00340236"/>
    <w:rsid w:val="003411E2"/>
    <w:rsid w:val="00341856"/>
    <w:rsid w:val="00343259"/>
    <w:rsid w:val="003470E1"/>
    <w:rsid w:val="00350ADD"/>
    <w:rsid w:val="003530F1"/>
    <w:rsid w:val="00353C16"/>
    <w:rsid w:val="00355746"/>
    <w:rsid w:val="00362038"/>
    <w:rsid w:val="00362C5E"/>
    <w:rsid w:val="00363F99"/>
    <w:rsid w:val="00366136"/>
    <w:rsid w:val="0037178E"/>
    <w:rsid w:val="003737AA"/>
    <w:rsid w:val="00374C6A"/>
    <w:rsid w:val="003754D0"/>
    <w:rsid w:val="00380196"/>
    <w:rsid w:val="0038176F"/>
    <w:rsid w:val="00381E3E"/>
    <w:rsid w:val="00382AFC"/>
    <w:rsid w:val="00383C3D"/>
    <w:rsid w:val="003873B8"/>
    <w:rsid w:val="00387E9F"/>
    <w:rsid w:val="00390F4A"/>
    <w:rsid w:val="0039201F"/>
    <w:rsid w:val="00396397"/>
    <w:rsid w:val="0039720C"/>
    <w:rsid w:val="003A35DE"/>
    <w:rsid w:val="003A51D3"/>
    <w:rsid w:val="003A648E"/>
    <w:rsid w:val="003A7174"/>
    <w:rsid w:val="003B3FE6"/>
    <w:rsid w:val="003B473D"/>
    <w:rsid w:val="003B5AA0"/>
    <w:rsid w:val="003C151C"/>
    <w:rsid w:val="003C1A10"/>
    <w:rsid w:val="003C2312"/>
    <w:rsid w:val="003C470A"/>
    <w:rsid w:val="003C4CE3"/>
    <w:rsid w:val="003C4F3A"/>
    <w:rsid w:val="003C6238"/>
    <w:rsid w:val="003C7840"/>
    <w:rsid w:val="003D0132"/>
    <w:rsid w:val="003D35F7"/>
    <w:rsid w:val="003D67CF"/>
    <w:rsid w:val="003E04BF"/>
    <w:rsid w:val="003E25C2"/>
    <w:rsid w:val="003E2810"/>
    <w:rsid w:val="003F244D"/>
    <w:rsid w:val="003F360F"/>
    <w:rsid w:val="003F3AE4"/>
    <w:rsid w:val="003F4051"/>
    <w:rsid w:val="003F42FA"/>
    <w:rsid w:val="003F4B02"/>
    <w:rsid w:val="003F580E"/>
    <w:rsid w:val="003F6B45"/>
    <w:rsid w:val="003F6EFF"/>
    <w:rsid w:val="003F7F3A"/>
    <w:rsid w:val="004004AF"/>
    <w:rsid w:val="00404C83"/>
    <w:rsid w:val="00404D8D"/>
    <w:rsid w:val="00405EFF"/>
    <w:rsid w:val="00407160"/>
    <w:rsid w:val="00407267"/>
    <w:rsid w:val="0041033C"/>
    <w:rsid w:val="00410AAE"/>
    <w:rsid w:val="00410C08"/>
    <w:rsid w:val="00415675"/>
    <w:rsid w:val="0041670B"/>
    <w:rsid w:val="0041676C"/>
    <w:rsid w:val="00417234"/>
    <w:rsid w:val="004208DB"/>
    <w:rsid w:val="00422108"/>
    <w:rsid w:val="00423E57"/>
    <w:rsid w:val="00424DA8"/>
    <w:rsid w:val="00424F14"/>
    <w:rsid w:val="00425DE8"/>
    <w:rsid w:val="00430E02"/>
    <w:rsid w:val="00434524"/>
    <w:rsid w:val="00435489"/>
    <w:rsid w:val="00440710"/>
    <w:rsid w:val="00445D1D"/>
    <w:rsid w:val="00446A8E"/>
    <w:rsid w:val="00447A03"/>
    <w:rsid w:val="004506F1"/>
    <w:rsid w:val="0045082B"/>
    <w:rsid w:val="00451146"/>
    <w:rsid w:val="0045175C"/>
    <w:rsid w:val="004538F7"/>
    <w:rsid w:val="00453B68"/>
    <w:rsid w:val="00453FB6"/>
    <w:rsid w:val="00455C83"/>
    <w:rsid w:val="00456062"/>
    <w:rsid w:val="00456E75"/>
    <w:rsid w:val="00457C52"/>
    <w:rsid w:val="0046043F"/>
    <w:rsid w:val="004606EB"/>
    <w:rsid w:val="00460E9F"/>
    <w:rsid w:val="00462E23"/>
    <w:rsid w:val="004659B1"/>
    <w:rsid w:val="00467F1B"/>
    <w:rsid w:val="004734C3"/>
    <w:rsid w:val="004745A9"/>
    <w:rsid w:val="00474978"/>
    <w:rsid w:val="00475927"/>
    <w:rsid w:val="00475A95"/>
    <w:rsid w:val="00477EE1"/>
    <w:rsid w:val="004809B5"/>
    <w:rsid w:val="00480AED"/>
    <w:rsid w:val="004814EF"/>
    <w:rsid w:val="00482466"/>
    <w:rsid w:val="00485431"/>
    <w:rsid w:val="0049070F"/>
    <w:rsid w:val="00491C65"/>
    <w:rsid w:val="00492BF6"/>
    <w:rsid w:val="00492F6D"/>
    <w:rsid w:val="00493164"/>
    <w:rsid w:val="0049631F"/>
    <w:rsid w:val="00496DA9"/>
    <w:rsid w:val="0049725F"/>
    <w:rsid w:val="004A4570"/>
    <w:rsid w:val="004A4656"/>
    <w:rsid w:val="004A4772"/>
    <w:rsid w:val="004A4EEE"/>
    <w:rsid w:val="004A5D57"/>
    <w:rsid w:val="004B0016"/>
    <w:rsid w:val="004B0B6E"/>
    <w:rsid w:val="004B3ACD"/>
    <w:rsid w:val="004B4DAD"/>
    <w:rsid w:val="004B5789"/>
    <w:rsid w:val="004B6C78"/>
    <w:rsid w:val="004B75AF"/>
    <w:rsid w:val="004C240D"/>
    <w:rsid w:val="004C290E"/>
    <w:rsid w:val="004C363D"/>
    <w:rsid w:val="004C4858"/>
    <w:rsid w:val="004C48AE"/>
    <w:rsid w:val="004C5600"/>
    <w:rsid w:val="004D032F"/>
    <w:rsid w:val="004D1182"/>
    <w:rsid w:val="004D13C3"/>
    <w:rsid w:val="004D34B4"/>
    <w:rsid w:val="004D3C83"/>
    <w:rsid w:val="004D4646"/>
    <w:rsid w:val="004D5388"/>
    <w:rsid w:val="004D573F"/>
    <w:rsid w:val="004D609E"/>
    <w:rsid w:val="004D6D00"/>
    <w:rsid w:val="004E0420"/>
    <w:rsid w:val="004E0896"/>
    <w:rsid w:val="004E0ABA"/>
    <w:rsid w:val="004E3062"/>
    <w:rsid w:val="004E6062"/>
    <w:rsid w:val="004E6205"/>
    <w:rsid w:val="004E692F"/>
    <w:rsid w:val="004E7ECE"/>
    <w:rsid w:val="004F1E28"/>
    <w:rsid w:val="004F27B9"/>
    <w:rsid w:val="004F5B0C"/>
    <w:rsid w:val="004F7567"/>
    <w:rsid w:val="005009C5"/>
    <w:rsid w:val="00501A2A"/>
    <w:rsid w:val="00501F7B"/>
    <w:rsid w:val="005040D3"/>
    <w:rsid w:val="00504EA0"/>
    <w:rsid w:val="0050506B"/>
    <w:rsid w:val="00505441"/>
    <w:rsid w:val="005061C6"/>
    <w:rsid w:val="0050630D"/>
    <w:rsid w:val="005078EA"/>
    <w:rsid w:val="00510180"/>
    <w:rsid w:val="005104BC"/>
    <w:rsid w:val="00511C28"/>
    <w:rsid w:val="00512DE0"/>
    <w:rsid w:val="005134C8"/>
    <w:rsid w:val="00513DDC"/>
    <w:rsid w:val="00515C23"/>
    <w:rsid w:val="00521353"/>
    <w:rsid w:val="0052244C"/>
    <w:rsid w:val="00523A34"/>
    <w:rsid w:val="00524DD9"/>
    <w:rsid w:val="00525225"/>
    <w:rsid w:val="00526B2E"/>
    <w:rsid w:val="00530B4B"/>
    <w:rsid w:val="00532A94"/>
    <w:rsid w:val="0053422D"/>
    <w:rsid w:val="005405C7"/>
    <w:rsid w:val="00540C0A"/>
    <w:rsid w:val="00541C47"/>
    <w:rsid w:val="00542668"/>
    <w:rsid w:val="00542B4E"/>
    <w:rsid w:val="00543402"/>
    <w:rsid w:val="00544A5D"/>
    <w:rsid w:val="00545F43"/>
    <w:rsid w:val="00547CF3"/>
    <w:rsid w:val="00550300"/>
    <w:rsid w:val="00551D64"/>
    <w:rsid w:val="00552FA8"/>
    <w:rsid w:val="00555B2B"/>
    <w:rsid w:val="00555B46"/>
    <w:rsid w:val="00555FC4"/>
    <w:rsid w:val="00556C80"/>
    <w:rsid w:val="00560396"/>
    <w:rsid w:val="005608F1"/>
    <w:rsid w:val="00563A47"/>
    <w:rsid w:val="00565116"/>
    <w:rsid w:val="00566AD7"/>
    <w:rsid w:val="00571362"/>
    <w:rsid w:val="00571C87"/>
    <w:rsid w:val="005801EB"/>
    <w:rsid w:val="005806FD"/>
    <w:rsid w:val="0058750F"/>
    <w:rsid w:val="0059092B"/>
    <w:rsid w:val="00590B74"/>
    <w:rsid w:val="00591A16"/>
    <w:rsid w:val="0059497E"/>
    <w:rsid w:val="00594C2D"/>
    <w:rsid w:val="00595E52"/>
    <w:rsid w:val="005A0ABF"/>
    <w:rsid w:val="005A197D"/>
    <w:rsid w:val="005A2785"/>
    <w:rsid w:val="005A2AFE"/>
    <w:rsid w:val="005A3257"/>
    <w:rsid w:val="005A5A65"/>
    <w:rsid w:val="005A5E98"/>
    <w:rsid w:val="005A793C"/>
    <w:rsid w:val="005B1352"/>
    <w:rsid w:val="005B243B"/>
    <w:rsid w:val="005B5CF7"/>
    <w:rsid w:val="005B5E1A"/>
    <w:rsid w:val="005B6436"/>
    <w:rsid w:val="005C24F4"/>
    <w:rsid w:val="005C2FFA"/>
    <w:rsid w:val="005C436D"/>
    <w:rsid w:val="005D0B37"/>
    <w:rsid w:val="005D35B0"/>
    <w:rsid w:val="005D4A27"/>
    <w:rsid w:val="005D56D8"/>
    <w:rsid w:val="005D6219"/>
    <w:rsid w:val="005D6900"/>
    <w:rsid w:val="005D6F42"/>
    <w:rsid w:val="005D7F7E"/>
    <w:rsid w:val="005E0311"/>
    <w:rsid w:val="005E0321"/>
    <w:rsid w:val="005E1BA6"/>
    <w:rsid w:val="005E221A"/>
    <w:rsid w:val="005E4A50"/>
    <w:rsid w:val="005E7487"/>
    <w:rsid w:val="005F1E9B"/>
    <w:rsid w:val="005F3C08"/>
    <w:rsid w:val="005F559F"/>
    <w:rsid w:val="005F5F0E"/>
    <w:rsid w:val="005F6C51"/>
    <w:rsid w:val="005F6D2D"/>
    <w:rsid w:val="005F7965"/>
    <w:rsid w:val="00600762"/>
    <w:rsid w:val="00602D8E"/>
    <w:rsid w:val="00605FBB"/>
    <w:rsid w:val="00606E07"/>
    <w:rsid w:val="00607713"/>
    <w:rsid w:val="006100EB"/>
    <w:rsid w:val="00610849"/>
    <w:rsid w:val="0061242D"/>
    <w:rsid w:val="00616210"/>
    <w:rsid w:val="0061688E"/>
    <w:rsid w:val="00616943"/>
    <w:rsid w:val="00624FDB"/>
    <w:rsid w:val="00627834"/>
    <w:rsid w:val="00631AE3"/>
    <w:rsid w:val="006326A4"/>
    <w:rsid w:val="00633C25"/>
    <w:rsid w:val="006345FD"/>
    <w:rsid w:val="00636AE0"/>
    <w:rsid w:val="00640480"/>
    <w:rsid w:val="00640A6C"/>
    <w:rsid w:val="00643EB2"/>
    <w:rsid w:val="00646FD7"/>
    <w:rsid w:val="006509BD"/>
    <w:rsid w:val="006516BC"/>
    <w:rsid w:val="00651C8F"/>
    <w:rsid w:val="00656C77"/>
    <w:rsid w:val="00657C94"/>
    <w:rsid w:val="00661D4D"/>
    <w:rsid w:val="00661F55"/>
    <w:rsid w:val="006621B7"/>
    <w:rsid w:val="00662479"/>
    <w:rsid w:val="00663321"/>
    <w:rsid w:val="00664013"/>
    <w:rsid w:val="00664A0C"/>
    <w:rsid w:val="00665825"/>
    <w:rsid w:val="00666F56"/>
    <w:rsid w:val="006673E5"/>
    <w:rsid w:val="00670F7A"/>
    <w:rsid w:val="00671490"/>
    <w:rsid w:val="006722B4"/>
    <w:rsid w:val="006735FA"/>
    <w:rsid w:val="006743ED"/>
    <w:rsid w:val="00675218"/>
    <w:rsid w:val="006755B9"/>
    <w:rsid w:val="00676066"/>
    <w:rsid w:val="0067683E"/>
    <w:rsid w:val="0067767A"/>
    <w:rsid w:val="00680519"/>
    <w:rsid w:val="006835A9"/>
    <w:rsid w:val="00683A71"/>
    <w:rsid w:val="006842A1"/>
    <w:rsid w:val="0068641E"/>
    <w:rsid w:val="0068647B"/>
    <w:rsid w:val="00686B11"/>
    <w:rsid w:val="00691B4F"/>
    <w:rsid w:val="006926EA"/>
    <w:rsid w:val="0069390A"/>
    <w:rsid w:val="00696D7C"/>
    <w:rsid w:val="00696F2A"/>
    <w:rsid w:val="006A0F15"/>
    <w:rsid w:val="006A11D4"/>
    <w:rsid w:val="006A146F"/>
    <w:rsid w:val="006A3FB3"/>
    <w:rsid w:val="006A4689"/>
    <w:rsid w:val="006A6AA0"/>
    <w:rsid w:val="006B174B"/>
    <w:rsid w:val="006B1D02"/>
    <w:rsid w:val="006B5388"/>
    <w:rsid w:val="006B5DFC"/>
    <w:rsid w:val="006B6F44"/>
    <w:rsid w:val="006C2D2B"/>
    <w:rsid w:val="006C3779"/>
    <w:rsid w:val="006C4844"/>
    <w:rsid w:val="006C5454"/>
    <w:rsid w:val="006C7E85"/>
    <w:rsid w:val="006D06B1"/>
    <w:rsid w:val="006D20C0"/>
    <w:rsid w:val="006D21A6"/>
    <w:rsid w:val="006D54BB"/>
    <w:rsid w:val="006E0FC4"/>
    <w:rsid w:val="006E1C84"/>
    <w:rsid w:val="006E22F5"/>
    <w:rsid w:val="006E2E77"/>
    <w:rsid w:val="006E3E23"/>
    <w:rsid w:val="006E6255"/>
    <w:rsid w:val="006F1B17"/>
    <w:rsid w:val="006F1E60"/>
    <w:rsid w:val="006F2CA4"/>
    <w:rsid w:val="006F2FD8"/>
    <w:rsid w:val="006F31F5"/>
    <w:rsid w:val="006F3B43"/>
    <w:rsid w:val="006F4869"/>
    <w:rsid w:val="006F5D98"/>
    <w:rsid w:val="007005CC"/>
    <w:rsid w:val="00703432"/>
    <w:rsid w:val="00710791"/>
    <w:rsid w:val="0071123C"/>
    <w:rsid w:val="007114E8"/>
    <w:rsid w:val="007117C7"/>
    <w:rsid w:val="00711F61"/>
    <w:rsid w:val="0071403C"/>
    <w:rsid w:val="0071418F"/>
    <w:rsid w:val="0071731A"/>
    <w:rsid w:val="007218AF"/>
    <w:rsid w:val="0072228C"/>
    <w:rsid w:val="00722318"/>
    <w:rsid w:val="007242A1"/>
    <w:rsid w:val="00724B11"/>
    <w:rsid w:val="0072689F"/>
    <w:rsid w:val="0072753C"/>
    <w:rsid w:val="00727755"/>
    <w:rsid w:val="00727978"/>
    <w:rsid w:val="00727A29"/>
    <w:rsid w:val="00727E7B"/>
    <w:rsid w:val="00730097"/>
    <w:rsid w:val="00731C03"/>
    <w:rsid w:val="00736488"/>
    <w:rsid w:val="0073733F"/>
    <w:rsid w:val="00744477"/>
    <w:rsid w:val="0074631E"/>
    <w:rsid w:val="007478CA"/>
    <w:rsid w:val="0075176C"/>
    <w:rsid w:val="00755B0F"/>
    <w:rsid w:val="0075734C"/>
    <w:rsid w:val="00761A90"/>
    <w:rsid w:val="00763A1B"/>
    <w:rsid w:val="0077085E"/>
    <w:rsid w:val="007807A4"/>
    <w:rsid w:val="00780CFF"/>
    <w:rsid w:val="00781AF9"/>
    <w:rsid w:val="00781E5C"/>
    <w:rsid w:val="00782DEC"/>
    <w:rsid w:val="00784F9B"/>
    <w:rsid w:val="00785129"/>
    <w:rsid w:val="007863E1"/>
    <w:rsid w:val="007867B7"/>
    <w:rsid w:val="00786EF5"/>
    <w:rsid w:val="00791857"/>
    <w:rsid w:val="007932D1"/>
    <w:rsid w:val="00793BF4"/>
    <w:rsid w:val="00793C07"/>
    <w:rsid w:val="00794B57"/>
    <w:rsid w:val="007A1490"/>
    <w:rsid w:val="007A63FA"/>
    <w:rsid w:val="007A63FF"/>
    <w:rsid w:val="007A6CCD"/>
    <w:rsid w:val="007B1751"/>
    <w:rsid w:val="007B36CF"/>
    <w:rsid w:val="007B475D"/>
    <w:rsid w:val="007B4834"/>
    <w:rsid w:val="007B4CB1"/>
    <w:rsid w:val="007B6D81"/>
    <w:rsid w:val="007C04CF"/>
    <w:rsid w:val="007C0F91"/>
    <w:rsid w:val="007C1A2A"/>
    <w:rsid w:val="007C238F"/>
    <w:rsid w:val="007C2889"/>
    <w:rsid w:val="007C29A0"/>
    <w:rsid w:val="007C2B76"/>
    <w:rsid w:val="007C367B"/>
    <w:rsid w:val="007C4D73"/>
    <w:rsid w:val="007C5481"/>
    <w:rsid w:val="007D11DE"/>
    <w:rsid w:val="007D151C"/>
    <w:rsid w:val="007D2593"/>
    <w:rsid w:val="007D4336"/>
    <w:rsid w:val="007D46A9"/>
    <w:rsid w:val="007D46C7"/>
    <w:rsid w:val="007D567C"/>
    <w:rsid w:val="007D603B"/>
    <w:rsid w:val="007D61F9"/>
    <w:rsid w:val="007D70C9"/>
    <w:rsid w:val="007D7207"/>
    <w:rsid w:val="007D7AC4"/>
    <w:rsid w:val="007E136F"/>
    <w:rsid w:val="007E31B2"/>
    <w:rsid w:val="007E3338"/>
    <w:rsid w:val="007E453D"/>
    <w:rsid w:val="007E4D46"/>
    <w:rsid w:val="007E51C2"/>
    <w:rsid w:val="007E5CC8"/>
    <w:rsid w:val="007F1622"/>
    <w:rsid w:val="007F1AE6"/>
    <w:rsid w:val="007F1F9A"/>
    <w:rsid w:val="007F396F"/>
    <w:rsid w:val="007F46B1"/>
    <w:rsid w:val="007F4941"/>
    <w:rsid w:val="007F4BBE"/>
    <w:rsid w:val="007F567D"/>
    <w:rsid w:val="0080090A"/>
    <w:rsid w:val="00802263"/>
    <w:rsid w:val="00803790"/>
    <w:rsid w:val="0080447D"/>
    <w:rsid w:val="0080452B"/>
    <w:rsid w:val="00805501"/>
    <w:rsid w:val="0080606F"/>
    <w:rsid w:val="008065D6"/>
    <w:rsid w:val="00806E5C"/>
    <w:rsid w:val="0081047B"/>
    <w:rsid w:val="008201B7"/>
    <w:rsid w:val="00822087"/>
    <w:rsid w:val="008247C1"/>
    <w:rsid w:val="00826169"/>
    <w:rsid w:val="008279B3"/>
    <w:rsid w:val="00832D1D"/>
    <w:rsid w:val="008333BD"/>
    <w:rsid w:val="00834BA8"/>
    <w:rsid w:val="00835625"/>
    <w:rsid w:val="00837B61"/>
    <w:rsid w:val="00841563"/>
    <w:rsid w:val="00841887"/>
    <w:rsid w:val="00842291"/>
    <w:rsid w:val="00846601"/>
    <w:rsid w:val="00847ECF"/>
    <w:rsid w:val="00851E15"/>
    <w:rsid w:val="008522A8"/>
    <w:rsid w:val="008523D4"/>
    <w:rsid w:val="008547C0"/>
    <w:rsid w:val="00855182"/>
    <w:rsid w:val="0085523E"/>
    <w:rsid w:val="00861363"/>
    <w:rsid w:val="008628D1"/>
    <w:rsid w:val="0086544E"/>
    <w:rsid w:val="00865513"/>
    <w:rsid w:val="00865D4A"/>
    <w:rsid w:val="00865F04"/>
    <w:rsid w:val="00866186"/>
    <w:rsid w:val="00866FA0"/>
    <w:rsid w:val="00870965"/>
    <w:rsid w:val="00872669"/>
    <w:rsid w:val="008745DC"/>
    <w:rsid w:val="00874DDB"/>
    <w:rsid w:val="00876F44"/>
    <w:rsid w:val="00880E10"/>
    <w:rsid w:val="00881EB1"/>
    <w:rsid w:val="00881FA6"/>
    <w:rsid w:val="00883483"/>
    <w:rsid w:val="008835C0"/>
    <w:rsid w:val="00884483"/>
    <w:rsid w:val="00887A71"/>
    <w:rsid w:val="0089275C"/>
    <w:rsid w:val="00892DB3"/>
    <w:rsid w:val="00892F32"/>
    <w:rsid w:val="00896A57"/>
    <w:rsid w:val="00896CB1"/>
    <w:rsid w:val="00897B8A"/>
    <w:rsid w:val="008A0DAE"/>
    <w:rsid w:val="008A2B1D"/>
    <w:rsid w:val="008A2F41"/>
    <w:rsid w:val="008A4018"/>
    <w:rsid w:val="008A5B1E"/>
    <w:rsid w:val="008A654E"/>
    <w:rsid w:val="008A680C"/>
    <w:rsid w:val="008A75F1"/>
    <w:rsid w:val="008B025B"/>
    <w:rsid w:val="008B0543"/>
    <w:rsid w:val="008C4880"/>
    <w:rsid w:val="008C69F6"/>
    <w:rsid w:val="008C7F95"/>
    <w:rsid w:val="008D44D1"/>
    <w:rsid w:val="008D4B95"/>
    <w:rsid w:val="008D6FA6"/>
    <w:rsid w:val="008E2111"/>
    <w:rsid w:val="008E2FED"/>
    <w:rsid w:val="008E330F"/>
    <w:rsid w:val="008E3900"/>
    <w:rsid w:val="008E6365"/>
    <w:rsid w:val="008E7AE3"/>
    <w:rsid w:val="008F19A4"/>
    <w:rsid w:val="008F2DBA"/>
    <w:rsid w:val="008F343B"/>
    <w:rsid w:val="008F749E"/>
    <w:rsid w:val="00900AAE"/>
    <w:rsid w:val="0090205A"/>
    <w:rsid w:val="00902321"/>
    <w:rsid w:val="00904D79"/>
    <w:rsid w:val="00907097"/>
    <w:rsid w:val="00910DC9"/>
    <w:rsid w:val="009115B8"/>
    <w:rsid w:val="009135AD"/>
    <w:rsid w:val="009139ED"/>
    <w:rsid w:val="00913D8A"/>
    <w:rsid w:val="00913EC4"/>
    <w:rsid w:val="00914C79"/>
    <w:rsid w:val="0091702E"/>
    <w:rsid w:val="00920411"/>
    <w:rsid w:val="00920B13"/>
    <w:rsid w:val="00921B08"/>
    <w:rsid w:val="00923292"/>
    <w:rsid w:val="00923722"/>
    <w:rsid w:val="009238FB"/>
    <w:rsid w:val="00925D16"/>
    <w:rsid w:val="00926962"/>
    <w:rsid w:val="00927275"/>
    <w:rsid w:val="0093122B"/>
    <w:rsid w:val="00934FFF"/>
    <w:rsid w:val="00936C4C"/>
    <w:rsid w:val="00936CE1"/>
    <w:rsid w:val="0094055A"/>
    <w:rsid w:val="00940A89"/>
    <w:rsid w:val="00945D36"/>
    <w:rsid w:val="00945F8B"/>
    <w:rsid w:val="00946EB4"/>
    <w:rsid w:val="0095328E"/>
    <w:rsid w:val="00953779"/>
    <w:rsid w:val="0095475F"/>
    <w:rsid w:val="009570C4"/>
    <w:rsid w:val="0096089B"/>
    <w:rsid w:val="00960D50"/>
    <w:rsid w:val="00961B78"/>
    <w:rsid w:val="00961D08"/>
    <w:rsid w:val="0096299C"/>
    <w:rsid w:val="00962A03"/>
    <w:rsid w:val="00963350"/>
    <w:rsid w:val="00963B68"/>
    <w:rsid w:val="009651E4"/>
    <w:rsid w:val="00966D16"/>
    <w:rsid w:val="00972460"/>
    <w:rsid w:val="00972AFF"/>
    <w:rsid w:val="009737E1"/>
    <w:rsid w:val="00973932"/>
    <w:rsid w:val="0097577B"/>
    <w:rsid w:val="00982280"/>
    <w:rsid w:val="00984791"/>
    <w:rsid w:val="00984BE3"/>
    <w:rsid w:val="0099074E"/>
    <w:rsid w:val="009912C8"/>
    <w:rsid w:val="00993D69"/>
    <w:rsid w:val="00993F34"/>
    <w:rsid w:val="00996F99"/>
    <w:rsid w:val="00997E9A"/>
    <w:rsid w:val="009A3B06"/>
    <w:rsid w:val="009A75E0"/>
    <w:rsid w:val="009B2E19"/>
    <w:rsid w:val="009B355D"/>
    <w:rsid w:val="009B39CC"/>
    <w:rsid w:val="009B3E5D"/>
    <w:rsid w:val="009B7771"/>
    <w:rsid w:val="009C19C7"/>
    <w:rsid w:val="009C1FB7"/>
    <w:rsid w:val="009C2F7A"/>
    <w:rsid w:val="009C3B96"/>
    <w:rsid w:val="009C529F"/>
    <w:rsid w:val="009D14A4"/>
    <w:rsid w:val="009D1B5B"/>
    <w:rsid w:val="009D5488"/>
    <w:rsid w:val="009E14A4"/>
    <w:rsid w:val="009E33A6"/>
    <w:rsid w:val="009E3482"/>
    <w:rsid w:val="009E35D6"/>
    <w:rsid w:val="009E3CE1"/>
    <w:rsid w:val="009E4F6B"/>
    <w:rsid w:val="009E547E"/>
    <w:rsid w:val="009E5897"/>
    <w:rsid w:val="009E7F4E"/>
    <w:rsid w:val="009F0A59"/>
    <w:rsid w:val="009F18C5"/>
    <w:rsid w:val="009F196A"/>
    <w:rsid w:val="009F340D"/>
    <w:rsid w:val="009F6140"/>
    <w:rsid w:val="009F7153"/>
    <w:rsid w:val="00A0313F"/>
    <w:rsid w:val="00A04F28"/>
    <w:rsid w:val="00A05965"/>
    <w:rsid w:val="00A06CD9"/>
    <w:rsid w:val="00A07251"/>
    <w:rsid w:val="00A07700"/>
    <w:rsid w:val="00A11328"/>
    <w:rsid w:val="00A1200A"/>
    <w:rsid w:val="00A12907"/>
    <w:rsid w:val="00A13335"/>
    <w:rsid w:val="00A15180"/>
    <w:rsid w:val="00A15C23"/>
    <w:rsid w:val="00A1624E"/>
    <w:rsid w:val="00A172D6"/>
    <w:rsid w:val="00A2011C"/>
    <w:rsid w:val="00A204CD"/>
    <w:rsid w:val="00A234CD"/>
    <w:rsid w:val="00A26DCE"/>
    <w:rsid w:val="00A26DFE"/>
    <w:rsid w:val="00A26FFB"/>
    <w:rsid w:val="00A27A67"/>
    <w:rsid w:val="00A30AB0"/>
    <w:rsid w:val="00A326EA"/>
    <w:rsid w:val="00A328F0"/>
    <w:rsid w:val="00A32912"/>
    <w:rsid w:val="00A34834"/>
    <w:rsid w:val="00A34A64"/>
    <w:rsid w:val="00A35DED"/>
    <w:rsid w:val="00A36B03"/>
    <w:rsid w:val="00A3700E"/>
    <w:rsid w:val="00A37914"/>
    <w:rsid w:val="00A37DB3"/>
    <w:rsid w:val="00A40CE3"/>
    <w:rsid w:val="00A40CEA"/>
    <w:rsid w:val="00A4112F"/>
    <w:rsid w:val="00A44298"/>
    <w:rsid w:val="00A45F8D"/>
    <w:rsid w:val="00A47416"/>
    <w:rsid w:val="00A478A9"/>
    <w:rsid w:val="00A47ABA"/>
    <w:rsid w:val="00A50A66"/>
    <w:rsid w:val="00A52761"/>
    <w:rsid w:val="00A52FAA"/>
    <w:rsid w:val="00A5628E"/>
    <w:rsid w:val="00A57D1D"/>
    <w:rsid w:val="00A60337"/>
    <w:rsid w:val="00A61CA7"/>
    <w:rsid w:val="00A622D0"/>
    <w:rsid w:val="00A62785"/>
    <w:rsid w:val="00A63749"/>
    <w:rsid w:val="00A63CA0"/>
    <w:rsid w:val="00A64072"/>
    <w:rsid w:val="00A66F7A"/>
    <w:rsid w:val="00A67787"/>
    <w:rsid w:val="00A76498"/>
    <w:rsid w:val="00A7694A"/>
    <w:rsid w:val="00A80377"/>
    <w:rsid w:val="00A80757"/>
    <w:rsid w:val="00A8721C"/>
    <w:rsid w:val="00A90E78"/>
    <w:rsid w:val="00A91620"/>
    <w:rsid w:val="00A92E11"/>
    <w:rsid w:val="00A9524F"/>
    <w:rsid w:val="00A95A81"/>
    <w:rsid w:val="00A95DFB"/>
    <w:rsid w:val="00A963FD"/>
    <w:rsid w:val="00A96D6B"/>
    <w:rsid w:val="00A970EA"/>
    <w:rsid w:val="00AA13EA"/>
    <w:rsid w:val="00AA151F"/>
    <w:rsid w:val="00AA22A4"/>
    <w:rsid w:val="00AA3873"/>
    <w:rsid w:val="00AA4395"/>
    <w:rsid w:val="00AA4890"/>
    <w:rsid w:val="00AA55B7"/>
    <w:rsid w:val="00AA62C8"/>
    <w:rsid w:val="00AB1034"/>
    <w:rsid w:val="00AB29D9"/>
    <w:rsid w:val="00AB2B98"/>
    <w:rsid w:val="00AB458E"/>
    <w:rsid w:val="00AB4B30"/>
    <w:rsid w:val="00AB4C54"/>
    <w:rsid w:val="00AB6470"/>
    <w:rsid w:val="00AB6B9F"/>
    <w:rsid w:val="00AC04F5"/>
    <w:rsid w:val="00AC0E33"/>
    <w:rsid w:val="00AC10ED"/>
    <w:rsid w:val="00AC1218"/>
    <w:rsid w:val="00AC2032"/>
    <w:rsid w:val="00AC2732"/>
    <w:rsid w:val="00AC2B42"/>
    <w:rsid w:val="00AC4246"/>
    <w:rsid w:val="00AC69D9"/>
    <w:rsid w:val="00AD0983"/>
    <w:rsid w:val="00AD122A"/>
    <w:rsid w:val="00AD2942"/>
    <w:rsid w:val="00AD3BB2"/>
    <w:rsid w:val="00AE037D"/>
    <w:rsid w:val="00AE1B80"/>
    <w:rsid w:val="00AE4DF3"/>
    <w:rsid w:val="00AE52B5"/>
    <w:rsid w:val="00AF0E44"/>
    <w:rsid w:val="00AF3CBD"/>
    <w:rsid w:val="00AF610D"/>
    <w:rsid w:val="00AF6C01"/>
    <w:rsid w:val="00B00033"/>
    <w:rsid w:val="00B01DFF"/>
    <w:rsid w:val="00B034F7"/>
    <w:rsid w:val="00B10712"/>
    <w:rsid w:val="00B12F38"/>
    <w:rsid w:val="00B139EB"/>
    <w:rsid w:val="00B14572"/>
    <w:rsid w:val="00B14B20"/>
    <w:rsid w:val="00B15177"/>
    <w:rsid w:val="00B16703"/>
    <w:rsid w:val="00B17436"/>
    <w:rsid w:val="00B17B59"/>
    <w:rsid w:val="00B2328D"/>
    <w:rsid w:val="00B27219"/>
    <w:rsid w:val="00B27C5B"/>
    <w:rsid w:val="00B3041E"/>
    <w:rsid w:val="00B3059E"/>
    <w:rsid w:val="00B3067D"/>
    <w:rsid w:val="00B35229"/>
    <w:rsid w:val="00B355BB"/>
    <w:rsid w:val="00B35C2C"/>
    <w:rsid w:val="00B36D4B"/>
    <w:rsid w:val="00B3747C"/>
    <w:rsid w:val="00B3755A"/>
    <w:rsid w:val="00B4040F"/>
    <w:rsid w:val="00B435CD"/>
    <w:rsid w:val="00B45AC0"/>
    <w:rsid w:val="00B45D6B"/>
    <w:rsid w:val="00B46611"/>
    <w:rsid w:val="00B477A6"/>
    <w:rsid w:val="00B50C72"/>
    <w:rsid w:val="00B51D22"/>
    <w:rsid w:val="00B53CDF"/>
    <w:rsid w:val="00B545CB"/>
    <w:rsid w:val="00B559DE"/>
    <w:rsid w:val="00B60D6A"/>
    <w:rsid w:val="00B61A5E"/>
    <w:rsid w:val="00B641C8"/>
    <w:rsid w:val="00B72491"/>
    <w:rsid w:val="00B73B31"/>
    <w:rsid w:val="00B73D72"/>
    <w:rsid w:val="00B742EC"/>
    <w:rsid w:val="00B75091"/>
    <w:rsid w:val="00B75462"/>
    <w:rsid w:val="00B80576"/>
    <w:rsid w:val="00B84A2D"/>
    <w:rsid w:val="00B85FD0"/>
    <w:rsid w:val="00B866B9"/>
    <w:rsid w:val="00B87AEF"/>
    <w:rsid w:val="00B87C4D"/>
    <w:rsid w:val="00B87F5A"/>
    <w:rsid w:val="00B90D33"/>
    <w:rsid w:val="00B9173B"/>
    <w:rsid w:val="00B93077"/>
    <w:rsid w:val="00B93E86"/>
    <w:rsid w:val="00B947C6"/>
    <w:rsid w:val="00B9517A"/>
    <w:rsid w:val="00B953DF"/>
    <w:rsid w:val="00B967AC"/>
    <w:rsid w:val="00BA0E8D"/>
    <w:rsid w:val="00BA47AF"/>
    <w:rsid w:val="00BA495A"/>
    <w:rsid w:val="00BA49D0"/>
    <w:rsid w:val="00BB0863"/>
    <w:rsid w:val="00BB3F05"/>
    <w:rsid w:val="00BB41EA"/>
    <w:rsid w:val="00BB61F7"/>
    <w:rsid w:val="00BB6A2D"/>
    <w:rsid w:val="00BC14A0"/>
    <w:rsid w:val="00BC6041"/>
    <w:rsid w:val="00BD2793"/>
    <w:rsid w:val="00BD6726"/>
    <w:rsid w:val="00BD7EC0"/>
    <w:rsid w:val="00BE164E"/>
    <w:rsid w:val="00BE1C91"/>
    <w:rsid w:val="00BE2250"/>
    <w:rsid w:val="00BE2CBD"/>
    <w:rsid w:val="00BE3EBF"/>
    <w:rsid w:val="00BE5419"/>
    <w:rsid w:val="00BE61CF"/>
    <w:rsid w:val="00BE6D97"/>
    <w:rsid w:val="00BF0E34"/>
    <w:rsid w:val="00BF212D"/>
    <w:rsid w:val="00BF21F4"/>
    <w:rsid w:val="00BF32AA"/>
    <w:rsid w:val="00BF3D2E"/>
    <w:rsid w:val="00C003F3"/>
    <w:rsid w:val="00C0075F"/>
    <w:rsid w:val="00C01A9A"/>
    <w:rsid w:val="00C02BB0"/>
    <w:rsid w:val="00C044D5"/>
    <w:rsid w:val="00C05703"/>
    <w:rsid w:val="00C059C1"/>
    <w:rsid w:val="00C06686"/>
    <w:rsid w:val="00C0712B"/>
    <w:rsid w:val="00C076D2"/>
    <w:rsid w:val="00C110E6"/>
    <w:rsid w:val="00C116CB"/>
    <w:rsid w:val="00C12CF8"/>
    <w:rsid w:val="00C207FE"/>
    <w:rsid w:val="00C21896"/>
    <w:rsid w:val="00C3014B"/>
    <w:rsid w:val="00C3099C"/>
    <w:rsid w:val="00C30B8D"/>
    <w:rsid w:val="00C30F71"/>
    <w:rsid w:val="00C311ED"/>
    <w:rsid w:val="00C32AF0"/>
    <w:rsid w:val="00C33AF8"/>
    <w:rsid w:val="00C34563"/>
    <w:rsid w:val="00C35A02"/>
    <w:rsid w:val="00C3657D"/>
    <w:rsid w:val="00C42A81"/>
    <w:rsid w:val="00C4594A"/>
    <w:rsid w:val="00C46380"/>
    <w:rsid w:val="00C50474"/>
    <w:rsid w:val="00C52A92"/>
    <w:rsid w:val="00C53879"/>
    <w:rsid w:val="00C5446B"/>
    <w:rsid w:val="00C56A98"/>
    <w:rsid w:val="00C60026"/>
    <w:rsid w:val="00C61289"/>
    <w:rsid w:val="00C61B02"/>
    <w:rsid w:val="00C6241E"/>
    <w:rsid w:val="00C62C76"/>
    <w:rsid w:val="00C64836"/>
    <w:rsid w:val="00C66575"/>
    <w:rsid w:val="00C712D1"/>
    <w:rsid w:val="00C713E4"/>
    <w:rsid w:val="00C71728"/>
    <w:rsid w:val="00C72543"/>
    <w:rsid w:val="00C73B17"/>
    <w:rsid w:val="00C74DE8"/>
    <w:rsid w:val="00C752A4"/>
    <w:rsid w:val="00C7655C"/>
    <w:rsid w:val="00C76777"/>
    <w:rsid w:val="00C76C0F"/>
    <w:rsid w:val="00C76CB3"/>
    <w:rsid w:val="00C8099E"/>
    <w:rsid w:val="00C827F7"/>
    <w:rsid w:val="00C83110"/>
    <w:rsid w:val="00C90B0D"/>
    <w:rsid w:val="00C91F7A"/>
    <w:rsid w:val="00C92A5E"/>
    <w:rsid w:val="00C92D90"/>
    <w:rsid w:val="00C94364"/>
    <w:rsid w:val="00C97505"/>
    <w:rsid w:val="00CA1273"/>
    <w:rsid w:val="00CA18E1"/>
    <w:rsid w:val="00CA2DC4"/>
    <w:rsid w:val="00CA3B30"/>
    <w:rsid w:val="00CA54E1"/>
    <w:rsid w:val="00CA6865"/>
    <w:rsid w:val="00CA6A07"/>
    <w:rsid w:val="00CB02C0"/>
    <w:rsid w:val="00CB32BE"/>
    <w:rsid w:val="00CB34E1"/>
    <w:rsid w:val="00CB47D1"/>
    <w:rsid w:val="00CB5AFE"/>
    <w:rsid w:val="00CB5EC9"/>
    <w:rsid w:val="00CB7044"/>
    <w:rsid w:val="00CC20D3"/>
    <w:rsid w:val="00CC3EB3"/>
    <w:rsid w:val="00CC49E3"/>
    <w:rsid w:val="00CC6133"/>
    <w:rsid w:val="00CC719D"/>
    <w:rsid w:val="00CC72B6"/>
    <w:rsid w:val="00CC764C"/>
    <w:rsid w:val="00CC77A3"/>
    <w:rsid w:val="00CD0CB5"/>
    <w:rsid w:val="00CD1171"/>
    <w:rsid w:val="00CD1F51"/>
    <w:rsid w:val="00CD27E6"/>
    <w:rsid w:val="00CD2FC0"/>
    <w:rsid w:val="00CD33AB"/>
    <w:rsid w:val="00CD354A"/>
    <w:rsid w:val="00CD4D48"/>
    <w:rsid w:val="00CD4E63"/>
    <w:rsid w:val="00CE2471"/>
    <w:rsid w:val="00CE50D0"/>
    <w:rsid w:val="00CE56C6"/>
    <w:rsid w:val="00CE6092"/>
    <w:rsid w:val="00CE7F27"/>
    <w:rsid w:val="00CF1E26"/>
    <w:rsid w:val="00CF2E30"/>
    <w:rsid w:val="00CF3267"/>
    <w:rsid w:val="00CF5FE3"/>
    <w:rsid w:val="00CF65A1"/>
    <w:rsid w:val="00CF7C0F"/>
    <w:rsid w:val="00D03DE2"/>
    <w:rsid w:val="00D04004"/>
    <w:rsid w:val="00D04766"/>
    <w:rsid w:val="00D04B06"/>
    <w:rsid w:val="00D05A2B"/>
    <w:rsid w:val="00D12094"/>
    <w:rsid w:val="00D14755"/>
    <w:rsid w:val="00D154B5"/>
    <w:rsid w:val="00D16B7A"/>
    <w:rsid w:val="00D17EFC"/>
    <w:rsid w:val="00D2062C"/>
    <w:rsid w:val="00D209E8"/>
    <w:rsid w:val="00D21450"/>
    <w:rsid w:val="00D21577"/>
    <w:rsid w:val="00D22A58"/>
    <w:rsid w:val="00D2578D"/>
    <w:rsid w:val="00D26F38"/>
    <w:rsid w:val="00D27FEE"/>
    <w:rsid w:val="00D31E83"/>
    <w:rsid w:val="00D3630E"/>
    <w:rsid w:val="00D36894"/>
    <w:rsid w:val="00D37E76"/>
    <w:rsid w:val="00D417AB"/>
    <w:rsid w:val="00D41CD7"/>
    <w:rsid w:val="00D424BF"/>
    <w:rsid w:val="00D43244"/>
    <w:rsid w:val="00D43F24"/>
    <w:rsid w:val="00D463A8"/>
    <w:rsid w:val="00D4674A"/>
    <w:rsid w:val="00D54F7F"/>
    <w:rsid w:val="00D575A0"/>
    <w:rsid w:val="00D61A1B"/>
    <w:rsid w:val="00D622DA"/>
    <w:rsid w:val="00D6349B"/>
    <w:rsid w:val="00D65626"/>
    <w:rsid w:val="00D65670"/>
    <w:rsid w:val="00D66414"/>
    <w:rsid w:val="00D67643"/>
    <w:rsid w:val="00D71D11"/>
    <w:rsid w:val="00D71E4E"/>
    <w:rsid w:val="00D7471C"/>
    <w:rsid w:val="00D77E57"/>
    <w:rsid w:val="00D80B4C"/>
    <w:rsid w:val="00D80B98"/>
    <w:rsid w:val="00D81530"/>
    <w:rsid w:val="00D81FC2"/>
    <w:rsid w:val="00D8294A"/>
    <w:rsid w:val="00D8426F"/>
    <w:rsid w:val="00D84C33"/>
    <w:rsid w:val="00D85396"/>
    <w:rsid w:val="00D86B06"/>
    <w:rsid w:val="00D90F8F"/>
    <w:rsid w:val="00D91843"/>
    <w:rsid w:val="00D91AB2"/>
    <w:rsid w:val="00D9317E"/>
    <w:rsid w:val="00D95A8A"/>
    <w:rsid w:val="00D96E59"/>
    <w:rsid w:val="00D97056"/>
    <w:rsid w:val="00D9725A"/>
    <w:rsid w:val="00D973FA"/>
    <w:rsid w:val="00D976AF"/>
    <w:rsid w:val="00D97B1B"/>
    <w:rsid w:val="00DA19CE"/>
    <w:rsid w:val="00DA414B"/>
    <w:rsid w:val="00DB2DE2"/>
    <w:rsid w:val="00DB331E"/>
    <w:rsid w:val="00DB4213"/>
    <w:rsid w:val="00DB5194"/>
    <w:rsid w:val="00DB57B9"/>
    <w:rsid w:val="00DB6252"/>
    <w:rsid w:val="00DB6B2E"/>
    <w:rsid w:val="00DB6DF3"/>
    <w:rsid w:val="00DB7849"/>
    <w:rsid w:val="00DC00BF"/>
    <w:rsid w:val="00DC04D5"/>
    <w:rsid w:val="00DC4FFC"/>
    <w:rsid w:val="00DC6D36"/>
    <w:rsid w:val="00DD05A1"/>
    <w:rsid w:val="00DD0645"/>
    <w:rsid w:val="00DD079B"/>
    <w:rsid w:val="00DD0D61"/>
    <w:rsid w:val="00DD1721"/>
    <w:rsid w:val="00DD2274"/>
    <w:rsid w:val="00DD3123"/>
    <w:rsid w:val="00DD41F0"/>
    <w:rsid w:val="00DD689E"/>
    <w:rsid w:val="00DD6DAF"/>
    <w:rsid w:val="00DE0689"/>
    <w:rsid w:val="00DE222A"/>
    <w:rsid w:val="00DE22FF"/>
    <w:rsid w:val="00DF21AF"/>
    <w:rsid w:val="00DF26C1"/>
    <w:rsid w:val="00DF34E2"/>
    <w:rsid w:val="00DF4316"/>
    <w:rsid w:val="00DF7A6F"/>
    <w:rsid w:val="00DF7BA1"/>
    <w:rsid w:val="00E0181B"/>
    <w:rsid w:val="00E01AC2"/>
    <w:rsid w:val="00E01DF3"/>
    <w:rsid w:val="00E05824"/>
    <w:rsid w:val="00E06BD2"/>
    <w:rsid w:val="00E0721E"/>
    <w:rsid w:val="00E1020E"/>
    <w:rsid w:val="00E110FC"/>
    <w:rsid w:val="00E14E41"/>
    <w:rsid w:val="00E152C7"/>
    <w:rsid w:val="00E15496"/>
    <w:rsid w:val="00E161A7"/>
    <w:rsid w:val="00E232AA"/>
    <w:rsid w:val="00E2414B"/>
    <w:rsid w:val="00E3276B"/>
    <w:rsid w:val="00E3276D"/>
    <w:rsid w:val="00E34EFD"/>
    <w:rsid w:val="00E354E7"/>
    <w:rsid w:val="00E375CB"/>
    <w:rsid w:val="00E37CDE"/>
    <w:rsid w:val="00E40087"/>
    <w:rsid w:val="00E41655"/>
    <w:rsid w:val="00E46F74"/>
    <w:rsid w:val="00E47670"/>
    <w:rsid w:val="00E47BAD"/>
    <w:rsid w:val="00E52A96"/>
    <w:rsid w:val="00E5553E"/>
    <w:rsid w:val="00E55F60"/>
    <w:rsid w:val="00E568C3"/>
    <w:rsid w:val="00E6026E"/>
    <w:rsid w:val="00E6099F"/>
    <w:rsid w:val="00E62FA4"/>
    <w:rsid w:val="00E635CE"/>
    <w:rsid w:val="00E64B2B"/>
    <w:rsid w:val="00E651CC"/>
    <w:rsid w:val="00E66BD9"/>
    <w:rsid w:val="00E67DF6"/>
    <w:rsid w:val="00E70F46"/>
    <w:rsid w:val="00E71AEE"/>
    <w:rsid w:val="00E7354A"/>
    <w:rsid w:val="00E769A4"/>
    <w:rsid w:val="00E8017C"/>
    <w:rsid w:val="00E82A65"/>
    <w:rsid w:val="00E8523D"/>
    <w:rsid w:val="00E87AAD"/>
    <w:rsid w:val="00E92618"/>
    <w:rsid w:val="00E92DED"/>
    <w:rsid w:val="00E953DA"/>
    <w:rsid w:val="00E95BB9"/>
    <w:rsid w:val="00E95E27"/>
    <w:rsid w:val="00E9673A"/>
    <w:rsid w:val="00EA2F6C"/>
    <w:rsid w:val="00EA3AA5"/>
    <w:rsid w:val="00EA68CB"/>
    <w:rsid w:val="00EA73D9"/>
    <w:rsid w:val="00EA76C0"/>
    <w:rsid w:val="00EB05AF"/>
    <w:rsid w:val="00EB3294"/>
    <w:rsid w:val="00EB451A"/>
    <w:rsid w:val="00EB5587"/>
    <w:rsid w:val="00EB55F5"/>
    <w:rsid w:val="00EB69CB"/>
    <w:rsid w:val="00EC08A0"/>
    <w:rsid w:val="00EC10A3"/>
    <w:rsid w:val="00EC1180"/>
    <w:rsid w:val="00EC25D9"/>
    <w:rsid w:val="00EC3CA9"/>
    <w:rsid w:val="00EC3D74"/>
    <w:rsid w:val="00EC5819"/>
    <w:rsid w:val="00EC5A52"/>
    <w:rsid w:val="00EC6036"/>
    <w:rsid w:val="00EC697B"/>
    <w:rsid w:val="00ED0E77"/>
    <w:rsid w:val="00ED3F7C"/>
    <w:rsid w:val="00ED442F"/>
    <w:rsid w:val="00ED63BB"/>
    <w:rsid w:val="00ED68BE"/>
    <w:rsid w:val="00EE2F97"/>
    <w:rsid w:val="00EE5253"/>
    <w:rsid w:val="00EE5B7A"/>
    <w:rsid w:val="00EE647D"/>
    <w:rsid w:val="00EF1BB4"/>
    <w:rsid w:val="00EF2516"/>
    <w:rsid w:val="00EF386D"/>
    <w:rsid w:val="00EF3BD5"/>
    <w:rsid w:val="00EF46DB"/>
    <w:rsid w:val="00EF5B09"/>
    <w:rsid w:val="00F012FD"/>
    <w:rsid w:val="00F016FB"/>
    <w:rsid w:val="00F017C1"/>
    <w:rsid w:val="00F0290C"/>
    <w:rsid w:val="00F02B7E"/>
    <w:rsid w:val="00F0304E"/>
    <w:rsid w:val="00F065C8"/>
    <w:rsid w:val="00F13FE0"/>
    <w:rsid w:val="00F167DB"/>
    <w:rsid w:val="00F17009"/>
    <w:rsid w:val="00F20F72"/>
    <w:rsid w:val="00F22241"/>
    <w:rsid w:val="00F2451D"/>
    <w:rsid w:val="00F2601D"/>
    <w:rsid w:val="00F2799E"/>
    <w:rsid w:val="00F310A8"/>
    <w:rsid w:val="00F33304"/>
    <w:rsid w:val="00F34CE4"/>
    <w:rsid w:val="00F35405"/>
    <w:rsid w:val="00F3663C"/>
    <w:rsid w:val="00F37046"/>
    <w:rsid w:val="00F42095"/>
    <w:rsid w:val="00F42230"/>
    <w:rsid w:val="00F43191"/>
    <w:rsid w:val="00F43CB2"/>
    <w:rsid w:val="00F4530D"/>
    <w:rsid w:val="00F46B06"/>
    <w:rsid w:val="00F50060"/>
    <w:rsid w:val="00F51246"/>
    <w:rsid w:val="00F52658"/>
    <w:rsid w:val="00F528D4"/>
    <w:rsid w:val="00F52E23"/>
    <w:rsid w:val="00F53BE7"/>
    <w:rsid w:val="00F540BA"/>
    <w:rsid w:val="00F61197"/>
    <w:rsid w:val="00F61676"/>
    <w:rsid w:val="00F62389"/>
    <w:rsid w:val="00F643EA"/>
    <w:rsid w:val="00F64A7E"/>
    <w:rsid w:val="00F66C9F"/>
    <w:rsid w:val="00F67359"/>
    <w:rsid w:val="00F674F5"/>
    <w:rsid w:val="00F71A5E"/>
    <w:rsid w:val="00F72C70"/>
    <w:rsid w:val="00F73FB5"/>
    <w:rsid w:val="00F75A93"/>
    <w:rsid w:val="00F77D56"/>
    <w:rsid w:val="00F83FFC"/>
    <w:rsid w:val="00F9172B"/>
    <w:rsid w:val="00F92069"/>
    <w:rsid w:val="00FA0841"/>
    <w:rsid w:val="00FA1103"/>
    <w:rsid w:val="00FA12D0"/>
    <w:rsid w:val="00FA1FDD"/>
    <w:rsid w:val="00FA2C36"/>
    <w:rsid w:val="00FA432F"/>
    <w:rsid w:val="00FA43D5"/>
    <w:rsid w:val="00FA5E31"/>
    <w:rsid w:val="00FB1139"/>
    <w:rsid w:val="00FB3014"/>
    <w:rsid w:val="00FB3AF6"/>
    <w:rsid w:val="00FB63D2"/>
    <w:rsid w:val="00FB7DC8"/>
    <w:rsid w:val="00FC2644"/>
    <w:rsid w:val="00FC4E29"/>
    <w:rsid w:val="00FC7420"/>
    <w:rsid w:val="00FD4C42"/>
    <w:rsid w:val="00FE1721"/>
    <w:rsid w:val="00FE1923"/>
    <w:rsid w:val="00FE2298"/>
    <w:rsid w:val="00FE4275"/>
    <w:rsid w:val="00FE4DA7"/>
    <w:rsid w:val="00FE7650"/>
    <w:rsid w:val="00FE775B"/>
    <w:rsid w:val="00FF14DA"/>
    <w:rsid w:val="00FF19D9"/>
    <w:rsid w:val="00FF3FFA"/>
    <w:rsid w:val="00FF51FB"/>
    <w:rsid w:val="00FF6736"/>
    <w:rsid w:val="00FF67F1"/>
    <w:rsid w:val="00FF7A04"/>
    <w:rsid w:val="00FF7E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5:docId w15:val="{962E092F-F599-4773-A2CC-0DEEA8151A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37DB3"/>
    <w:rPr>
      <w:sz w:val="24"/>
    </w:rPr>
  </w:style>
  <w:style w:type="paragraph" w:styleId="Heading1">
    <w:name w:val="heading 1"/>
    <w:basedOn w:val="Normal"/>
    <w:next w:val="Normal"/>
    <w:link w:val="Heading1Char"/>
    <w:autoRedefine/>
    <w:qFormat/>
    <w:rsid w:val="00A37DB3"/>
    <w:pPr>
      <w:keepNext/>
      <w:numPr>
        <w:numId w:val="21"/>
      </w:numPr>
      <w:outlineLvl w:val="0"/>
    </w:pPr>
    <w:rPr>
      <w:rFonts w:ascii="Arial" w:hAnsi="Arial"/>
      <w:b/>
      <w:sz w:val="32"/>
    </w:rPr>
  </w:style>
  <w:style w:type="paragraph" w:styleId="Heading2">
    <w:name w:val="heading 2"/>
    <w:basedOn w:val="Normal"/>
    <w:next w:val="Normal"/>
    <w:link w:val="Heading2Char"/>
    <w:autoRedefine/>
    <w:qFormat/>
    <w:rsid w:val="00F643EA"/>
    <w:pPr>
      <w:keepNext/>
      <w:numPr>
        <w:ilvl w:val="1"/>
        <w:numId w:val="21"/>
      </w:numPr>
      <w:outlineLvl w:val="1"/>
    </w:pPr>
    <w:rPr>
      <w:rFonts w:ascii="Arial" w:hAnsi="Arial"/>
      <w:b/>
      <w:sz w:val="28"/>
    </w:rPr>
  </w:style>
  <w:style w:type="paragraph" w:styleId="Heading3">
    <w:name w:val="heading 3"/>
    <w:basedOn w:val="Normal"/>
    <w:next w:val="Normal"/>
    <w:link w:val="Heading3Char"/>
    <w:autoRedefine/>
    <w:qFormat/>
    <w:rsid w:val="00F643EA"/>
    <w:pPr>
      <w:keepNext/>
      <w:numPr>
        <w:ilvl w:val="2"/>
        <w:numId w:val="21"/>
      </w:numPr>
      <w:tabs>
        <w:tab w:val="left" w:pos="720"/>
      </w:tabs>
      <w:ind w:left="720"/>
      <w:outlineLvl w:val="2"/>
    </w:pPr>
    <w:rPr>
      <w:rFonts w:ascii="Arial" w:hAnsi="Arial"/>
      <w:b/>
    </w:rPr>
  </w:style>
  <w:style w:type="paragraph" w:styleId="Heading4">
    <w:name w:val="heading 4"/>
    <w:basedOn w:val="Normal"/>
    <w:next w:val="Normal"/>
    <w:autoRedefine/>
    <w:qFormat/>
    <w:rsid w:val="00A37DB3"/>
    <w:pPr>
      <w:keepNext/>
      <w:numPr>
        <w:ilvl w:val="3"/>
        <w:numId w:val="21"/>
      </w:numPr>
      <w:spacing w:before="240" w:after="60"/>
      <w:outlineLvl w:val="3"/>
    </w:pPr>
    <w:rPr>
      <w:rFonts w:ascii="Arial" w:hAnsi="Arial"/>
      <w:bCs/>
      <w:szCs w:val="28"/>
    </w:rPr>
  </w:style>
  <w:style w:type="paragraph" w:styleId="Heading5">
    <w:name w:val="heading 5"/>
    <w:basedOn w:val="Normal"/>
    <w:next w:val="Normal"/>
    <w:qFormat/>
    <w:rsid w:val="00A37DB3"/>
    <w:pPr>
      <w:numPr>
        <w:ilvl w:val="4"/>
        <w:numId w:val="21"/>
      </w:numPr>
      <w:spacing w:before="240" w:after="60"/>
      <w:outlineLvl w:val="4"/>
    </w:pPr>
    <w:rPr>
      <w:b/>
      <w:bCs/>
      <w:i/>
      <w:iCs/>
      <w:sz w:val="26"/>
      <w:szCs w:val="26"/>
    </w:rPr>
  </w:style>
  <w:style w:type="paragraph" w:styleId="Heading6">
    <w:name w:val="heading 6"/>
    <w:basedOn w:val="Normal"/>
    <w:next w:val="Normal"/>
    <w:qFormat/>
    <w:rsid w:val="00A37DB3"/>
    <w:pPr>
      <w:numPr>
        <w:ilvl w:val="5"/>
        <w:numId w:val="21"/>
      </w:numPr>
      <w:spacing w:before="240" w:after="60"/>
      <w:outlineLvl w:val="5"/>
    </w:pPr>
    <w:rPr>
      <w:b/>
      <w:bCs/>
      <w:sz w:val="22"/>
      <w:szCs w:val="22"/>
    </w:rPr>
  </w:style>
  <w:style w:type="paragraph" w:styleId="Heading7">
    <w:name w:val="heading 7"/>
    <w:basedOn w:val="Normal"/>
    <w:next w:val="Normal"/>
    <w:qFormat/>
    <w:rsid w:val="00A37DB3"/>
    <w:pPr>
      <w:numPr>
        <w:ilvl w:val="6"/>
        <w:numId w:val="21"/>
      </w:numPr>
      <w:spacing w:before="240" w:after="60"/>
      <w:outlineLvl w:val="6"/>
    </w:pPr>
    <w:rPr>
      <w:szCs w:val="24"/>
    </w:rPr>
  </w:style>
  <w:style w:type="paragraph" w:styleId="Heading8">
    <w:name w:val="heading 8"/>
    <w:basedOn w:val="Normal"/>
    <w:next w:val="Normal"/>
    <w:qFormat/>
    <w:rsid w:val="00A37DB3"/>
    <w:pPr>
      <w:numPr>
        <w:ilvl w:val="7"/>
        <w:numId w:val="21"/>
      </w:numPr>
      <w:spacing w:before="240" w:after="60"/>
      <w:outlineLvl w:val="7"/>
    </w:pPr>
    <w:rPr>
      <w:i/>
      <w:iCs/>
      <w:szCs w:val="24"/>
    </w:rPr>
  </w:style>
  <w:style w:type="paragraph" w:styleId="Heading9">
    <w:name w:val="heading 9"/>
    <w:basedOn w:val="Normal"/>
    <w:next w:val="Normal"/>
    <w:qFormat/>
    <w:rsid w:val="00A37DB3"/>
    <w:pPr>
      <w:numPr>
        <w:ilvl w:val="8"/>
        <w:numId w:val="2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F13F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F02B7E"/>
    <w:pPr>
      <w:tabs>
        <w:tab w:val="center" w:pos="4320"/>
        <w:tab w:val="right" w:pos="8640"/>
      </w:tabs>
    </w:pPr>
  </w:style>
  <w:style w:type="paragraph" w:styleId="Footer">
    <w:name w:val="footer"/>
    <w:basedOn w:val="Normal"/>
    <w:rsid w:val="00F02B7E"/>
    <w:pPr>
      <w:tabs>
        <w:tab w:val="center" w:pos="4320"/>
        <w:tab w:val="right" w:pos="8640"/>
      </w:tabs>
    </w:pPr>
  </w:style>
  <w:style w:type="character" w:styleId="PageNumber">
    <w:name w:val="page number"/>
    <w:basedOn w:val="DefaultParagraphFont"/>
    <w:rsid w:val="00F02B7E"/>
  </w:style>
  <w:style w:type="paragraph" w:styleId="BalloonText">
    <w:name w:val="Balloon Text"/>
    <w:basedOn w:val="Normal"/>
    <w:semiHidden/>
    <w:rsid w:val="00247C30"/>
    <w:rPr>
      <w:rFonts w:ascii="Tahoma" w:hAnsi="Tahoma" w:cs="Tahoma"/>
      <w:sz w:val="16"/>
      <w:szCs w:val="16"/>
    </w:rPr>
  </w:style>
  <w:style w:type="paragraph" w:styleId="Caption">
    <w:name w:val="caption"/>
    <w:basedOn w:val="Normal"/>
    <w:next w:val="Normal"/>
    <w:qFormat/>
    <w:rsid w:val="00A37DB3"/>
    <w:rPr>
      <w:b/>
      <w:bCs/>
      <w:sz w:val="20"/>
    </w:rPr>
  </w:style>
  <w:style w:type="paragraph" w:styleId="TOC1">
    <w:name w:val="toc 1"/>
    <w:basedOn w:val="Normal"/>
    <w:next w:val="Normal"/>
    <w:autoRedefine/>
    <w:uiPriority w:val="39"/>
    <w:rsid w:val="001927FA"/>
    <w:pPr>
      <w:tabs>
        <w:tab w:val="left" w:pos="540"/>
        <w:tab w:val="left" w:pos="720"/>
        <w:tab w:val="left" w:pos="900"/>
        <w:tab w:val="right" w:leader="dot" w:pos="9360"/>
      </w:tabs>
      <w:jc w:val="center"/>
    </w:pPr>
    <w:rPr>
      <w:rFonts w:ascii="Arial" w:hAnsi="Arial" w:cs="Arial"/>
      <w:b/>
      <w:noProof/>
    </w:rPr>
  </w:style>
  <w:style w:type="character" w:styleId="Hyperlink">
    <w:name w:val="Hyperlink"/>
    <w:basedOn w:val="DefaultParagraphFont"/>
    <w:uiPriority w:val="99"/>
    <w:rsid w:val="009A3B06"/>
    <w:rPr>
      <w:color w:val="0000FF"/>
      <w:u w:val="single"/>
    </w:rPr>
  </w:style>
  <w:style w:type="paragraph" w:styleId="TOC2">
    <w:name w:val="toc 2"/>
    <w:basedOn w:val="Normal"/>
    <w:next w:val="Normal"/>
    <w:autoRedefine/>
    <w:uiPriority w:val="39"/>
    <w:rsid w:val="00997E9A"/>
    <w:pPr>
      <w:tabs>
        <w:tab w:val="left" w:pos="540"/>
        <w:tab w:val="left" w:pos="900"/>
        <w:tab w:val="left" w:pos="960"/>
        <w:tab w:val="right" w:leader="dot" w:pos="9360"/>
      </w:tabs>
      <w:ind w:left="240"/>
    </w:pPr>
  </w:style>
  <w:style w:type="character" w:customStyle="1" w:styleId="Heading2Char">
    <w:name w:val="Heading 2 Char"/>
    <w:basedOn w:val="DefaultParagraphFont"/>
    <w:link w:val="Heading2"/>
    <w:rsid w:val="00F643EA"/>
    <w:rPr>
      <w:rFonts w:ascii="Arial" w:hAnsi="Arial"/>
      <w:b/>
      <w:sz w:val="28"/>
    </w:rPr>
  </w:style>
  <w:style w:type="paragraph" w:customStyle="1" w:styleId="StyleHeading2centered">
    <w:name w:val="Style Heading 2 + centered"/>
    <w:basedOn w:val="Heading2"/>
    <w:autoRedefine/>
    <w:rsid w:val="00AB6B9F"/>
    <w:rPr>
      <w:bCs/>
    </w:rPr>
  </w:style>
  <w:style w:type="character" w:customStyle="1" w:styleId="Heading1Char">
    <w:name w:val="Heading 1 Char"/>
    <w:basedOn w:val="DefaultParagraphFont"/>
    <w:link w:val="Heading1"/>
    <w:rsid w:val="002B2C14"/>
    <w:rPr>
      <w:rFonts w:ascii="Arial" w:hAnsi="Arial"/>
      <w:b/>
      <w:sz w:val="32"/>
    </w:rPr>
  </w:style>
  <w:style w:type="paragraph" w:styleId="ListParagraph">
    <w:name w:val="List Paragraph"/>
    <w:basedOn w:val="Normal"/>
    <w:uiPriority w:val="34"/>
    <w:qFormat/>
    <w:rsid w:val="00A37DB3"/>
    <w:pPr>
      <w:ind w:left="720"/>
    </w:pPr>
  </w:style>
  <w:style w:type="paragraph" w:styleId="TOC3">
    <w:name w:val="toc 3"/>
    <w:basedOn w:val="Normal"/>
    <w:next w:val="Normal"/>
    <w:autoRedefine/>
    <w:uiPriority w:val="39"/>
    <w:rsid w:val="00D97B1B"/>
    <w:pPr>
      <w:ind w:left="480"/>
    </w:pPr>
  </w:style>
  <w:style w:type="character" w:customStyle="1" w:styleId="Heading3Char">
    <w:name w:val="Heading 3 Char"/>
    <w:basedOn w:val="DefaultParagraphFont"/>
    <w:link w:val="Heading3"/>
    <w:rsid w:val="00ED68BE"/>
    <w:rPr>
      <w:rFonts w:ascii="Arial" w:hAnsi="Arial"/>
      <w:b/>
      <w:sz w:val="24"/>
    </w:rPr>
  </w:style>
  <w:style w:type="character" w:customStyle="1" w:styleId="HeaderChar">
    <w:name w:val="Header Char"/>
    <w:basedOn w:val="DefaultParagraphFont"/>
    <w:link w:val="Header"/>
    <w:uiPriority w:val="99"/>
    <w:rsid w:val="00921B08"/>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161428">
      <w:bodyDiv w:val="1"/>
      <w:marLeft w:val="0"/>
      <w:marRight w:val="0"/>
      <w:marTop w:val="0"/>
      <w:marBottom w:val="0"/>
      <w:divBdr>
        <w:top w:val="none" w:sz="0" w:space="0" w:color="auto"/>
        <w:left w:val="none" w:sz="0" w:space="0" w:color="auto"/>
        <w:bottom w:val="none" w:sz="0" w:space="0" w:color="auto"/>
        <w:right w:val="none" w:sz="0" w:space="0" w:color="auto"/>
      </w:divBdr>
    </w:div>
    <w:div w:id="83379068">
      <w:bodyDiv w:val="1"/>
      <w:marLeft w:val="0"/>
      <w:marRight w:val="0"/>
      <w:marTop w:val="0"/>
      <w:marBottom w:val="0"/>
      <w:divBdr>
        <w:top w:val="none" w:sz="0" w:space="0" w:color="auto"/>
        <w:left w:val="none" w:sz="0" w:space="0" w:color="auto"/>
        <w:bottom w:val="none" w:sz="0" w:space="0" w:color="auto"/>
        <w:right w:val="none" w:sz="0" w:space="0" w:color="auto"/>
      </w:divBdr>
    </w:div>
    <w:div w:id="431512353">
      <w:bodyDiv w:val="1"/>
      <w:marLeft w:val="0"/>
      <w:marRight w:val="0"/>
      <w:marTop w:val="0"/>
      <w:marBottom w:val="0"/>
      <w:divBdr>
        <w:top w:val="none" w:sz="0" w:space="0" w:color="auto"/>
        <w:left w:val="none" w:sz="0" w:space="0" w:color="auto"/>
        <w:bottom w:val="none" w:sz="0" w:space="0" w:color="auto"/>
        <w:right w:val="none" w:sz="0" w:space="0" w:color="auto"/>
      </w:divBdr>
    </w:div>
    <w:div w:id="631637848">
      <w:bodyDiv w:val="1"/>
      <w:marLeft w:val="0"/>
      <w:marRight w:val="0"/>
      <w:marTop w:val="0"/>
      <w:marBottom w:val="0"/>
      <w:divBdr>
        <w:top w:val="none" w:sz="0" w:space="0" w:color="auto"/>
        <w:left w:val="none" w:sz="0" w:space="0" w:color="auto"/>
        <w:bottom w:val="none" w:sz="0" w:space="0" w:color="auto"/>
        <w:right w:val="none" w:sz="0" w:space="0" w:color="auto"/>
      </w:divBdr>
    </w:div>
    <w:div w:id="642007199">
      <w:bodyDiv w:val="1"/>
      <w:marLeft w:val="0"/>
      <w:marRight w:val="0"/>
      <w:marTop w:val="0"/>
      <w:marBottom w:val="0"/>
      <w:divBdr>
        <w:top w:val="none" w:sz="0" w:space="0" w:color="auto"/>
        <w:left w:val="none" w:sz="0" w:space="0" w:color="auto"/>
        <w:bottom w:val="none" w:sz="0" w:space="0" w:color="auto"/>
        <w:right w:val="none" w:sz="0" w:space="0" w:color="auto"/>
      </w:divBdr>
    </w:div>
    <w:div w:id="734352313">
      <w:bodyDiv w:val="1"/>
      <w:marLeft w:val="0"/>
      <w:marRight w:val="0"/>
      <w:marTop w:val="0"/>
      <w:marBottom w:val="0"/>
      <w:divBdr>
        <w:top w:val="none" w:sz="0" w:space="0" w:color="auto"/>
        <w:left w:val="none" w:sz="0" w:space="0" w:color="auto"/>
        <w:bottom w:val="none" w:sz="0" w:space="0" w:color="auto"/>
        <w:right w:val="none" w:sz="0" w:space="0" w:color="auto"/>
      </w:divBdr>
    </w:div>
    <w:div w:id="749158923">
      <w:bodyDiv w:val="1"/>
      <w:marLeft w:val="0"/>
      <w:marRight w:val="0"/>
      <w:marTop w:val="0"/>
      <w:marBottom w:val="0"/>
      <w:divBdr>
        <w:top w:val="none" w:sz="0" w:space="0" w:color="auto"/>
        <w:left w:val="none" w:sz="0" w:space="0" w:color="auto"/>
        <w:bottom w:val="none" w:sz="0" w:space="0" w:color="auto"/>
        <w:right w:val="none" w:sz="0" w:space="0" w:color="auto"/>
      </w:divBdr>
    </w:div>
    <w:div w:id="750470554">
      <w:bodyDiv w:val="1"/>
      <w:marLeft w:val="0"/>
      <w:marRight w:val="0"/>
      <w:marTop w:val="0"/>
      <w:marBottom w:val="0"/>
      <w:divBdr>
        <w:top w:val="none" w:sz="0" w:space="0" w:color="auto"/>
        <w:left w:val="none" w:sz="0" w:space="0" w:color="auto"/>
        <w:bottom w:val="none" w:sz="0" w:space="0" w:color="auto"/>
        <w:right w:val="none" w:sz="0" w:space="0" w:color="auto"/>
      </w:divBdr>
    </w:div>
    <w:div w:id="812988837">
      <w:bodyDiv w:val="1"/>
      <w:marLeft w:val="0"/>
      <w:marRight w:val="0"/>
      <w:marTop w:val="0"/>
      <w:marBottom w:val="0"/>
      <w:divBdr>
        <w:top w:val="none" w:sz="0" w:space="0" w:color="auto"/>
        <w:left w:val="none" w:sz="0" w:space="0" w:color="auto"/>
        <w:bottom w:val="none" w:sz="0" w:space="0" w:color="auto"/>
        <w:right w:val="none" w:sz="0" w:space="0" w:color="auto"/>
      </w:divBdr>
    </w:div>
    <w:div w:id="970592233">
      <w:bodyDiv w:val="1"/>
      <w:marLeft w:val="0"/>
      <w:marRight w:val="0"/>
      <w:marTop w:val="0"/>
      <w:marBottom w:val="0"/>
      <w:divBdr>
        <w:top w:val="none" w:sz="0" w:space="0" w:color="auto"/>
        <w:left w:val="none" w:sz="0" w:space="0" w:color="auto"/>
        <w:bottom w:val="none" w:sz="0" w:space="0" w:color="auto"/>
        <w:right w:val="none" w:sz="0" w:space="0" w:color="auto"/>
      </w:divBdr>
    </w:div>
    <w:div w:id="1062096684">
      <w:bodyDiv w:val="1"/>
      <w:marLeft w:val="0"/>
      <w:marRight w:val="0"/>
      <w:marTop w:val="0"/>
      <w:marBottom w:val="0"/>
      <w:divBdr>
        <w:top w:val="none" w:sz="0" w:space="0" w:color="auto"/>
        <w:left w:val="none" w:sz="0" w:space="0" w:color="auto"/>
        <w:bottom w:val="none" w:sz="0" w:space="0" w:color="auto"/>
        <w:right w:val="none" w:sz="0" w:space="0" w:color="auto"/>
      </w:divBdr>
    </w:div>
    <w:div w:id="1116295889">
      <w:bodyDiv w:val="1"/>
      <w:marLeft w:val="0"/>
      <w:marRight w:val="0"/>
      <w:marTop w:val="0"/>
      <w:marBottom w:val="0"/>
      <w:divBdr>
        <w:top w:val="none" w:sz="0" w:space="0" w:color="auto"/>
        <w:left w:val="none" w:sz="0" w:space="0" w:color="auto"/>
        <w:bottom w:val="none" w:sz="0" w:space="0" w:color="auto"/>
        <w:right w:val="none" w:sz="0" w:space="0" w:color="auto"/>
      </w:divBdr>
    </w:div>
    <w:div w:id="1179546224">
      <w:bodyDiv w:val="1"/>
      <w:marLeft w:val="0"/>
      <w:marRight w:val="0"/>
      <w:marTop w:val="0"/>
      <w:marBottom w:val="0"/>
      <w:divBdr>
        <w:top w:val="none" w:sz="0" w:space="0" w:color="auto"/>
        <w:left w:val="none" w:sz="0" w:space="0" w:color="auto"/>
        <w:bottom w:val="none" w:sz="0" w:space="0" w:color="auto"/>
        <w:right w:val="none" w:sz="0" w:space="0" w:color="auto"/>
      </w:divBdr>
    </w:div>
    <w:div w:id="1215580760">
      <w:bodyDiv w:val="1"/>
      <w:marLeft w:val="0"/>
      <w:marRight w:val="0"/>
      <w:marTop w:val="0"/>
      <w:marBottom w:val="0"/>
      <w:divBdr>
        <w:top w:val="none" w:sz="0" w:space="0" w:color="auto"/>
        <w:left w:val="none" w:sz="0" w:space="0" w:color="auto"/>
        <w:bottom w:val="none" w:sz="0" w:space="0" w:color="auto"/>
        <w:right w:val="none" w:sz="0" w:space="0" w:color="auto"/>
      </w:divBdr>
    </w:div>
    <w:div w:id="1276059315">
      <w:bodyDiv w:val="1"/>
      <w:marLeft w:val="0"/>
      <w:marRight w:val="0"/>
      <w:marTop w:val="0"/>
      <w:marBottom w:val="0"/>
      <w:divBdr>
        <w:top w:val="none" w:sz="0" w:space="0" w:color="auto"/>
        <w:left w:val="none" w:sz="0" w:space="0" w:color="auto"/>
        <w:bottom w:val="none" w:sz="0" w:space="0" w:color="auto"/>
        <w:right w:val="none" w:sz="0" w:space="0" w:color="auto"/>
      </w:divBdr>
    </w:div>
    <w:div w:id="1343707663">
      <w:bodyDiv w:val="1"/>
      <w:marLeft w:val="0"/>
      <w:marRight w:val="0"/>
      <w:marTop w:val="0"/>
      <w:marBottom w:val="0"/>
      <w:divBdr>
        <w:top w:val="none" w:sz="0" w:space="0" w:color="auto"/>
        <w:left w:val="none" w:sz="0" w:space="0" w:color="auto"/>
        <w:bottom w:val="none" w:sz="0" w:space="0" w:color="auto"/>
        <w:right w:val="none" w:sz="0" w:space="0" w:color="auto"/>
      </w:divBdr>
    </w:div>
    <w:div w:id="1388799355">
      <w:bodyDiv w:val="1"/>
      <w:marLeft w:val="0"/>
      <w:marRight w:val="0"/>
      <w:marTop w:val="0"/>
      <w:marBottom w:val="0"/>
      <w:divBdr>
        <w:top w:val="none" w:sz="0" w:space="0" w:color="auto"/>
        <w:left w:val="none" w:sz="0" w:space="0" w:color="auto"/>
        <w:bottom w:val="none" w:sz="0" w:space="0" w:color="auto"/>
        <w:right w:val="none" w:sz="0" w:space="0" w:color="auto"/>
      </w:divBdr>
    </w:div>
    <w:div w:id="1605066700">
      <w:bodyDiv w:val="1"/>
      <w:marLeft w:val="0"/>
      <w:marRight w:val="0"/>
      <w:marTop w:val="0"/>
      <w:marBottom w:val="0"/>
      <w:divBdr>
        <w:top w:val="none" w:sz="0" w:space="0" w:color="auto"/>
        <w:left w:val="none" w:sz="0" w:space="0" w:color="auto"/>
        <w:bottom w:val="none" w:sz="0" w:space="0" w:color="auto"/>
        <w:right w:val="none" w:sz="0" w:space="0" w:color="auto"/>
      </w:divBdr>
    </w:div>
    <w:div w:id="1772582283">
      <w:bodyDiv w:val="1"/>
      <w:marLeft w:val="0"/>
      <w:marRight w:val="0"/>
      <w:marTop w:val="0"/>
      <w:marBottom w:val="0"/>
      <w:divBdr>
        <w:top w:val="none" w:sz="0" w:space="0" w:color="auto"/>
        <w:left w:val="none" w:sz="0" w:space="0" w:color="auto"/>
        <w:bottom w:val="none" w:sz="0" w:space="0" w:color="auto"/>
        <w:right w:val="none" w:sz="0" w:space="0" w:color="auto"/>
      </w:divBdr>
    </w:div>
    <w:div w:id="1910189896">
      <w:bodyDiv w:val="1"/>
      <w:marLeft w:val="0"/>
      <w:marRight w:val="0"/>
      <w:marTop w:val="0"/>
      <w:marBottom w:val="0"/>
      <w:divBdr>
        <w:top w:val="none" w:sz="0" w:space="0" w:color="auto"/>
        <w:left w:val="none" w:sz="0" w:space="0" w:color="auto"/>
        <w:bottom w:val="none" w:sz="0" w:space="0" w:color="auto"/>
        <w:right w:val="none" w:sz="0" w:space="0" w:color="auto"/>
      </w:divBdr>
    </w:div>
    <w:div w:id="1987929593">
      <w:bodyDiv w:val="1"/>
      <w:marLeft w:val="0"/>
      <w:marRight w:val="0"/>
      <w:marTop w:val="0"/>
      <w:marBottom w:val="0"/>
      <w:divBdr>
        <w:top w:val="none" w:sz="0" w:space="0" w:color="auto"/>
        <w:left w:val="none" w:sz="0" w:space="0" w:color="auto"/>
        <w:bottom w:val="none" w:sz="0" w:space="0" w:color="auto"/>
        <w:right w:val="none" w:sz="0" w:space="0" w:color="auto"/>
      </w:divBdr>
    </w:div>
    <w:div w:id="2012833712">
      <w:bodyDiv w:val="1"/>
      <w:marLeft w:val="0"/>
      <w:marRight w:val="0"/>
      <w:marTop w:val="0"/>
      <w:marBottom w:val="0"/>
      <w:divBdr>
        <w:top w:val="none" w:sz="0" w:space="0" w:color="auto"/>
        <w:left w:val="none" w:sz="0" w:space="0" w:color="auto"/>
        <w:bottom w:val="none" w:sz="0" w:space="0" w:color="auto"/>
        <w:right w:val="none" w:sz="0" w:space="0" w:color="auto"/>
      </w:divBdr>
    </w:div>
    <w:div w:id="2019889650">
      <w:bodyDiv w:val="1"/>
      <w:marLeft w:val="0"/>
      <w:marRight w:val="0"/>
      <w:marTop w:val="0"/>
      <w:marBottom w:val="0"/>
      <w:divBdr>
        <w:top w:val="none" w:sz="0" w:space="0" w:color="auto"/>
        <w:left w:val="none" w:sz="0" w:space="0" w:color="auto"/>
        <w:bottom w:val="none" w:sz="0" w:space="0" w:color="auto"/>
        <w:right w:val="none" w:sz="0" w:space="0" w:color="auto"/>
      </w:divBdr>
    </w:div>
    <w:div w:id="2146046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8CF058-1A57-4143-8C63-A2D33C164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41</Pages>
  <Words>4184</Words>
  <Characters>23851</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FIVE-YEAR REVIEW OUTLINE</vt:lpstr>
    </vt:vector>
  </TitlesOfParts>
  <Company>WA Department of Ecology</Company>
  <LinksUpToDate>false</LinksUpToDate>
  <CharactersWithSpaces>27980</CharactersWithSpaces>
  <SharedDoc>false</SharedDoc>
  <HLinks>
    <vt:vector size="132" baseType="variant">
      <vt:variant>
        <vt:i4>1376311</vt:i4>
      </vt:variant>
      <vt:variant>
        <vt:i4>131</vt:i4>
      </vt:variant>
      <vt:variant>
        <vt:i4>0</vt:i4>
      </vt:variant>
      <vt:variant>
        <vt:i4>5</vt:i4>
      </vt:variant>
      <vt:variant>
        <vt:lpwstr/>
      </vt:variant>
      <vt:variant>
        <vt:lpwstr>_Toc313360102</vt:lpwstr>
      </vt:variant>
      <vt:variant>
        <vt:i4>1376311</vt:i4>
      </vt:variant>
      <vt:variant>
        <vt:i4>125</vt:i4>
      </vt:variant>
      <vt:variant>
        <vt:i4>0</vt:i4>
      </vt:variant>
      <vt:variant>
        <vt:i4>5</vt:i4>
      </vt:variant>
      <vt:variant>
        <vt:lpwstr/>
      </vt:variant>
      <vt:variant>
        <vt:lpwstr>_Toc313360101</vt:lpwstr>
      </vt:variant>
      <vt:variant>
        <vt:i4>1376311</vt:i4>
      </vt:variant>
      <vt:variant>
        <vt:i4>119</vt:i4>
      </vt:variant>
      <vt:variant>
        <vt:i4>0</vt:i4>
      </vt:variant>
      <vt:variant>
        <vt:i4>5</vt:i4>
      </vt:variant>
      <vt:variant>
        <vt:lpwstr/>
      </vt:variant>
      <vt:variant>
        <vt:lpwstr>_Toc313360100</vt:lpwstr>
      </vt:variant>
      <vt:variant>
        <vt:i4>1835062</vt:i4>
      </vt:variant>
      <vt:variant>
        <vt:i4>113</vt:i4>
      </vt:variant>
      <vt:variant>
        <vt:i4>0</vt:i4>
      </vt:variant>
      <vt:variant>
        <vt:i4>5</vt:i4>
      </vt:variant>
      <vt:variant>
        <vt:lpwstr/>
      </vt:variant>
      <vt:variant>
        <vt:lpwstr>_Toc313360099</vt:lpwstr>
      </vt:variant>
      <vt:variant>
        <vt:i4>1835062</vt:i4>
      </vt:variant>
      <vt:variant>
        <vt:i4>107</vt:i4>
      </vt:variant>
      <vt:variant>
        <vt:i4>0</vt:i4>
      </vt:variant>
      <vt:variant>
        <vt:i4>5</vt:i4>
      </vt:variant>
      <vt:variant>
        <vt:lpwstr/>
      </vt:variant>
      <vt:variant>
        <vt:lpwstr>_Toc313360098</vt:lpwstr>
      </vt:variant>
      <vt:variant>
        <vt:i4>1835062</vt:i4>
      </vt:variant>
      <vt:variant>
        <vt:i4>101</vt:i4>
      </vt:variant>
      <vt:variant>
        <vt:i4>0</vt:i4>
      </vt:variant>
      <vt:variant>
        <vt:i4>5</vt:i4>
      </vt:variant>
      <vt:variant>
        <vt:lpwstr/>
      </vt:variant>
      <vt:variant>
        <vt:lpwstr>_Toc313360097</vt:lpwstr>
      </vt:variant>
      <vt:variant>
        <vt:i4>1835062</vt:i4>
      </vt:variant>
      <vt:variant>
        <vt:i4>95</vt:i4>
      </vt:variant>
      <vt:variant>
        <vt:i4>0</vt:i4>
      </vt:variant>
      <vt:variant>
        <vt:i4>5</vt:i4>
      </vt:variant>
      <vt:variant>
        <vt:lpwstr/>
      </vt:variant>
      <vt:variant>
        <vt:lpwstr>_Toc313360096</vt:lpwstr>
      </vt:variant>
      <vt:variant>
        <vt:i4>1835062</vt:i4>
      </vt:variant>
      <vt:variant>
        <vt:i4>89</vt:i4>
      </vt:variant>
      <vt:variant>
        <vt:i4>0</vt:i4>
      </vt:variant>
      <vt:variant>
        <vt:i4>5</vt:i4>
      </vt:variant>
      <vt:variant>
        <vt:lpwstr/>
      </vt:variant>
      <vt:variant>
        <vt:lpwstr>_Toc313360095</vt:lpwstr>
      </vt:variant>
      <vt:variant>
        <vt:i4>1835062</vt:i4>
      </vt:variant>
      <vt:variant>
        <vt:i4>83</vt:i4>
      </vt:variant>
      <vt:variant>
        <vt:i4>0</vt:i4>
      </vt:variant>
      <vt:variant>
        <vt:i4>5</vt:i4>
      </vt:variant>
      <vt:variant>
        <vt:lpwstr/>
      </vt:variant>
      <vt:variant>
        <vt:lpwstr>_Toc313360094</vt:lpwstr>
      </vt:variant>
      <vt:variant>
        <vt:i4>1835062</vt:i4>
      </vt:variant>
      <vt:variant>
        <vt:i4>77</vt:i4>
      </vt:variant>
      <vt:variant>
        <vt:i4>0</vt:i4>
      </vt:variant>
      <vt:variant>
        <vt:i4>5</vt:i4>
      </vt:variant>
      <vt:variant>
        <vt:lpwstr/>
      </vt:variant>
      <vt:variant>
        <vt:lpwstr>_Toc313360093</vt:lpwstr>
      </vt:variant>
      <vt:variant>
        <vt:i4>1835062</vt:i4>
      </vt:variant>
      <vt:variant>
        <vt:i4>71</vt:i4>
      </vt:variant>
      <vt:variant>
        <vt:i4>0</vt:i4>
      </vt:variant>
      <vt:variant>
        <vt:i4>5</vt:i4>
      </vt:variant>
      <vt:variant>
        <vt:lpwstr/>
      </vt:variant>
      <vt:variant>
        <vt:lpwstr>_Toc313360092</vt:lpwstr>
      </vt:variant>
      <vt:variant>
        <vt:i4>1835062</vt:i4>
      </vt:variant>
      <vt:variant>
        <vt:i4>65</vt:i4>
      </vt:variant>
      <vt:variant>
        <vt:i4>0</vt:i4>
      </vt:variant>
      <vt:variant>
        <vt:i4>5</vt:i4>
      </vt:variant>
      <vt:variant>
        <vt:lpwstr/>
      </vt:variant>
      <vt:variant>
        <vt:lpwstr>_Toc313360091</vt:lpwstr>
      </vt:variant>
      <vt:variant>
        <vt:i4>1835062</vt:i4>
      </vt:variant>
      <vt:variant>
        <vt:i4>59</vt:i4>
      </vt:variant>
      <vt:variant>
        <vt:i4>0</vt:i4>
      </vt:variant>
      <vt:variant>
        <vt:i4>5</vt:i4>
      </vt:variant>
      <vt:variant>
        <vt:lpwstr/>
      </vt:variant>
      <vt:variant>
        <vt:lpwstr>_Toc313360090</vt:lpwstr>
      </vt:variant>
      <vt:variant>
        <vt:i4>1900598</vt:i4>
      </vt:variant>
      <vt:variant>
        <vt:i4>53</vt:i4>
      </vt:variant>
      <vt:variant>
        <vt:i4>0</vt:i4>
      </vt:variant>
      <vt:variant>
        <vt:i4>5</vt:i4>
      </vt:variant>
      <vt:variant>
        <vt:lpwstr/>
      </vt:variant>
      <vt:variant>
        <vt:lpwstr>_Toc313360089</vt:lpwstr>
      </vt:variant>
      <vt:variant>
        <vt:i4>1900598</vt:i4>
      </vt:variant>
      <vt:variant>
        <vt:i4>47</vt:i4>
      </vt:variant>
      <vt:variant>
        <vt:i4>0</vt:i4>
      </vt:variant>
      <vt:variant>
        <vt:i4>5</vt:i4>
      </vt:variant>
      <vt:variant>
        <vt:lpwstr/>
      </vt:variant>
      <vt:variant>
        <vt:lpwstr>_Toc313360088</vt:lpwstr>
      </vt:variant>
      <vt:variant>
        <vt:i4>1900598</vt:i4>
      </vt:variant>
      <vt:variant>
        <vt:i4>41</vt:i4>
      </vt:variant>
      <vt:variant>
        <vt:i4>0</vt:i4>
      </vt:variant>
      <vt:variant>
        <vt:i4>5</vt:i4>
      </vt:variant>
      <vt:variant>
        <vt:lpwstr/>
      </vt:variant>
      <vt:variant>
        <vt:lpwstr>_Toc313360087</vt:lpwstr>
      </vt:variant>
      <vt:variant>
        <vt:i4>1900598</vt:i4>
      </vt:variant>
      <vt:variant>
        <vt:i4>35</vt:i4>
      </vt:variant>
      <vt:variant>
        <vt:i4>0</vt:i4>
      </vt:variant>
      <vt:variant>
        <vt:i4>5</vt:i4>
      </vt:variant>
      <vt:variant>
        <vt:lpwstr/>
      </vt:variant>
      <vt:variant>
        <vt:lpwstr>_Toc313360086</vt:lpwstr>
      </vt:variant>
      <vt:variant>
        <vt:i4>1900598</vt:i4>
      </vt:variant>
      <vt:variant>
        <vt:i4>29</vt:i4>
      </vt:variant>
      <vt:variant>
        <vt:i4>0</vt:i4>
      </vt:variant>
      <vt:variant>
        <vt:i4>5</vt:i4>
      </vt:variant>
      <vt:variant>
        <vt:lpwstr/>
      </vt:variant>
      <vt:variant>
        <vt:lpwstr>_Toc313360085</vt:lpwstr>
      </vt:variant>
      <vt:variant>
        <vt:i4>1900598</vt:i4>
      </vt:variant>
      <vt:variant>
        <vt:i4>23</vt:i4>
      </vt:variant>
      <vt:variant>
        <vt:i4>0</vt:i4>
      </vt:variant>
      <vt:variant>
        <vt:i4>5</vt:i4>
      </vt:variant>
      <vt:variant>
        <vt:lpwstr/>
      </vt:variant>
      <vt:variant>
        <vt:lpwstr>_Toc313360084</vt:lpwstr>
      </vt:variant>
      <vt:variant>
        <vt:i4>1900598</vt:i4>
      </vt:variant>
      <vt:variant>
        <vt:i4>17</vt:i4>
      </vt:variant>
      <vt:variant>
        <vt:i4>0</vt:i4>
      </vt:variant>
      <vt:variant>
        <vt:i4>5</vt:i4>
      </vt:variant>
      <vt:variant>
        <vt:lpwstr/>
      </vt:variant>
      <vt:variant>
        <vt:lpwstr>_Toc313360083</vt:lpwstr>
      </vt:variant>
      <vt:variant>
        <vt:i4>1900598</vt:i4>
      </vt:variant>
      <vt:variant>
        <vt:i4>11</vt:i4>
      </vt:variant>
      <vt:variant>
        <vt:i4>0</vt:i4>
      </vt:variant>
      <vt:variant>
        <vt:i4>5</vt:i4>
      </vt:variant>
      <vt:variant>
        <vt:lpwstr/>
      </vt:variant>
      <vt:variant>
        <vt:lpwstr>_Toc313360082</vt:lpwstr>
      </vt:variant>
      <vt:variant>
        <vt:i4>1900598</vt:i4>
      </vt:variant>
      <vt:variant>
        <vt:i4>5</vt:i4>
      </vt:variant>
      <vt:variant>
        <vt:i4>0</vt:i4>
      </vt:variant>
      <vt:variant>
        <vt:i4>5</vt:i4>
      </vt:variant>
      <vt:variant>
        <vt:lpwstr/>
      </vt:variant>
      <vt:variant>
        <vt:lpwstr>_Toc313360081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FIVE-YEAR REVIEW OUTLINE</dc:title>
  <dc:creator>Eastern Regional Office</dc:creator>
  <cp:lastModifiedBy>Balaraju, Panjini (ECY)</cp:lastModifiedBy>
  <cp:revision>2</cp:revision>
  <cp:lastPrinted>2015-03-20T21:34:00Z</cp:lastPrinted>
  <dcterms:created xsi:type="dcterms:W3CDTF">2019-11-26T22:50:00Z</dcterms:created>
  <dcterms:modified xsi:type="dcterms:W3CDTF">2019-11-26T22:50:00Z</dcterms:modified>
</cp:coreProperties>
</file>