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2E0" w:rsidRDefault="004406A0" w:rsidP="004406A0">
      <w:pPr>
        <w:pStyle w:val="Heading1"/>
      </w:pPr>
      <w:bookmarkStart w:id="0" w:name="_GoBack"/>
      <w:bookmarkEnd w:id="0"/>
      <w:r>
        <w:t>Check your Central Accumulation Areas</w:t>
      </w:r>
    </w:p>
    <w:p w:rsidR="004406A0" w:rsidRDefault="004406A0" w:rsidP="004406A0">
      <w:pPr>
        <w:pStyle w:val="Heading2"/>
        <w:numPr>
          <w:ilvl w:val="0"/>
          <w:numId w:val="1"/>
        </w:numPr>
      </w:pPr>
      <w:r>
        <w:t>Proper signs</w:t>
      </w:r>
    </w:p>
    <w:p w:rsidR="004406A0" w:rsidRDefault="004406A0" w:rsidP="004406A0">
      <w:r>
        <w:t xml:space="preserve">Use appropriate warning signs for the area, such as a no smoking sign near ignitable and reactive wastes. </w:t>
      </w:r>
    </w:p>
    <w:p w:rsidR="004406A0" w:rsidRDefault="004406A0" w:rsidP="004406A0">
      <w:pPr>
        <w:pStyle w:val="Heading2"/>
        <w:numPr>
          <w:ilvl w:val="0"/>
          <w:numId w:val="1"/>
        </w:numPr>
      </w:pPr>
      <w:r>
        <w:t>Keep containers closed</w:t>
      </w:r>
    </w:p>
    <w:p w:rsidR="004406A0" w:rsidRDefault="004406A0" w:rsidP="004406A0">
      <w:r>
        <w:t xml:space="preserve">Prevent spills by keeping containers closed except when adding waste. </w:t>
      </w:r>
    </w:p>
    <w:p w:rsidR="004406A0" w:rsidRDefault="004406A0" w:rsidP="004406A0">
      <w:pPr>
        <w:pStyle w:val="Heading2"/>
        <w:numPr>
          <w:ilvl w:val="0"/>
          <w:numId w:val="1"/>
        </w:numPr>
      </w:pPr>
      <w:r>
        <w:t>Weekly inspections</w:t>
      </w:r>
    </w:p>
    <w:p w:rsidR="004406A0" w:rsidRDefault="004406A0" w:rsidP="004406A0">
      <w:r>
        <w:t xml:space="preserve">Conduct weekly inspections and keep a log. Look for leaking or deteriorating containers. </w:t>
      </w:r>
    </w:p>
    <w:p w:rsidR="004406A0" w:rsidRDefault="004406A0" w:rsidP="004406A0">
      <w:pPr>
        <w:pStyle w:val="Heading2"/>
        <w:numPr>
          <w:ilvl w:val="0"/>
          <w:numId w:val="1"/>
        </w:numPr>
      </w:pPr>
      <w:r>
        <w:t>Fire protection</w:t>
      </w:r>
    </w:p>
    <w:p w:rsidR="004406A0" w:rsidRDefault="004406A0" w:rsidP="004406A0">
      <w:r>
        <w:t>Keep a fire extinguisher nearby.</w:t>
      </w:r>
    </w:p>
    <w:p w:rsidR="004406A0" w:rsidRDefault="004406A0" w:rsidP="004406A0">
      <w:pPr>
        <w:pStyle w:val="Heading2"/>
        <w:numPr>
          <w:ilvl w:val="0"/>
          <w:numId w:val="1"/>
        </w:numPr>
      </w:pPr>
      <w:r>
        <w:t>Spill kit</w:t>
      </w:r>
    </w:p>
    <w:p w:rsidR="004406A0" w:rsidRDefault="004406A0" w:rsidP="004406A0">
      <w:r>
        <w:t xml:space="preserve">Keep a well-stocked spill kit within the area. </w:t>
      </w:r>
    </w:p>
    <w:p w:rsidR="004406A0" w:rsidRDefault="004406A0" w:rsidP="004406A0">
      <w:pPr>
        <w:pStyle w:val="Heading2"/>
        <w:numPr>
          <w:ilvl w:val="0"/>
          <w:numId w:val="1"/>
        </w:numPr>
      </w:pPr>
      <w:r>
        <w:t>Separate wastes</w:t>
      </w:r>
    </w:p>
    <w:p w:rsidR="004406A0" w:rsidRDefault="004406A0" w:rsidP="004406A0">
      <w:r>
        <w:t xml:space="preserve">Store incompatible wastes in different areas to avoid fire or explosion. </w:t>
      </w:r>
    </w:p>
    <w:p w:rsidR="004406A0" w:rsidRDefault="004406A0" w:rsidP="004406A0">
      <w:pPr>
        <w:pStyle w:val="Heading2"/>
        <w:numPr>
          <w:ilvl w:val="0"/>
          <w:numId w:val="1"/>
        </w:numPr>
      </w:pPr>
      <w:r>
        <w:t>Communication device</w:t>
      </w:r>
    </w:p>
    <w:p w:rsidR="004406A0" w:rsidRDefault="004406A0" w:rsidP="004406A0">
      <w:r>
        <w:t xml:space="preserve">Keep a phone or two-way radio nearby along with emergency contact numbers. </w:t>
      </w:r>
    </w:p>
    <w:p w:rsidR="004406A0" w:rsidRDefault="004406A0" w:rsidP="004406A0">
      <w:pPr>
        <w:pStyle w:val="Heading2"/>
        <w:numPr>
          <w:ilvl w:val="0"/>
          <w:numId w:val="1"/>
        </w:numPr>
      </w:pPr>
      <w:r>
        <w:t>Labels and date</w:t>
      </w:r>
    </w:p>
    <w:p w:rsidR="004406A0" w:rsidRDefault="004406A0" w:rsidP="004406A0">
      <w:r>
        <w:t xml:space="preserve">Label containers so they’re legible or recognizable from 25 feet (or letters at least ½ inch tall). Mark with accumulation start date. </w:t>
      </w:r>
    </w:p>
    <w:p w:rsidR="004406A0" w:rsidRDefault="004406A0" w:rsidP="004406A0">
      <w:pPr>
        <w:pStyle w:val="Heading2"/>
        <w:numPr>
          <w:ilvl w:val="0"/>
          <w:numId w:val="1"/>
        </w:numPr>
      </w:pPr>
      <w:r>
        <w:t>Aisle space</w:t>
      </w:r>
    </w:p>
    <w:p w:rsidR="004406A0" w:rsidRDefault="004406A0" w:rsidP="004406A0">
      <w:r>
        <w:t xml:space="preserve">Leave at least 30” of aisle space between rows of containers. Rows must not be more than two containers wide. </w:t>
      </w:r>
    </w:p>
    <w:p w:rsidR="004406A0" w:rsidRDefault="004406A0" w:rsidP="004406A0">
      <w:pPr>
        <w:pStyle w:val="Heading2"/>
        <w:numPr>
          <w:ilvl w:val="0"/>
          <w:numId w:val="1"/>
        </w:numPr>
      </w:pPr>
      <w:r>
        <w:t>Secondary containment</w:t>
      </w:r>
    </w:p>
    <w:p w:rsidR="004406A0" w:rsidRDefault="004406A0" w:rsidP="004406A0">
      <w:r>
        <w:t xml:space="preserve">Ensure the containment area can hold 10% of all free liquids or 100% of the largest container, whichever is greater. </w:t>
      </w:r>
    </w:p>
    <w:p w:rsidR="004406A0" w:rsidRDefault="004406A0" w:rsidP="004406A0">
      <w:r>
        <w:t>*To read more about medium and large quantity generator rules, see WAC 173-303-172 and WAC 173-303-200, respectively.</w:t>
      </w:r>
    </w:p>
    <w:p w:rsidR="004406A0" w:rsidRDefault="004406A0" w:rsidP="004406A0">
      <w:r>
        <w:t>For more information about managing dangerous waste, visit us online: http://ecology.wa.gov/dwcontainers</w:t>
      </w:r>
    </w:p>
    <w:p w:rsidR="004406A0" w:rsidRPr="004406A0" w:rsidRDefault="004406A0" w:rsidP="004406A0">
      <w:r>
        <w:t>To request an ADA accommodation, contact Ecology by phone at 360-407-6700 or email at hwtrpubs@ecy.wa.gov. For Washington Relay Service or TTY call 711 or 877-833-6341. Visit Ecology’s website for more information.</w:t>
      </w:r>
    </w:p>
    <w:sectPr w:rsidR="004406A0" w:rsidRPr="00440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D7B07"/>
    <w:multiLevelType w:val="hybridMultilevel"/>
    <w:tmpl w:val="5DCA85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6A0"/>
    <w:rsid w:val="00243078"/>
    <w:rsid w:val="004406A0"/>
    <w:rsid w:val="00DF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8EDBAB-9D10-4F12-866B-1D3A22C7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06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6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06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406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Froese, Ruth (ECY)</dc:creator>
  <cp:keywords/>
  <dc:description/>
  <cp:lastModifiedBy>Sidley, Emily (ECY)</cp:lastModifiedBy>
  <cp:revision>2</cp:revision>
  <dcterms:created xsi:type="dcterms:W3CDTF">2020-08-19T22:44:00Z</dcterms:created>
  <dcterms:modified xsi:type="dcterms:W3CDTF">2020-08-19T22:44:00Z</dcterms:modified>
</cp:coreProperties>
</file>