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C75E" w14:textId="6B2078C4" w:rsidR="00C90A1A" w:rsidRPr="00F16C4E" w:rsidRDefault="00B171B8" w:rsidP="00F16C4E">
      <w:pPr>
        <w:pStyle w:val="Heading1"/>
      </w:pPr>
      <w:r w:rsidRPr="00F16C4E">
        <w:t>How do I manage my dangerous waste pharmaceuticals?</w:t>
      </w:r>
    </w:p>
    <w:p w14:paraId="4EC8B41A" w14:textId="016E120B" w:rsidR="00F16C4E" w:rsidRDefault="00F16C4E" w:rsidP="00F16C4E">
      <w:pPr>
        <w:pStyle w:val="Heading2"/>
      </w:pPr>
      <w:r w:rsidRPr="00F16C4E">
        <w:t>Start here</w:t>
      </w:r>
      <w:r>
        <w:t>.</w:t>
      </w:r>
    </w:p>
    <w:p w14:paraId="3A013C19" w14:textId="2F173C03" w:rsidR="00780BA1" w:rsidRDefault="00F16C4E" w:rsidP="33F22915">
      <w:pPr>
        <w:rPr>
          <w:rFonts w:ascii="Segoe UI" w:hAnsi="Segoe UI" w:cs="Segoe UI"/>
          <w:sz w:val="20"/>
          <w:szCs w:val="20"/>
        </w:rPr>
      </w:pPr>
      <w:r w:rsidRPr="00F16C4E">
        <w:t>Count your dangerous waste pharmaceuticals and nonpharmaceutical dangerous waste together each month to determine if the special requirements in WAC 173-303-555 apply to your facility.</w:t>
      </w:r>
      <w:r w:rsidR="33F22915">
        <w:t>  </w:t>
      </w:r>
    </w:p>
    <w:p w14:paraId="446DE43F" w14:textId="0591ED53" w:rsidR="00B171B8" w:rsidRDefault="00FF7808" w:rsidP="00F16C4E">
      <w:pPr>
        <w:pStyle w:val="Heading2"/>
      </w:pPr>
      <w:r>
        <w:t>If your monthly total i</w:t>
      </w:r>
      <w:r w:rsidR="00F16C4E">
        <w:t>s…</w:t>
      </w:r>
    </w:p>
    <w:p w14:paraId="060F95CB" w14:textId="3FFA7AE8" w:rsidR="00B171B8" w:rsidRPr="00B171B8" w:rsidRDefault="00FF7808" w:rsidP="00B171B8">
      <w:pPr>
        <w:pStyle w:val="ListParagraph"/>
        <w:numPr>
          <w:ilvl w:val="0"/>
          <w:numId w:val="13"/>
        </w:numPr>
      </w:pPr>
      <w:r w:rsidRPr="00B171B8">
        <w:t>≤</w:t>
      </w:r>
      <w:r w:rsidR="33F22915" w:rsidRPr="00B171B8">
        <w:t xml:space="preserve"> 2.2 pounds of dangerous waste with a QEL of 2.2 pounds</w:t>
      </w:r>
      <w:r w:rsidR="00F16C4E">
        <w:t>,</w:t>
      </w:r>
    </w:p>
    <w:p w14:paraId="3E17A23D" w14:textId="35FB6D2A" w:rsidR="00B171B8" w:rsidRPr="00B171B8" w:rsidRDefault="00FF7808" w:rsidP="00B171B8">
      <w:pPr>
        <w:pStyle w:val="ListParagraph"/>
        <w:numPr>
          <w:ilvl w:val="0"/>
          <w:numId w:val="13"/>
        </w:numPr>
      </w:pPr>
      <w:r w:rsidRPr="00B171B8">
        <w:t xml:space="preserve">≤ </w:t>
      </w:r>
      <w:r w:rsidR="33F22915" w:rsidRPr="00B171B8">
        <w:t>220 pounds of dangerous waste with a QEL of 220 pounds</w:t>
      </w:r>
      <w:r w:rsidR="00F16C4E">
        <w:t>, or</w:t>
      </w:r>
    </w:p>
    <w:p w14:paraId="4D7D8276" w14:textId="687AF1D1" w:rsidR="00637F16" w:rsidRDefault="000B7555" w:rsidP="00B171B8">
      <w:pPr>
        <w:pStyle w:val="ListParagraph"/>
        <w:numPr>
          <w:ilvl w:val="0"/>
          <w:numId w:val="13"/>
        </w:numPr>
      </w:pPr>
      <w:r w:rsidRPr="00B171B8">
        <w:t>≤ 220 pounds of residue from a cleanup of 2.2-pound QEL waste</w:t>
      </w:r>
      <w:r w:rsidR="00F16C4E">
        <w:t>…</w:t>
      </w:r>
    </w:p>
    <w:p w14:paraId="76DAA1D0" w14:textId="00984633" w:rsidR="00780BA1" w:rsidRPr="00B171B8" w:rsidRDefault="00F16C4E" w:rsidP="00F16C4E">
      <w:pPr>
        <w:pStyle w:val="Heading2"/>
      </w:pPr>
      <w:r>
        <w:t>Y</w:t>
      </w:r>
      <w:r w:rsidR="33F22915" w:rsidRPr="00B171B8">
        <w:t>ou can choose to either:</w:t>
      </w:r>
    </w:p>
    <w:p w14:paraId="3C7E9DE7" w14:textId="7030439E" w:rsidR="00780BA1" w:rsidRPr="00AD757B" w:rsidRDefault="33F22915" w:rsidP="33F22915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t>Manage your dangerous was</w:t>
      </w:r>
      <w:r w:rsidR="002E4057">
        <w:t>te pharmaceuticals under the</w:t>
      </w:r>
      <w:r>
        <w:t xml:space="preserve"> special requirements</w:t>
      </w:r>
      <w:r w:rsidR="00B50D58">
        <w:t xml:space="preserve"> and nonpharmaceutical dangerous waste under </w:t>
      </w:r>
      <w:r w:rsidR="00E875E2">
        <w:t xml:space="preserve">the </w:t>
      </w:r>
      <w:r w:rsidR="00B50D58">
        <w:t>small quantity generator requirements</w:t>
      </w:r>
      <w:r w:rsidR="00F16C4E">
        <w:t xml:space="preserve">, </w:t>
      </w:r>
      <w:r>
        <w:t>or</w:t>
      </w:r>
    </w:p>
    <w:p w14:paraId="607C6BC7" w14:textId="542B4522" w:rsidR="00780BA1" w:rsidRPr="00F16C4E" w:rsidRDefault="33F22915" w:rsidP="33F22915">
      <w:pPr>
        <w:pStyle w:val="ListParagraph"/>
        <w:numPr>
          <w:ilvl w:val="0"/>
          <w:numId w:val="2"/>
        </w:numPr>
        <w:rPr>
          <w:rStyle w:val="Strong"/>
          <w:rFonts w:ascii="Segoe UI" w:hAnsi="Segoe UI" w:cs="Segoe UI"/>
          <w:b w:val="0"/>
          <w:bCs w:val="0"/>
          <w:sz w:val="20"/>
          <w:szCs w:val="20"/>
        </w:rPr>
      </w:pPr>
      <w:r>
        <w:t>Manage all dangerous waste under the</w:t>
      </w:r>
      <w:r w:rsidR="002E4057">
        <w:t xml:space="preserve"> standard requirements</w:t>
      </w:r>
      <w:bookmarkStart w:id="0" w:name="_GoBack"/>
      <w:bookmarkEnd w:id="0"/>
      <w:r>
        <w:t xml:space="preserve"> </w:t>
      </w:r>
      <w:r w:rsidR="00984172">
        <w:t xml:space="preserve">small quantity generator </w:t>
      </w:r>
      <w:r>
        <w:t>requirements.</w:t>
      </w:r>
      <w:r w:rsidRPr="33F22915">
        <w:rPr>
          <w:rStyle w:val="Strong"/>
          <w:b w:val="0"/>
          <w:bCs w:val="0"/>
        </w:rPr>
        <w:t>​​</w:t>
      </w:r>
    </w:p>
    <w:p w14:paraId="15619328" w14:textId="36053925" w:rsidR="00F16C4E" w:rsidRPr="00F16C4E" w:rsidRDefault="00F16C4E" w:rsidP="002E75EF">
      <w:r>
        <w:t>Stop here.</w:t>
      </w:r>
    </w:p>
    <w:p w14:paraId="6D6BBCD7" w14:textId="77777777" w:rsidR="00F16C4E" w:rsidRDefault="00F16C4E" w:rsidP="002E75EF">
      <w:pPr>
        <w:pStyle w:val="Heading2"/>
      </w:pPr>
      <w:r>
        <w:t>If your monthly total is…</w:t>
      </w:r>
    </w:p>
    <w:p w14:paraId="36F957D2" w14:textId="109AB2B4" w:rsidR="00B171B8" w:rsidRDefault="00F16C4E" w:rsidP="00B171B8">
      <w:r>
        <w:t>More than any of these listed limits (above), then the special requirements apply. Y</w:t>
      </w:r>
      <w:r w:rsidR="00B171B8">
        <w:t>ou must notify Ecology within 60 days of being subject to the special requirements.</w:t>
      </w:r>
      <w:r>
        <w:t xml:space="preserve"> </w:t>
      </w:r>
      <w:r w:rsidR="00B171B8">
        <w:t xml:space="preserve">Count your nonpharmaceutical dangerous waste to determine your generator category. This category determines the management requirements for nonpharmaceutical dangerous waste. </w:t>
      </w:r>
    </w:p>
    <w:p w14:paraId="36A86AC9" w14:textId="1D6E51E2" w:rsidR="007F385D" w:rsidRDefault="00B171B8" w:rsidP="002E75EF">
      <w:pPr>
        <w:pStyle w:val="Heading2"/>
      </w:pPr>
      <w:r>
        <w:t>D</w:t>
      </w:r>
      <w:r w:rsidR="007F385D">
        <w:t>o both of the following:</w:t>
      </w:r>
    </w:p>
    <w:p w14:paraId="71C8BDF6" w14:textId="338BCD48" w:rsidR="007F385D" w:rsidRDefault="007F385D" w:rsidP="00A657E7">
      <w:pPr>
        <w:pStyle w:val="ListParagraph"/>
        <w:numPr>
          <w:ilvl w:val="0"/>
          <w:numId w:val="10"/>
        </w:numPr>
      </w:pPr>
      <w:r>
        <w:t>Manage your dangerous waste pharmaceuticals</w:t>
      </w:r>
      <w:r w:rsidR="00F16C4E">
        <w:t xml:space="preserve"> under the special requirements, and</w:t>
      </w:r>
    </w:p>
    <w:p w14:paraId="5C0EC925" w14:textId="19C64B2E" w:rsidR="007F385D" w:rsidRDefault="007F385D" w:rsidP="00A657E7">
      <w:pPr>
        <w:pStyle w:val="ListParagraph"/>
        <w:numPr>
          <w:ilvl w:val="0"/>
          <w:numId w:val="10"/>
        </w:numPr>
      </w:pPr>
      <w:r>
        <w:t xml:space="preserve">Mange all nonpharmaceutical dangerous waste under the </w:t>
      </w:r>
      <w:r w:rsidR="00984CA8">
        <w:t>standard requirements for your generator category.</w:t>
      </w:r>
      <w:r>
        <w:t xml:space="preserve"> </w:t>
      </w:r>
    </w:p>
    <w:p w14:paraId="673EE87E" w14:textId="76AA38F4" w:rsidR="00F16C4E" w:rsidRPr="00F16C4E" w:rsidRDefault="00F16C4E" w:rsidP="002E75EF">
      <w:r w:rsidRPr="00F16C4E">
        <w:t>Stop here.</w:t>
      </w:r>
    </w:p>
    <w:p w14:paraId="42B6B79E" w14:textId="77777777" w:rsidR="00C80628" w:rsidRDefault="33F22915" w:rsidP="002E75EF">
      <w:pPr>
        <w:pStyle w:val="Heading2"/>
      </w:pPr>
      <w:r>
        <w:t>What are QELs?</w:t>
      </w:r>
    </w:p>
    <w:p w14:paraId="273CDD28" w14:textId="2EA26149" w:rsidR="00B91C4B" w:rsidRDefault="33F22915" w:rsidP="33F22915">
      <w:r>
        <w:t xml:space="preserve">QEL stands for quantity exclusion limit. </w:t>
      </w:r>
      <w:r w:rsidR="004B68B1" w:rsidRPr="004B68B1">
        <w:t xml:space="preserve">A QEL is </w:t>
      </w:r>
      <w:hyperlink r:id="rId12" w:anchor="GenTable" w:history="1">
        <w:r w:rsidR="004B68B1" w:rsidRPr="00047ED9">
          <w:rPr>
            <w:rStyle w:val="Hyperlink"/>
          </w:rPr>
          <w:t>a monthly weight limit</w:t>
        </w:r>
      </w:hyperlink>
      <w:r w:rsidR="002E75EF" w:rsidRPr="002E75EF">
        <w:rPr>
          <w:rStyle w:val="EndnoteReference"/>
          <w:color w:val="auto"/>
        </w:rPr>
        <w:endnoteReference w:id="1"/>
      </w:r>
      <w:r w:rsidR="004B68B1" w:rsidRPr="002E75EF">
        <w:rPr>
          <w:color w:val="auto"/>
        </w:rPr>
        <w:t xml:space="preserve"> </w:t>
      </w:r>
      <w:r w:rsidR="00C92F80">
        <w:t>based on the type of waste you’re counting.</w:t>
      </w:r>
    </w:p>
    <w:p w14:paraId="041F9C9A" w14:textId="77777777" w:rsidR="00047ED9" w:rsidRDefault="00047ED9" w:rsidP="00A657E7">
      <w:pPr>
        <w:pStyle w:val="ListParagraph"/>
        <w:numPr>
          <w:ilvl w:val="0"/>
          <w:numId w:val="11"/>
        </w:numPr>
      </w:pPr>
      <w:r w:rsidRPr="00047ED9">
        <w:t>Most dangerous wastes have a QEL of 220 pounds.</w:t>
      </w:r>
    </w:p>
    <w:p w14:paraId="0E681C29" w14:textId="532D88D4" w:rsidR="00B91C4B" w:rsidRDefault="00047ED9" w:rsidP="00A657E7">
      <w:pPr>
        <w:pStyle w:val="ListParagraph"/>
        <w:numPr>
          <w:ilvl w:val="0"/>
          <w:numId w:val="11"/>
        </w:numPr>
      </w:pPr>
      <w:r w:rsidRPr="00047ED9">
        <w:t>Dangerous wastes that are toxic in small amounts have a QEL of 2.2 pounds.</w:t>
      </w:r>
    </w:p>
    <w:p w14:paraId="76AF0814" w14:textId="715F9D15" w:rsidR="00C80628" w:rsidRPr="00360B80" w:rsidRDefault="002A4814" w:rsidP="33F22915">
      <w:pPr>
        <w:rPr>
          <w:rFonts w:ascii="Segoe UI" w:hAnsi="Segoe UI" w:cs="Segoe UI"/>
          <w:sz w:val="20"/>
          <w:szCs w:val="20"/>
        </w:rPr>
      </w:pPr>
      <w:r>
        <w:t>Find e</w:t>
      </w:r>
      <w:r w:rsidR="33F22915">
        <w:t>xamples of dangerous waste pharmaceuticals on the </w:t>
      </w:r>
      <w:hyperlink r:id="rId13">
        <w:r w:rsidR="33F22915" w:rsidRPr="33F22915">
          <w:rPr>
            <w:rStyle w:val="Hyperlink"/>
          </w:rPr>
          <w:t>common pharmaceutical wastes webpage</w:t>
        </w:r>
      </w:hyperlink>
      <w:r w:rsidR="33F22915" w:rsidRPr="33F22915">
        <w:rPr>
          <w:rStyle w:val="Hyperlink"/>
        </w:rPr>
        <w:t>.</w:t>
      </w:r>
      <w:r w:rsidR="002E75EF" w:rsidRPr="002E75EF">
        <w:rPr>
          <w:rStyle w:val="EndnoteReference"/>
          <w:color w:val="auto"/>
        </w:rPr>
        <w:endnoteReference w:id="2"/>
      </w:r>
    </w:p>
    <w:p w14:paraId="7C28355C" w14:textId="77777777" w:rsidR="00723675" w:rsidRPr="00432B47" w:rsidRDefault="33F22915" w:rsidP="002E75EF">
      <w:pPr>
        <w:pStyle w:val="Heading2"/>
      </w:pPr>
      <w:r>
        <w:lastRenderedPageBreak/>
        <w:t>Determining your generator category</w:t>
      </w:r>
    </w:p>
    <w:p w14:paraId="0F78DD1F" w14:textId="50CCF859" w:rsidR="00F16C4E" w:rsidRDefault="004B68B1" w:rsidP="00F16C4E">
      <w:r w:rsidRPr="004B68B1">
        <w:t xml:space="preserve">Your generator category tells you which dangerous waste rules to follow. </w:t>
      </w:r>
      <w:r w:rsidR="001A061E">
        <w:t>Remember</w:t>
      </w:r>
      <w:r w:rsidRPr="004B68B1">
        <w:t xml:space="preserve"> that your generator category may change from month to month.</w:t>
      </w:r>
      <w:r>
        <w:t xml:space="preserve"> </w:t>
      </w:r>
      <w:r w:rsidR="33F22915">
        <w:t xml:space="preserve">Visit our </w:t>
      </w:r>
      <w:hyperlink r:id="rId14">
        <w:r w:rsidR="33F22915" w:rsidRPr="33F22915">
          <w:rPr>
            <w:rStyle w:val="Hyperlink"/>
          </w:rPr>
          <w:t>generator category webpage</w:t>
        </w:r>
      </w:hyperlink>
      <w:r w:rsidR="002E75EF" w:rsidRPr="002E75EF">
        <w:rPr>
          <w:rStyle w:val="EndnoteReference"/>
          <w:color w:val="auto"/>
        </w:rPr>
        <w:endnoteReference w:id="3"/>
      </w:r>
      <w:r w:rsidR="33F22915" w:rsidRPr="002E75EF">
        <w:rPr>
          <w:color w:val="auto"/>
        </w:rPr>
        <w:t xml:space="preserve"> </w:t>
      </w:r>
      <w:r w:rsidR="33F22915">
        <w:t>for details.</w:t>
      </w:r>
      <w:r w:rsidR="00F16C4E" w:rsidRPr="00F16C4E">
        <w:t xml:space="preserve"> </w:t>
      </w:r>
    </w:p>
    <w:p w14:paraId="19BF2A4F" w14:textId="04F03DA0" w:rsidR="00F16C4E" w:rsidRDefault="00F16C4E" w:rsidP="002E75EF">
      <w:pPr>
        <w:pStyle w:val="Heading2"/>
      </w:pPr>
      <w:r>
        <w:t xml:space="preserve">Need </w:t>
      </w:r>
      <w:r w:rsidRPr="002E75EF">
        <w:t>more</w:t>
      </w:r>
      <w:r>
        <w:t xml:space="preserve"> help?</w:t>
      </w:r>
    </w:p>
    <w:p w14:paraId="55C6C535" w14:textId="76C4460A" w:rsidR="00F16C4E" w:rsidRPr="00DC5C51" w:rsidRDefault="00F16C4E" w:rsidP="00F16C4E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33F22915">
        <w:rPr>
          <w:rFonts w:asciiTheme="minorHAnsi" w:hAnsiTheme="minorHAnsi" w:cstheme="minorBidi"/>
        </w:rPr>
        <w:t>See our </w:t>
      </w:r>
      <w:hyperlink r:id="rId15">
        <w:r w:rsidRPr="33F22915">
          <w:rPr>
            <w:rStyle w:val="Hyperlink"/>
          </w:rPr>
          <w:t>pharmaceutical waste management</w:t>
        </w:r>
      </w:hyperlink>
      <w:r w:rsidR="002E75EF" w:rsidRPr="002E75EF">
        <w:rPr>
          <w:rStyle w:val="EndnoteReference"/>
          <w:color w:val="auto"/>
        </w:rPr>
        <w:endnoteReference w:id="4"/>
      </w:r>
      <w:r w:rsidRPr="002E75EF">
        <w:rPr>
          <w:rFonts w:asciiTheme="minorHAnsi" w:hAnsiTheme="minorHAnsi" w:cstheme="minorBidi"/>
          <w:color w:val="auto"/>
        </w:rPr>
        <w:t> </w:t>
      </w:r>
      <w:r w:rsidRPr="33F22915">
        <w:rPr>
          <w:rFonts w:asciiTheme="minorHAnsi" w:hAnsiTheme="minorHAnsi" w:cstheme="minorBidi"/>
        </w:rPr>
        <w:t xml:space="preserve">webpage for more information. </w:t>
      </w:r>
    </w:p>
    <w:p w14:paraId="4588580C" w14:textId="7473BF09" w:rsidR="00F16C4E" w:rsidRPr="00DC5C51" w:rsidRDefault="00F16C4E" w:rsidP="00F16C4E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33F22915">
        <w:rPr>
          <w:rFonts w:asciiTheme="minorHAnsi" w:hAnsiTheme="minorHAnsi" w:cstheme="minorBidi"/>
        </w:rPr>
        <w:t>See the special requirements for managing dangerous waste pharmaceuticals in </w:t>
      </w:r>
      <w:hyperlink r:id="rId16">
        <w:r w:rsidRPr="33F22915">
          <w:rPr>
            <w:rStyle w:val="Hyperlink"/>
          </w:rPr>
          <w:t>WAC 173-303-555</w:t>
        </w:r>
      </w:hyperlink>
      <w:r w:rsidRPr="33F22915">
        <w:rPr>
          <w:rFonts w:asciiTheme="minorHAnsi" w:hAnsiTheme="minorHAnsi" w:cstheme="minorBidi"/>
        </w:rPr>
        <w:t>.</w:t>
      </w:r>
      <w:r w:rsidR="002E75EF">
        <w:rPr>
          <w:rStyle w:val="EndnoteReference"/>
          <w:rFonts w:asciiTheme="minorHAnsi" w:hAnsiTheme="minorHAnsi" w:cstheme="minorBidi"/>
        </w:rPr>
        <w:endnoteReference w:id="5"/>
      </w:r>
    </w:p>
    <w:p w14:paraId="6ACD96CB" w14:textId="02078062" w:rsidR="00991921" w:rsidRDefault="0023286F" w:rsidP="002E75EF">
      <w:pPr>
        <w:pStyle w:val="Heading2"/>
        <w:rPr>
          <w:rFonts w:ascii="Segoe UI" w:hAnsi="Segoe UI" w:cs="Segoe UI"/>
          <w:sz w:val="20"/>
          <w:szCs w:val="20"/>
        </w:rPr>
      </w:pPr>
      <w:r>
        <w:t>Resources</w:t>
      </w:r>
    </w:p>
    <w:p w14:paraId="6C1ECA2D" w14:textId="71DD994E" w:rsidR="00991921" w:rsidRPr="00047ED9" w:rsidRDefault="33F22915" w:rsidP="00A657E7">
      <w:pPr>
        <w:pStyle w:val="ListParagraph"/>
        <w:numPr>
          <w:ilvl w:val="0"/>
          <w:numId w:val="12"/>
        </w:numPr>
        <w:rPr>
          <w:rStyle w:val="Hyperlink"/>
          <w:rFonts w:asciiTheme="minorHAnsi" w:eastAsiaTheme="majorEastAsia" w:hAnsiTheme="minorHAnsi" w:cstheme="minorBidi"/>
          <w:b/>
          <w:color w:val="0000FF"/>
          <w:u w:val="none"/>
        </w:rPr>
      </w:pPr>
      <w:r>
        <w:t xml:space="preserve">Special requirements: </w:t>
      </w:r>
      <w:hyperlink r:id="rId17">
        <w:r w:rsidRPr="33F22915">
          <w:rPr>
            <w:rStyle w:val="Hyperlink"/>
          </w:rPr>
          <w:t>WAC 173-303-555</w:t>
        </w:r>
      </w:hyperlink>
      <w:r>
        <w:t>.</w:t>
      </w:r>
      <w:r w:rsidR="002E75EF">
        <w:rPr>
          <w:rStyle w:val="EndnoteReference"/>
        </w:rPr>
        <w:endnoteReference w:id="6"/>
      </w:r>
    </w:p>
    <w:p w14:paraId="719F70F9" w14:textId="43BBD268" w:rsidR="00984CA8" w:rsidRPr="00047ED9" w:rsidRDefault="00984CA8" w:rsidP="00A657E7">
      <w:pPr>
        <w:pStyle w:val="ListParagraph"/>
        <w:numPr>
          <w:ilvl w:val="0"/>
          <w:numId w:val="12"/>
        </w:numPr>
        <w:rPr>
          <w:rFonts w:ascii="Segoe UI" w:hAnsi="Segoe UI" w:cs="Segoe UI"/>
          <w:color w:val="0072C6"/>
          <w:sz w:val="20"/>
          <w:szCs w:val="20"/>
          <w:u w:val="single"/>
        </w:rPr>
      </w:pPr>
      <w:r>
        <w:t xml:space="preserve">Nonpharmaceutical dangerous waste management requirements for LQGs: </w:t>
      </w:r>
      <w:hyperlink r:id="rId18" w:history="1">
        <w:r w:rsidR="001B2EF2">
          <w:rPr>
            <w:rStyle w:val="Hyperlink"/>
          </w:rPr>
          <w:t>WAC 173-303-200</w:t>
        </w:r>
      </w:hyperlink>
      <w:r>
        <w:t>.</w:t>
      </w:r>
      <w:r w:rsidR="002E75EF">
        <w:rPr>
          <w:rStyle w:val="EndnoteReference"/>
        </w:rPr>
        <w:endnoteReference w:id="7"/>
      </w:r>
    </w:p>
    <w:p w14:paraId="1830E9AF" w14:textId="047BCBBC" w:rsidR="00984CA8" w:rsidRPr="00047ED9" w:rsidRDefault="00984CA8" w:rsidP="00A657E7">
      <w:pPr>
        <w:pStyle w:val="ListParagraph"/>
        <w:numPr>
          <w:ilvl w:val="0"/>
          <w:numId w:val="12"/>
        </w:numPr>
        <w:rPr>
          <w:rFonts w:ascii="Segoe UI" w:hAnsi="Segoe UI" w:cs="Segoe UI"/>
          <w:color w:val="0072C6"/>
          <w:sz w:val="20"/>
          <w:szCs w:val="20"/>
          <w:u w:val="single"/>
        </w:rPr>
      </w:pPr>
      <w:r>
        <w:t xml:space="preserve">Nonpharmaceutical dangerous waste management requirements for MQGs: </w:t>
      </w:r>
      <w:hyperlink r:id="rId19" w:history="1">
        <w:r w:rsidRPr="00984CA8">
          <w:rPr>
            <w:rStyle w:val="Hyperlink"/>
          </w:rPr>
          <w:t>WAC 173-303-172</w:t>
        </w:r>
      </w:hyperlink>
      <w:r>
        <w:t>.</w:t>
      </w:r>
      <w:r w:rsidR="002E75EF">
        <w:rPr>
          <w:rStyle w:val="EndnoteReference"/>
        </w:rPr>
        <w:endnoteReference w:id="8"/>
      </w:r>
    </w:p>
    <w:p w14:paraId="6B9E101B" w14:textId="537D59FD" w:rsidR="00991921" w:rsidRPr="002E75EF" w:rsidRDefault="33F22915" w:rsidP="00A657E7">
      <w:pPr>
        <w:pStyle w:val="ListParagraph"/>
        <w:numPr>
          <w:ilvl w:val="0"/>
          <w:numId w:val="12"/>
        </w:numPr>
        <w:rPr>
          <w:rFonts w:ascii="Segoe UI" w:hAnsi="Segoe UI" w:cs="Segoe UI"/>
          <w:color w:val="0072C6"/>
          <w:sz w:val="20"/>
          <w:szCs w:val="20"/>
          <w:u w:val="single"/>
        </w:rPr>
      </w:pPr>
      <w:r>
        <w:t xml:space="preserve">Nonpharmaceutical dangerous waste management requirements for SQGs: </w:t>
      </w:r>
      <w:hyperlink r:id="rId20">
        <w:r w:rsidRPr="33F22915">
          <w:rPr>
            <w:rStyle w:val="Hyperlink"/>
          </w:rPr>
          <w:t>WAC 173-303-170(2)(a)(</w:t>
        </w:r>
        <w:r w:rsidRPr="00A657E7">
          <w:rPr>
            <w:rStyle w:val="Hyperlink"/>
          </w:rPr>
          <w:t>i</w:t>
        </w:r>
        <w:r w:rsidRPr="33F22915">
          <w:rPr>
            <w:rStyle w:val="Hyperlink"/>
          </w:rPr>
          <w:t>)</w:t>
        </w:r>
      </w:hyperlink>
      <w:r w:rsidR="002E75EF" w:rsidRPr="002E75EF">
        <w:rPr>
          <w:rStyle w:val="EndnoteReference"/>
          <w:color w:val="auto"/>
        </w:rPr>
        <w:endnoteReference w:id="9"/>
      </w:r>
      <w:r w:rsidRPr="33F22915">
        <w:rPr>
          <w:rStyle w:val="ms-rtefontface-3"/>
        </w:rPr>
        <w:t> and </w:t>
      </w:r>
      <w:hyperlink r:id="rId21" w:history="1">
        <w:r w:rsidRPr="002E75EF">
          <w:rPr>
            <w:rStyle w:val="Hyperlink"/>
          </w:rPr>
          <w:t>WAC 173-303-171</w:t>
        </w:r>
      </w:hyperlink>
      <w:r w:rsidRPr="00047ED9">
        <w:rPr>
          <w:rFonts w:ascii="Segoe UI" w:hAnsi="Segoe UI" w:cs="Segoe UI"/>
          <w:sz w:val="20"/>
          <w:szCs w:val="20"/>
        </w:rPr>
        <w:t>.</w:t>
      </w:r>
      <w:r w:rsidR="002E75EF">
        <w:rPr>
          <w:rStyle w:val="EndnoteReference"/>
          <w:rFonts w:ascii="Segoe UI" w:hAnsi="Segoe UI" w:cs="Segoe UI"/>
          <w:sz w:val="20"/>
          <w:szCs w:val="20"/>
        </w:rPr>
        <w:endnoteReference w:id="10"/>
      </w:r>
    </w:p>
    <w:p w14:paraId="1FEAF529" w14:textId="3B4FD212" w:rsidR="002E75EF" w:rsidRDefault="002E75EF" w:rsidP="002E75EF">
      <w:pPr>
        <w:spacing w:before="240"/>
      </w:pPr>
      <w:r w:rsidRPr="002E75EF">
        <w:t>Image courtesy of FreePik.com.</w:t>
      </w:r>
    </w:p>
    <w:p w14:paraId="003AD7CE" w14:textId="625CD62B" w:rsidR="002E75EF" w:rsidRDefault="002E75EF" w:rsidP="002E75EF">
      <w:r w:rsidRPr="002E75EF">
        <w:t>Publication 21-04-022</w:t>
      </w:r>
    </w:p>
    <w:p w14:paraId="79866ED1" w14:textId="47DEB5D6" w:rsidR="002E75EF" w:rsidRPr="002E75EF" w:rsidRDefault="002E75EF" w:rsidP="002E75EF">
      <w:r w:rsidRPr="002E75EF">
        <w:t>To request an ADA accommodation, contact Ecology by phone at 360-407-6700 or email at hwtrpubs@ecy.wa.gov, or visit https://ecology.wa.gov/accessibility. For Relay Service or TTY call 711 or 877-833-6341.</w:t>
      </w:r>
    </w:p>
    <w:sectPr w:rsidR="002E75EF" w:rsidRPr="002E75EF" w:rsidSect="00186BA1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40D8" w14:textId="77777777" w:rsidR="00B360D7" w:rsidRDefault="00B360D7" w:rsidP="002E75EF">
      <w:pPr>
        <w:spacing w:after="0"/>
      </w:pPr>
      <w:r>
        <w:separator/>
      </w:r>
    </w:p>
  </w:endnote>
  <w:endnote w:type="continuationSeparator" w:id="0">
    <w:p w14:paraId="1AC9B880" w14:textId="77777777" w:rsidR="00B360D7" w:rsidRDefault="00B360D7" w:rsidP="002E75EF">
      <w:pPr>
        <w:spacing w:after="0"/>
      </w:pPr>
      <w:r>
        <w:continuationSeparator/>
      </w:r>
    </w:p>
  </w:endnote>
  <w:endnote w:id="1">
    <w:p w14:paraId="267B06C3" w14:textId="7D7DB287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https://ecology.wa.gov/Regulations-Permits/Guidance-technical-assistance/Dangerous-waste-guidance/Dangerous-waste-basics/Generator-category#GenTable</w:t>
      </w:r>
    </w:p>
  </w:endnote>
  <w:endnote w:id="2">
    <w:p w14:paraId="7C1A1235" w14:textId="1D8222DD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https://ecology.wa.gov/Regulations-Permits/Guidance-technical-assistance/Dangerous-waste-guidance/Common-dangerous-waste/Pharmaceutical-waste/RCRA-waste-codes</w:t>
      </w:r>
    </w:p>
  </w:endnote>
  <w:endnote w:id="3">
    <w:p w14:paraId="6260555B" w14:textId="272FFB31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http://ecology.wa.gov/generatorstatus</w:t>
      </w:r>
    </w:p>
  </w:endnote>
  <w:endnote w:id="4">
    <w:p w14:paraId="62BFD329" w14:textId="6262CBE0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https://ecology.wa.gov/Regulations-Permits/Guidance-technical-assistance/Dangerous-waste-guidance/Common-dangerous-waste/Pharmaceutical-waste/Management-options</w:t>
      </w:r>
    </w:p>
  </w:endnote>
  <w:endnote w:id="5">
    <w:p w14:paraId="1774ADEE" w14:textId="4F22B8A7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https://apps.leg.wa.gov/WAC/default.aspx?cite=173-303-555</w:t>
      </w:r>
    </w:p>
  </w:endnote>
  <w:endnote w:id="6">
    <w:p w14:paraId="5D4F302F" w14:textId="3B720B59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https://apps.leg.wa.gov/WAC/default.aspx?cite=173-303-555</w:t>
      </w:r>
    </w:p>
  </w:endnote>
  <w:endnote w:id="7">
    <w:p w14:paraId="1783C29D" w14:textId="14D50207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https://apps.leg.wa.gov/WAC/default.aspx?cite=173-303-200</w:t>
      </w:r>
    </w:p>
  </w:endnote>
  <w:endnote w:id="8">
    <w:p w14:paraId="1C43AD76" w14:textId="2A954CC4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https://apps.leg.wa.gov/WAC/default.aspx?cite=173-303-172</w:t>
      </w:r>
    </w:p>
  </w:endnote>
  <w:endnote w:id="9">
    <w:p w14:paraId="55F3074D" w14:textId="5E0852D7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https://apps.leg.wa.gov/WAC/default.aspx?cite=173-303-170</w:t>
      </w:r>
    </w:p>
  </w:endnote>
  <w:endnote w:id="10">
    <w:p w14:paraId="0AF20E30" w14:textId="2C2BDF31" w:rsidR="002E75EF" w:rsidRDefault="002E75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75EF">
        <w:t>https://app.leg.wa.gov/WAC/default.aspx?cite=173-303-171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7004" w14:textId="77777777" w:rsidR="00B360D7" w:rsidRDefault="00B360D7" w:rsidP="002E75EF">
      <w:pPr>
        <w:spacing w:after="0"/>
      </w:pPr>
      <w:r>
        <w:separator/>
      </w:r>
    </w:p>
  </w:footnote>
  <w:footnote w:type="continuationSeparator" w:id="0">
    <w:p w14:paraId="018BDDC6" w14:textId="77777777" w:rsidR="00B360D7" w:rsidRDefault="00B360D7" w:rsidP="002E75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374"/>
    <w:multiLevelType w:val="multilevel"/>
    <w:tmpl w:val="E720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734F"/>
    <w:multiLevelType w:val="multilevel"/>
    <w:tmpl w:val="E56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230A0"/>
    <w:multiLevelType w:val="hybridMultilevel"/>
    <w:tmpl w:val="638C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9C6"/>
    <w:multiLevelType w:val="hybridMultilevel"/>
    <w:tmpl w:val="D11E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127F"/>
    <w:multiLevelType w:val="hybridMultilevel"/>
    <w:tmpl w:val="8E5E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FD8"/>
    <w:multiLevelType w:val="hybridMultilevel"/>
    <w:tmpl w:val="C31A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E7091"/>
    <w:multiLevelType w:val="hybridMultilevel"/>
    <w:tmpl w:val="87BC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243B"/>
    <w:multiLevelType w:val="hybridMultilevel"/>
    <w:tmpl w:val="4B1A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C48F6"/>
    <w:multiLevelType w:val="hybridMultilevel"/>
    <w:tmpl w:val="48E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D0A"/>
    <w:multiLevelType w:val="hybridMultilevel"/>
    <w:tmpl w:val="7A325E6A"/>
    <w:lvl w:ilvl="0" w:tplc="7F9C2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94E7E"/>
    <w:multiLevelType w:val="hybridMultilevel"/>
    <w:tmpl w:val="DA3A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3ACE"/>
    <w:multiLevelType w:val="multilevel"/>
    <w:tmpl w:val="40E6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7365E"/>
    <w:multiLevelType w:val="hybridMultilevel"/>
    <w:tmpl w:val="C45E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BB"/>
    <w:rsid w:val="00003108"/>
    <w:rsid w:val="00047ED9"/>
    <w:rsid w:val="00065A97"/>
    <w:rsid w:val="000A0A7B"/>
    <w:rsid w:val="000A1C13"/>
    <w:rsid w:val="000B7555"/>
    <w:rsid w:val="000E3777"/>
    <w:rsid w:val="000F149B"/>
    <w:rsid w:val="00126E1B"/>
    <w:rsid w:val="001354CD"/>
    <w:rsid w:val="00186BA1"/>
    <w:rsid w:val="001A061E"/>
    <w:rsid w:val="001B2EF2"/>
    <w:rsid w:val="001C2353"/>
    <w:rsid w:val="0023286F"/>
    <w:rsid w:val="00234166"/>
    <w:rsid w:val="00235C24"/>
    <w:rsid w:val="00235C49"/>
    <w:rsid w:val="002629FF"/>
    <w:rsid w:val="00280CD4"/>
    <w:rsid w:val="002A4814"/>
    <w:rsid w:val="002A5153"/>
    <w:rsid w:val="002B39A4"/>
    <w:rsid w:val="002D0310"/>
    <w:rsid w:val="002E4057"/>
    <w:rsid w:val="002E75EF"/>
    <w:rsid w:val="00312B97"/>
    <w:rsid w:val="0032406D"/>
    <w:rsid w:val="00353DF2"/>
    <w:rsid w:val="00360B80"/>
    <w:rsid w:val="0038614B"/>
    <w:rsid w:val="0039247B"/>
    <w:rsid w:val="003B4D29"/>
    <w:rsid w:val="003D5650"/>
    <w:rsid w:val="003F24F1"/>
    <w:rsid w:val="003F71EB"/>
    <w:rsid w:val="00432B47"/>
    <w:rsid w:val="00433867"/>
    <w:rsid w:val="0044433E"/>
    <w:rsid w:val="00453EC4"/>
    <w:rsid w:val="00464F7F"/>
    <w:rsid w:val="0047085E"/>
    <w:rsid w:val="00470D26"/>
    <w:rsid w:val="004B68B1"/>
    <w:rsid w:val="004F492D"/>
    <w:rsid w:val="00621136"/>
    <w:rsid w:val="00630CD2"/>
    <w:rsid w:val="00637F16"/>
    <w:rsid w:val="006816BE"/>
    <w:rsid w:val="006B64F3"/>
    <w:rsid w:val="006C3DA0"/>
    <w:rsid w:val="006E4CA4"/>
    <w:rsid w:val="0071790C"/>
    <w:rsid w:val="00723675"/>
    <w:rsid w:val="00726BE3"/>
    <w:rsid w:val="00744F57"/>
    <w:rsid w:val="00780BA1"/>
    <w:rsid w:val="007A0CC0"/>
    <w:rsid w:val="007C2FDA"/>
    <w:rsid w:val="007E7658"/>
    <w:rsid w:val="007E7B88"/>
    <w:rsid w:val="007F385D"/>
    <w:rsid w:val="00880130"/>
    <w:rsid w:val="008D104D"/>
    <w:rsid w:val="008D5325"/>
    <w:rsid w:val="009424E1"/>
    <w:rsid w:val="00967329"/>
    <w:rsid w:val="00984172"/>
    <w:rsid w:val="00984CA8"/>
    <w:rsid w:val="00987FBB"/>
    <w:rsid w:val="00991921"/>
    <w:rsid w:val="00A07019"/>
    <w:rsid w:val="00A657E7"/>
    <w:rsid w:val="00AA0439"/>
    <w:rsid w:val="00AD31A2"/>
    <w:rsid w:val="00AD757B"/>
    <w:rsid w:val="00AE60F1"/>
    <w:rsid w:val="00B0209D"/>
    <w:rsid w:val="00B1209E"/>
    <w:rsid w:val="00B171B8"/>
    <w:rsid w:val="00B20FDC"/>
    <w:rsid w:val="00B24BA8"/>
    <w:rsid w:val="00B360D7"/>
    <w:rsid w:val="00B50D58"/>
    <w:rsid w:val="00B91C4B"/>
    <w:rsid w:val="00BE6912"/>
    <w:rsid w:val="00BF289F"/>
    <w:rsid w:val="00C41093"/>
    <w:rsid w:val="00C80628"/>
    <w:rsid w:val="00C90A1A"/>
    <w:rsid w:val="00C92F80"/>
    <w:rsid w:val="00D7363F"/>
    <w:rsid w:val="00D83287"/>
    <w:rsid w:val="00DC5C51"/>
    <w:rsid w:val="00DE155E"/>
    <w:rsid w:val="00DE7545"/>
    <w:rsid w:val="00E01E37"/>
    <w:rsid w:val="00E15484"/>
    <w:rsid w:val="00E875E2"/>
    <w:rsid w:val="00EA7211"/>
    <w:rsid w:val="00EE5EFB"/>
    <w:rsid w:val="00F16C4E"/>
    <w:rsid w:val="00FA5420"/>
    <w:rsid w:val="00FC2EF3"/>
    <w:rsid w:val="00FC5BFC"/>
    <w:rsid w:val="00FD73D9"/>
    <w:rsid w:val="00FF7808"/>
    <w:rsid w:val="08D41065"/>
    <w:rsid w:val="1D416676"/>
    <w:rsid w:val="33F22915"/>
    <w:rsid w:val="5C4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F74A9"/>
  <w14:defaultImageDpi w14:val="330"/>
  <w15:chartTrackingRefBased/>
  <w15:docId w15:val="{4AC5F58B-5A7D-4AAA-B7BA-F20FA41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7B"/>
    <w:pPr>
      <w:spacing w:after="120" w:line="240" w:lineRule="auto"/>
    </w:pPr>
    <w:rPr>
      <w:rFonts w:ascii="Calibri" w:hAnsi="Calibri" w:cs="Calibri"/>
      <w:color w:val="44444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A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87FB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87FBB"/>
    <w:rPr>
      <w:b/>
      <w:bCs/>
    </w:rPr>
  </w:style>
  <w:style w:type="character" w:customStyle="1" w:styleId="ms-rteforecolor-8">
    <w:name w:val="ms-rteforecolor-8"/>
    <w:basedOn w:val="DefaultParagraphFont"/>
    <w:rsid w:val="00987FBB"/>
  </w:style>
  <w:style w:type="character" w:customStyle="1" w:styleId="ms-rtefontface-3">
    <w:name w:val="ms-rtefontface-3"/>
    <w:basedOn w:val="DefaultParagraphFont"/>
    <w:rsid w:val="00987FBB"/>
  </w:style>
  <w:style w:type="paragraph" w:styleId="NormalWeb">
    <w:name w:val="Normal (Web)"/>
    <w:basedOn w:val="Normal"/>
    <w:uiPriority w:val="99"/>
    <w:unhideWhenUsed/>
    <w:rsid w:val="00987F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s-rtebackcolor-4">
    <w:name w:val="ms-rtebackcolor-4"/>
    <w:basedOn w:val="DefaultParagraphFont"/>
    <w:rsid w:val="00987FBB"/>
  </w:style>
  <w:style w:type="character" w:customStyle="1" w:styleId="Heading1Char">
    <w:name w:val="Heading 1 Char"/>
    <w:basedOn w:val="DefaultParagraphFont"/>
    <w:link w:val="Heading1"/>
    <w:uiPriority w:val="9"/>
    <w:rsid w:val="00987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A1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75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A1A"/>
    <w:rPr>
      <w:rFonts w:ascii="Calibri" w:hAnsi="Calibri" w:cs="Calibri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A1A"/>
    <w:rPr>
      <w:rFonts w:ascii="Calibri" w:hAnsi="Calibri" w:cs="Calibri"/>
      <w:b/>
      <w:bCs/>
      <w:color w:val="44444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1A"/>
    <w:rPr>
      <w:rFonts w:ascii="Segoe UI" w:hAnsi="Segoe UI" w:cs="Segoe UI"/>
      <w:color w:val="444444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0A1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2B4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47ED9"/>
    <w:pPr>
      <w:spacing w:after="0" w:line="240" w:lineRule="auto"/>
    </w:pPr>
    <w:rPr>
      <w:rFonts w:ascii="Calibri" w:hAnsi="Calibri" w:cs="Calibri"/>
      <w:color w:val="444444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2E75E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Roboto Condensed" w:hAnsi="Roboto Condensed" w:cs="Roboto Condensed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75EF"/>
    <w:rPr>
      <w:rFonts w:ascii="Roboto Condensed" w:hAnsi="Roboto Condensed" w:cs="Roboto Condensed"/>
      <w:color w:val="000000"/>
      <w:sz w:val="20"/>
      <w:szCs w:val="20"/>
    </w:rPr>
  </w:style>
  <w:style w:type="paragraph" w:styleId="NoSpacing">
    <w:name w:val="No Spacing"/>
    <w:uiPriority w:val="1"/>
    <w:qFormat/>
    <w:rsid w:val="002E75EF"/>
    <w:pPr>
      <w:spacing w:after="0" w:line="240" w:lineRule="auto"/>
    </w:pPr>
    <w:rPr>
      <w:rFonts w:ascii="Calibri" w:hAnsi="Calibri" w:cs="Calibri"/>
      <w:color w:val="444444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75E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5EF"/>
    <w:rPr>
      <w:rFonts w:ascii="Calibri" w:hAnsi="Calibri" w:cs="Calibri"/>
      <w:color w:val="444444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7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ology.wa.gov/Regulations-Permits/Guidance-technical-assistance/Dangerous-waste-guidance/Common-dangerous-waste/Pharmaceutical-waste/RCRA-waste-codes" TargetMode="External"/><Relationship Id="rId18" Type="http://schemas.openxmlformats.org/officeDocument/2006/relationships/hyperlink" Target="https://apps.leg.wa.gov/WAC/default.aspx?cite=173-303-2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leg.wa.gov/WAC/default.aspx?cite=173-303-171" TargetMode="External"/><Relationship Id="rId7" Type="http://schemas.openxmlformats.org/officeDocument/2006/relationships/styles" Target="styles.xml"/><Relationship Id="rId12" Type="http://schemas.openxmlformats.org/officeDocument/2006/relationships/hyperlink" Target="https://ecology.wa.gov/Regulations-Permits/Guidance-technical-assistance/Dangerous-waste-guidance/Dangerous-waste-basics/Generator-category" TargetMode="External"/><Relationship Id="rId17" Type="http://schemas.openxmlformats.org/officeDocument/2006/relationships/hyperlink" Target="https://apps.leg.wa.gov/WAC/default.aspx?cite=173-303-5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leg.wa.gov/WAC/default.aspx?cite=173-303-555" TargetMode="External"/><Relationship Id="rId20" Type="http://schemas.openxmlformats.org/officeDocument/2006/relationships/hyperlink" Target="https://apps.leg.wa.gov/WAC/default.aspx?cite=173-303-17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cology.wa.gov/Regulations-Permits/Guidance-technical-assistance/Dangerous-waste-guidance/Common-dangerous-waste/Pharmaceutical-waste/Management-option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apps.leg.wa.gov/WAC/default.aspx?cite=173-303-17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ology.wa.gov/generatorstat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A24D226C72C4487BCBA28A97D926A" ma:contentTypeVersion="2" ma:contentTypeDescription="Create a new document." ma:contentTypeScope="" ma:versionID="6caf9996232634bd1847e75fe9096a3f">
  <xsd:schema xmlns:xsd="http://www.w3.org/2001/XMLSchema" xmlns:xs="http://www.w3.org/2001/XMLSchema" xmlns:p="http://schemas.microsoft.com/office/2006/metadata/properties" xmlns:ns2="6b36f311-9415-4e3f-95c7-eada4c1e6ea1" targetNamespace="http://schemas.microsoft.com/office/2006/metadata/properties" ma:root="true" ma:fieldsID="2a08dd4871f7fc7b727fa0332d656da6" ns2:_="">
    <xsd:import namespace="6b36f311-9415-4e3f-95c7-eada4c1e6e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f311-9415-4e3f-95c7-eada4c1e6e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36f311-9415-4e3f-95c7-eada4c1e6ea1">DK6JDEM2P4UR-107793590-195</_dlc_DocId>
    <_dlc_DocIdUrl xmlns="6b36f311-9415-4e3f-95c7-eada4c1e6ea1">
      <Url>http://teams/sites/HWTR/com_unit/_layouts/15/DocIdRedir.aspx?ID=DK6JDEM2P4UR-107793590-195</Url>
      <Description>DK6JDEM2P4UR-107793590-195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597C-E346-439E-9ED9-00A560B28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6998D-7A0C-4683-BCCA-EB1C4FA4E2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C7E8BB-DA3F-4D20-825A-7E1DAE05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6f311-9415-4e3f-95c7-eada4c1e6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DFE75-784F-47C5-BDF7-E6C3CFBD3E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b36f311-9415-4e3f-95c7-eada4c1e6ea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B4BE356-7C8D-487D-AADB-6C6EE302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I Manage My Dangerous Waste Pharmaceuticals?</vt:lpstr>
    </vt:vector>
  </TitlesOfParts>
  <Company>WA Department of Ecology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Manage My Dangerous Waste Pharmaceuticals?</dc:title>
  <dc:subject>Plain text version of flowchart in publication 21-04-022.</dc:subject>
  <dc:creator>Washington State Department of Ecology</dc:creator>
  <cp:keywords>pharmaceutical waste; dangerous waste; hazardous waste; management; special requirements; standard requirements; QEL; generator status; generator category; dangerous waste pharmaceuticals</cp:keywords>
  <dc:description/>
  <cp:lastModifiedBy>Sidley, Emily (ECY)</cp:lastModifiedBy>
  <cp:revision>3</cp:revision>
  <dcterms:created xsi:type="dcterms:W3CDTF">2021-03-15T20:53:00Z</dcterms:created>
  <dcterms:modified xsi:type="dcterms:W3CDTF">2021-03-15T20:53:00Z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0x010100EB6A24D226C72C4487BCBA28A97D926A</vt:lpwstr>
  </property>
  <property fmtid="{D5CDD505-2E9C-101B-9397-08002B2CF9AE}" pid="3" name="_dlc_DocIdItemGuid">
    <vt:lpwstr>eba067a7-b589-481c-a682-3e06bcb13faa</vt:lpwstr>
  </property>
</Properties>
</file>