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342" w14:textId="77777777" w:rsidR="0054117E" w:rsidRPr="0054117E" w:rsidRDefault="004B4A8D" w:rsidP="00916E2B">
      <w:pPr>
        <w:pStyle w:val="Title"/>
        <w:rPr>
          <w:b/>
          <w:bCs/>
        </w:rPr>
      </w:pPr>
      <w:r w:rsidRPr="0054117E">
        <w:rPr>
          <w:b/>
          <w:bCs/>
        </w:rPr>
        <w:t xml:space="preserve">Plastics </w:t>
      </w:r>
      <w:r w:rsidR="00D70C71" w:rsidRPr="0054117E">
        <w:rPr>
          <w:b/>
          <w:bCs/>
        </w:rPr>
        <w:t>p</w:t>
      </w:r>
      <w:r w:rsidR="00567F6B" w:rsidRPr="0054117E">
        <w:rPr>
          <w:b/>
          <w:bCs/>
        </w:rPr>
        <w:t>ost-</w:t>
      </w:r>
      <w:r w:rsidR="00D70C71" w:rsidRPr="0054117E">
        <w:rPr>
          <w:b/>
          <w:bCs/>
        </w:rPr>
        <w:t>c</w:t>
      </w:r>
      <w:r w:rsidR="00567F6B" w:rsidRPr="0054117E">
        <w:rPr>
          <w:b/>
          <w:bCs/>
        </w:rPr>
        <w:t xml:space="preserve">onsumer </w:t>
      </w:r>
      <w:r w:rsidR="00D70C71" w:rsidRPr="0054117E">
        <w:rPr>
          <w:b/>
          <w:bCs/>
        </w:rPr>
        <w:t>r</w:t>
      </w:r>
      <w:r w:rsidRPr="0054117E">
        <w:rPr>
          <w:b/>
          <w:bCs/>
        </w:rPr>
        <w:t xml:space="preserve">ecycled </w:t>
      </w:r>
      <w:r w:rsidR="00D70C71" w:rsidRPr="0054117E">
        <w:rPr>
          <w:b/>
          <w:bCs/>
        </w:rPr>
        <w:t>c</w:t>
      </w:r>
      <w:r w:rsidRPr="0054117E">
        <w:rPr>
          <w:b/>
          <w:bCs/>
        </w:rPr>
        <w:t xml:space="preserve">ontent </w:t>
      </w:r>
    </w:p>
    <w:p w14:paraId="1A20025B" w14:textId="535046F0" w:rsidR="001F3BF4" w:rsidRPr="0054117E" w:rsidRDefault="004B4A8D" w:rsidP="00916E2B">
      <w:pPr>
        <w:pStyle w:val="Title"/>
        <w:rPr>
          <w:b/>
          <w:bCs/>
        </w:rPr>
      </w:pPr>
      <w:r w:rsidRPr="0054117E">
        <w:rPr>
          <w:b/>
          <w:bCs/>
        </w:rPr>
        <w:t>Workload Analysis</w:t>
      </w:r>
      <w:r w:rsidR="00431C6A" w:rsidRPr="0054117E">
        <w:rPr>
          <w:b/>
          <w:bCs/>
        </w:rPr>
        <w:t xml:space="preserve"> </w:t>
      </w:r>
      <w:r w:rsidR="009F6765" w:rsidRPr="0054117E">
        <w:rPr>
          <w:b/>
          <w:bCs/>
        </w:rPr>
        <w:t>for</w:t>
      </w:r>
      <w:r w:rsidR="0054117E" w:rsidRPr="0054117E">
        <w:rPr>
          <w:b/>
          <w:bCs/>
        </w:rPr>
        <w:t xml:space="preserve"> </w:t>
      </w:r>
      <w:r w:rsidR="00D70C71" w:rsidRPr="0054117E">
        <w:rPr>
          <w:b/>
          <w:bCs/>
        </w:rPr>
        <w:t>f</w:t>
      </w:r>
      <w:r w:rsidRPr="0054117E">
        <w:rPr>
          <w:b/>
          <w:bCs/>
        </w:rPr>
        <w:t xml:space="preserve">iscal </w:t>
      </w:r>
      <w:r w:rsidR="00D70C71" w:rsidRPr="0054117E">
        <w:rPr>
          <w:b/>
          <w:bCs/>
        </w:rPr>
        <w:t>y</w:t>
      </w:r>
      <w:r w:rsidRPr="0054117E">
        <w:rPr>
          <w:b/>
          <w:bCs/>
        </w:rPr>
        <w:t>ear 202</w:t>
      </w:r>
      <w:r w:rsidR="00D800C1" w:rsidRPr="0054117E">
        <w:rPr>
          <w:b/>
          <w:bCs/>
        </w:rPr>
        <w:t>4</w:t>
      </w:r>
    </w:p>
    <w:p w14:paraId="309BFA70" w14:textId="2DEDE2BC" w:rsidR="00007A97" w:rsidRDefault="004B4A8D" w:rsidP="00763A7F">
      <w:pPr>
        <w:pStyle w:val="FocusH2"/>
      </w:pPr>
      <w:r>
        <w:t>Background</w:t>
      </w:r>
    </w:p>
    <w:p w14:paraId="53F21E61" w14:textId="53114980" w:rsidR="004B4A8D" w:rsidRPr="00A964F6" w:rsidRDefault="004B4A8D" w:rsidP="00A964F6">
      <w:pPr>
        <w:pStyle w:val="FocusbodyText"/>
      </w:pPr>
      <w:r w:rsidRPr="00A964F6">
        <w:t>RCW 70A.245.020 (3) requires the Department of Ecology to prepare an annual Workload Analysis (WLA) for public comment</w:t>
      </w:r>
      <w:r w:rsidR="007C6C9C">
        <w:t>.</w:t>
      </w:r>
      <w:r w:rsidRPr="00A964F6">
        <w:t xml:space="preserve"> </w:t>
      </w:r>
      <w:r w:rsidR="007C6C9C">
        <w:t xml:space="preserve">The WLA </w:t>
      </w:r>
      <w:r w:rsidRPr="00A964F6">
        <w:t>identifies the annual costs it expects to incur to implement, administer, and enforce the post-consumer recycled content requirements</w:t>
      </w:r>
      <w:r w:rsidR="00916E2B">
        <w:t>,</w:t>
      </w:r>
    </w:p>
    <w:p w14:paraId="2A3C2950" w14:textId="42AA4716" w:rsidR="00916E2B" w:rsidRDefault="004B4A8D" w:rsidP="00A964F6">
      <w:pPr>
        <w:pStyle w:val="FocusbodyText"/>
      </w:pPr>
      <w:r w:rsidRPr="00A964F6">
        <w:t>This WLA estimate</w:t>
      </w:r>
      <w:r w:rsidR="00A058BA">
        <w:t>s</w:t>
      </w:r>
      <w:r w:rsidRPr="00A964F6">
        <w:t xml:space="preserve"> annual costs for F</w:t>
      </w:r>
      <w:r w:rsidR="00D705DF">
        <w:t xml:space="preserve">iscal </w:t>
      </w:r>
      <w:r w:rsidRPr="00A964F6">
        <w:t>Y</w:t>
      </w:r>
      <w:r w:rsidR="00D705DF">
        <w:t>ear (FY)</w:t>
      </w:r>
      <w:r w:rsidRPr="00A964F6">
        <w:t xml:space="preserve"> 202</w:t>
      </w:r>
      <w:r w:rsidR="00D800C1">
        <w:t>4</w:t>
      </w:r>
      <w:r w:rsidR="00A058BA">
        <w:t xml:space="preserve"> </w:t>
      </w:r>
      <w:r w:rsidR="00D705DF">
        <w:t>begin</w:t>
      </w:r>
      <w:r w:rsidR="00A058BA">
        <w:t>ning</w:t>
      </w:r>
      <w:r w:rsidR="00D705DF">
        <w:t xml:space="preserve"> on </w:t>
      </w:r>
      <w:r w:rsidR="002E5DB0">
        <w:t xml:space="preserve">July 1, </w:t>
      </w:r>
      <w:proofErr w:type="gramStart"/>
      <w:r w:rsidR="002E5DB0">
        <w:t>2023</w:t>
      </w:r>
      <w:proofErr w:type="gramEnd"/>
      <w:r w:rsidR="002E5DB0">
        <w:t xml:space="preserve"> and</w:t>
      </w:r>
      <w:r w:rsidR="00D705DF">
        <w:t xml:space="preserve"> end</w:t>
      </w:r>
      <w:r w:rsidR="00A058BA">
        <w:t>ing</w:t>
      </w:r>
      <w:r w:rsidR="00D705DF">
        <w:t xml:space="preserve"> </w:t>
      </w:r>
      <w:r w:rsidR="002200BD">
        <w:t xml:space="preserve">on </w:t>
      </w:r>
      <w:r w:rsidR="00D705DF">
        <w:t>June 30, 2024</w:t>
      </w:r>
      <w:r w:rsidRPr="00A964F6">
        <w:t>.</w:t>
      </w:r>
    </w:p>
    <w:p w14:paraId="31DB182E" w14:textId="5E6469B5" w:rsidR="00916E2B" w:rsidRDefault="00567F6B" w:rsidP="00A964F6">
      <w:pPr>
        <w:pStyle w:val="FocusbodyText"/>
      </w:pPr>
      <w:r>
        <w:t>The workload is estimated for two</w:t>
      </w:r>
      <w:r w:rsidRPr="00567F6B">
        <w:t xml:space="preserve"> </w:t>
      </w:r>
      <w:r w:rsidR="00707F5B">
        <w:t>types</w:t>
      </w:r>
      <w:r w:rsidR="00A058BA">
        <w:t xml:space="preserve"> of </w:t>
      </w:r>
      <w:r w:rsidRPr="00567F6B">
        <w:t>work</w:t>
      </w:r>
    </w:p>
    <w:p w14:paraId="09EBE7E8" w14:textId="3272AB5A" w:rsidR="00916E2B" w:rsidRDefault="00567F6B" w:rsidP="00A058BA">
      <w:pPr>
        <w:pStyle w:val="FocusbodyText"/>
        <w:numPr>
          <w:ilvl w:val="0"/>
          <w:numId w:val="21"/>
        </w:numPr>
      </w:pPr>
      <w:r>
        <w:t>Program Administration</w:t>
      </w:r>
    </w:p>
    <w:p w14:paraId="4056849D" w14:textId="093B9E09" w:rsidR="00916E2B" w:rsidRDefault="00D705DF" w:rsidP="00A058BA">
      <w:pPr>
        <w:pStyle w:val="FocusbodyText"/>
        <w:numPr>
          <w:ilvl w:val="0"/>
          <w:numId w:val="21"/>
        </w:numPr>
      </w:pPr>
      <w:r>
        <w:t>Post-Consumer Recycled Content (</w:t>
      </w:r>
      <w:r w:rsidR="00567F6B">
        <w:t>PCRC</w:t>
      </w:r>
      <w:r>
        <w:t>)</w:t>
      </w:r>
      <w:r w:rsidR="00567F6B" w:rsidRPr="00567F6B">
        <w:t xml:space="preserve"> Oversight</w:t>
      </w:r>
    </w:p>
    <w:p w14:paraId="52C7EEBD" w14:textId="5165060A" w:rsidR="00567F6B" w:rsidRDefault="00567F6B" w:rsidP="00A964F6">
      <w:pPr>
        <w:pStyle w:val="FocusbodyText"/>
      </w:pPr>
      <w:r>
        <w:t>Below is a summary of the total estimated costs for each component of the projected workload.</w:t>
      </w:r>
      <w:r w:rsidR="003A31B7">
        <w:t xml:space="preserve"> Following the </w:t>
      </w:r>
      <w:r w:rsidR="00985D99">
        <w:t>WLA</w:t>
      </w:r>
      <w:r w:rsidR="003A31B7">
        <w:t xml:space="preserve"> is a summary of estimated fee levels</w:t>
      </w:r>
      <w:r w:rsidR="00E67011">
        <w:t>, expressed in cost per pound of total plastic</w:t>
      </w:r>
      <w:r w:rsidR="003A31B7">
        <w:t xml:space="preserve">, based on the registration data submitted </w:t>
      </w:r>
      <w:r w:rsidR="00985D99">
        <w:t xml:space="preserve">in </w:t>
      </w:r>
      <w:r w:rsidR="007713B0">
        <w:t xml:space="preserve">the </w:t>
      </w:r>
      <w:r w:rsidR="003A31B7">
        <w:t>calendar year</w:t>
      </w:r>
      <w:r w:rsidR="00985D99">
        <w:t xml:space="preserve"> 2022</w:t>
      </w:r>
      <w:r w:rsidR="003A31B7">
        <w:t>.</w:t>
      </w:r>
      <w:r w:rsidR="00E67011">
        <w:t xml:space="preserve"> The </w:t>
      </w:r>
      <w:r w:rsidR="00985D99">
        <w:t xml:space="preserve">estimated costs by product category </w:t>
      </w:r>
      <w:r w:rsidR="00E67011">
        <w:t xml:space="preserve">are provided for producer budgeting purposes. </w:t>
      </w:r>
      <w:r w:rsidR="003A31B7">
        <w:t>Actual fees will be calculated based on registration data submitted by April 1, 2023.</w:t>
      </w:r>
      <w:r w:rsidR="00E67011">
        <w:t xml:space="preserve"> If actual fee costs vary significantly from the estimated levels, we will notify producers as promptly as possible, when the data is available.</w:t>
      </w:r>
    </w:p>
    <w:p w14:paraId="2FFC4227" w14:textId="1E19AC1E" w:rsidR="00F441A0" w:rsidRDefault="00F441A0" w:rsidP="001C38DE">
      <w:pPr>
        <w:pStyle w:val="FocusbodyText"/>
      </w:pPr>
      <w:r>
        <w:rPr>
          <w:rStyle w:val="FocusH3Char"/>
        </w:rPr>
        <w:t xml:space="preserve">Table 1: Summary of </w:t>
      </w:r>
      <w:r w:rsidR="00A8125A">
        <w:rPr>
          <w:rStyle w:val="FocusH3Char"/>
        </w:rPr>
        <w:t>e</w:t>
      </w:r>
      <w:r>
        <w:rPr>
          <w:rStyle w:val="FocusH3Char"/>
        </w:rPr>
        <w:t xml:space="preserve">stimated </w:t>
      </w:r>
      <w:r w:rsidR="00A8125A">
        <w:rPr>
          <w:rStyle w:val="FocusH3Char"/>
        </w:rPr>
        <w:t>c</w:t>
      </w:r>
      <w:r>
        <w:rPr>
          <w:rStyle w:val="FocusH3Char"/>
        </w:rPr>
        <w:t xml:space="preserve">osts by </w:t>
      </w:r>
      <w:r w:rsidR="00A8125A">
        <w:rPr>
          <w:rStyle w:val="FocusH3Char"/>
        </w:rPr>
        <w:t>c</w:t>
      </w:r>
      <w:r w:rsidR="00905582">
        <w:rPr>
          <w:rStyle w:val="FocusH3Char"/>
        </w:rPr>
        <w:t xml:space="preserve">ost </w:t>
      </w:r>
      <w:r w:rsidR="00A8125A">
        <w:rPr>
          <w:rStyle w:val="FocusH3Char"/>
        </w:rPr>
        <w:t>c</w:t>
      </w:r>
      <w:r>
        <w:rPr>
          <w:rStyle w:val="FocusH3Char"/>
        </w:rPr>
        <w:t xml:space="preserve">ategory and </w:t>
      </w:r>
      <w:r w:rsidR="00A8125A">
        <w:rPr>
          <w:rStyle w:val="FocusH3Char"/>
        </w:rPr>
        <w:t>w</w:t>
      </w:r>
      <w:r>
        <w:rPr>
          <w:rStyle w:val="FocusH3Char"/>
        </w:rPr>
        <w:t xml:space="preserve">orkload </w:t>
      </w:r>
      <w:r w:rsidR="00A8125A">
        <w:rPr>
          <w:rStyle w:val="FocusH3Char"/>
        </w:rPr>
        <w:t>t</w:t>
      </w:r>
      <w:r w:rsidR="00707F5B">
        <w:rPr>
          <w:rStyle w:val="FocusH3Char"/>
        </w:rPr>
        <w:t>ype</w:t>
      </w:r>
    </w:p>
    <w:tbl>
      <w:tblPr>
        <w:tblW w:w="4881" w:type="pct"/>
        <w:tblLook w:val="04A0" w:firstRow="1" w:lastRow="0" w:firstColumn="1" w:lastColumn="0" w:noHBand="0" w:noVBand="1"/>
        <w:tblCaption w:val="Table 1:  Estimated Costs by Category"/>
        <w:tblDescription w:val="This table summarizes the estimated costs for the upcoming fiscal year for key categories, such as salaries and benefits, goods and services, travel, equipment, and other specific costs, such as Attorney General support and data on recycled resin avialability."/>
      </w:tblPr>
      <w:tblGrid>
        <w:gridCol w:w="5526"/>
        <w:gridCol w:w="2843"/>
        <w:gridCol w:w="2841"/>
        <w:gridCol w:w="2838"/>
      </w:tblGrid>
      <w:tr w:rsidR="00F441A0" w:rsidRPr="00431C6A" w14:paraId="343C91EF" w14:textId="77777777" w:rsidTr="002200BD">
        <w:trPr>
          <w:trHeight w:val="284"/>
          <w:tblHeader/>
        </w:trPr>
        <w:tc>
          <w:tcPr>
            <w:tcW w:w="196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hideMark/>
          </w:tcPr>
          <w:p w14:paraId="7B828C3C" w14:textId="36DCF1A9" w:rsidR="00F441A0" w:rsidRPr="007108C3" w:rsidRDefault="00F441A0" w:rsidP="00707F5B">
            <w:pPr>
              <w:spacing w:after="0" w:line="240" w:lineRule="auto"/>
              <w:jc w:val="center"/>
              <w:rPr>
                <w:rFonts w:eastAsia="Times New Roman" w:cstheme="minorHAnsi"/>
                <w:b/>
                <w:bCs/>
                <w:color w:val="000000"/>
                <w:sz w:val="28"/>
                <w:szCs w:val="28"/>
              </w:rPr>
            </w:pPr>
            <w:r w:rsidRPr="007108C3">
              <w:rPr>
                <w:b/>
                <w:bCs/>
              </w:rPr>
              <w:t xml:space="preserve">Cost </w:t>
            </w:r>
            <w:r w:rsidR="002200BD">
              <w:rPr>
                <w:b/>
                <w:bCs/>
              </w:rPr>
              <w:t>C</w:t>
            </w:r>
            <w:r w:rsidRPr="007108C3">
              <w:rPr>
                <w:b/>
                <w:bCs/>
              </w:rPr>
              <w:t>ategory</w:t>
            </w:r>
          </w:p>
        </w:tc>
        <w:tc>
          <w:tcPr>
            <w:tcW w:w="1012" w:type="pct"/>
            <w:tcBorders>
              <w:top w:val="single" w:sz="4" w:space="0" w:color="auto"/>
              <w:left w:val="nil"/>
              <w:bottom w:val="single" w:sz="4" w:space="0" w:color="auto"/>
              <w:right w:val="single" w:sz="4" w:space="0" w:color="auto"/>
            </w:tcBorders>
            <w:shd w:val="clear" w:color="auto" w:fill="DBDBDB" w:themeFill="accent3" w:themeFillTint="66"/>
          </w:tcPr>
          <w:p w14:paraId="5A4AD13B" w14:textId="51BB2717" w:rsidR="00F441A0" w:rsidRPr="007108C3" w:rsidRDefault="00F441A0" w:rsidP="00707F5B">
            <w:pPr>
              <w:spacing w:after="0" w:line="240" w:lineRule="auto"/>
              <w:jc w:val="center"/>
              <w:rPr>
                <w:rFonts w:eastAsia="Times New Roman" w:cstheme="minorHAnsi"/>
                <w:b/>
                <w:bCs/>
                <w:color w:val="000000"/>
                <w:sz w:val="28"/>
                <w:szCs w:val="28"/>
              </w:rPr>
            </w:pPr>
            <w:r w:rsidRPr="007108C3">
              <w:rPr>
                <w:b/>
                <w:bCs/>
              </w:rPr>
              <w:t xml:space="preserve">Program </w:t>
            </w:r>
            <w:r w:rsidR="002200BD">
              <w:rPr>
                <w:b/>
                <w:bCs/>
              </w:rPr>
              <w:t>A</w:t>
            </w:r>
            <w:r w:rsidR="002200BD" w:rsidRPr="007108C3">
              <w:rPr>
                <w:b/>
                <w:bCs/>
              </w:rPr>
              <w:t>dministration</w:t>
            </w:r>
          </w:p>
        </w:tc>
        <w:tc>
          <w:tcPr>
            <w:tcW w:w="101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49B2F5" w14:textId="094F45F7" w:rsidR="00F441A0" w:rsidRPr="007108C3" w:rsidRDefault="00F441A0" w:rsidP="00707F5B">
            <w:pPr>
              <w:spacing w:after="0" w:line="240" w:lineRule="auto"/>
              <w:jc w:val="center"/>
              <w:rPr>
                <w:rFonts w:eastAsia="Times New Roman" w:cstheme="minorHAnsi"/>
                <w:b/>
                <w:bCs/>
                <w:color w:val="000000"/>
                <w:sz w:val="28"/>
                <w:szCs w:val="28"/>
              </w:rPr>
            </w:pPr>
            <w:r w:rsidRPr="007108C3">
              <w:rPr>
                <w:b/>
                <w:bCs/>
              </w:rPr>
              <w:t xml:space="preserve">PCRC </w:t>
            </w:r>
            <w:r w:rsidR="002200BD">
              <w:rPr>
                <w:b/>
                <w:bCs/>
              </w:rPr>
              <w:t>O</w:t>
            </w:r>
            <w:r w:rsidRPr="007108C3">
              <w:rPr>
                <w:b/>
                <w:bCs/>
              </w:rPr>
              <w:t>versight</w:t>
            </w:r>
          </w:p>
        </w:tc>
        <w:tc>
          <w:tcPr>
            <w:tcW w:w="1010" w:type="pct"/>
            <w:tcBorders>
              <w:top w:val="single" w:sz="4" w:space="0" w:color="auto"/>
              <w:left w:val="nil"/>
              <w:bottom w:val="single" w:sz="4" w:space="0" w:color="auto"/>
              <w:right w:val="single" w:sz="4" w:space="0" w:color="auto"/>
            </w:tcBorders>
            <w:shd w:val="clear" w:color="auto" w:fill="DBDBDB" w:themeFill="accent3" w:themeFillTint="66"/>
          </w:tcPr>
          <w:p w14:paraId="3D631168" w14:textId="3679E3D0" w:rsidR="00F441A0" w:rsidRDefault="00F441A0" w:rsidP="00707F5B">
            <w:pPr>
              <w:spacing w:after="0" w:line="240" w:lineRule="auto"/>
              <w:jc w:val="center"/>
              <w:rPr>
                <w:b/>
                <w:bCs/>
              </w:rPr>
            </w:pPr>
            <w:r>
              <w:rPr>
                <w:b/>
                <w:bCs/>
              </w:rPr>
              <w:t>Total</w:t>
            </w:r>
          </w:p>
          <w:p w14:paraId="1C9FA9AA" w14:textId="15EC14DF" w:rsidR="00F441A0" w:rsidRPr="00707F5B" w:rsidRDefault="00F441A0" w:rsidP="00707F5B">
            <w:pPr>
              <w:spacing w:after="0" w:line="240" w:lineRule="auto"/>
              <w:jc w:val="center"/>
              <w:rPr>
                <w:b/>
                <w:bCs/>
                <w:strike/>
              </w:rPr>
            </w:pPr>
          </w:p>
        </w:tc>
      </w:tr>
      <w:tr w:rsidR="00690C02" w:rsidRPr="00431C6A" w14:paraId="34025B00" w14:textId="77777777" w:rsidTr="002200BD">
        <w:trPr>
          <w:trHeight w:val="64"/>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12B759FD" w14:textId="51F9A917" w:rsidR="00690C02" w:rsidRPr="00431C6A" w:rsidRDefault="00690C02" w:rsidP="00690C02">
            <w:pPr>
              <w:spacing w:after="0" w:line="240" w:lineRule="auto"/>
              <w:rPr>
                <w:rFonts w:eastAsia="Times New Roman" w:cstheme="minorHAnsi"/>
                <w:b/>
                <w:bCs/>
                <w:color w:val="000000"/>
                <w:sz w:val="28"/>
                <w:szCs w:val="28"/>
              </w:rPr>
            </w:pPr>
            <w:r w:rsidRPr="002D1DC1">
              <w:t>Salaries</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14:paraId="1F04026C" w14:textId="5D8297F5" w:rsidR="00690C02" w:rsidRPr="00245888" w:rsidRDefault="00690C02" w:rsidP="00690C02">
            <w:pPr>
              <w:spacing w:after="0" w:line="240" w:lineRule="auto"/>
              <w:jc w:val="right"/>
              <w:rPr>
                <w:rFonts w:eastAsia="Times New Roman" w:cstheme="minorHAnsi"/>
                <w:szCs w:val="24"/>
              </w:rPr>
            </w:pPr>
            <w:r w:rsidRPr="00245888">
              <w:rPr>
                <w:szCs w:val="24"/>
              </w:rPr>
              <w:t xml:space="preserve">$153,510 </w:t>
            </w:r>
          </w:p>
        </w:tc>
        <w:tc>
          <w:tcPr>
            <w:tcW w:w="10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DB5F5" w14:textId="3F852F9C" w:rsidR="00690C02" w:rsidRPr="00245888" w:rsidRDefault="00690C02" w:rsidP="00690C02">
            <w:pPr>
              <w:spacing w:after="0" w:line="240" w:lineRule="auto"/>
              <w:jc w:val="right"/>
              <w:rPr>
                <w:rFonts w:eastAsia="Times New Roman" w:cstheme="minorHAnsi"/>
                <w:b/>
                <w:bCs/>
                <w:color w:val="000000"/>
                <w:szCs w:val="24"/>
              </w:rPr>
            </w:pPr>
            <w:r w:rsidRPr="00245888">
              <w:rPr>
                <w:szCs w:val="24"/>
              </w:rPr>
              <w:t xml:space="preserve">$117,341 </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bottom"/>
          </w:tcPr>
          <w:p w14:paraId="0F9A7836" w14:textId="09800050" w:rsidR="00690C02" w:rsidRPr="00690C02" w:rsidRDefault="00690C02" w:rsidP="00690C02">
            <w:pPr>
              <w:spacing w:after="0" w:line="240" w:lineRule="auto"/>
              <w:jc w:val="right"/>
              <w:rPr>
                <w:b/>
                <w:bCs/>
                <w:szCs w:val="24"/>
              </w:rPr>
            </w:pPr>
            <w:r w:rsidRPr="00690C02">
              <w:rPr>
                <w:b/>
                <w:bCs/>
                <w:szCs w:val="24"/>
              </w:rPr>
              <w:t xml:space="preserve">$270,851 </w:t>
            </w:r>
          </w:p>
        </w:tc>
      </w:tr>
      <w:tr w:rsidR="00690C02" w:rsidRPr="00431C6A" w14:paraId="2B831854"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5969EF5B" w14:textId="71D8C44C" w:rsidR="00690C02" w:rsidRPr="00431C6A" w:rsidRDefault="00690C02" w:rsidP="00690C02">
            <w:pPr>
              <w:spacing w:after="0" w:line="240" w:lineRule="auto"/>
              <w:rPr>
                <w:rFonts w:eastAsia="Times New Roman" w:cstheme="minorHAnsi"/>
                <w:color w:val="000000"/>
                <w:sz w:val="22"/>
              </w:rPr>
            </w:pPr>
            <w:r w:rsidRPr="002D1DC1">
              <w:t>Benefits</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50106686" w14:textId="55195492" w:rsidR="00690C02" w:rsidRPr="00245888" w:rsidRDefault="00690C02" w:rsidP="00690C02">
            <w:pPr>
              <w:spacing w:after="0" w:line="240" w:lineRule="auto"/>
              <w:jc w:val="right"/>
              <w:rPr>
                <w:rFonts w:eastAsia="Times New Roman" w:cstheme="minorHAnsi"/>
                <w:szCs w:val="24"/>
              </w:rPr>
            </w:pPr>
            <w:r w:rsidRPr="00245888">
              <w:rPr>
                <w:szCs w:val="24"/>
              </w:rPr>
              <w:t xml:space="preserve">$55,264 </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203A152C" w14:textId="1D020291" w:rsidR="00690C02" w:rsidRPr="00245888" w:rsidRDefault="00690C02" w:rsidP="00690C02">
            <w:pPr>
              <w:spacing w:after="0" w:line="240" w:lineRule="auto"/>
              <w:jc w:val="right"/>
              <w:rPr>
                <w:rFonts w:eastAsia="Times New Roman" w:cstheme="minorHAnsi"/>
                <w:szCs w:val="24"/>
              </w:rPr>
            </w:pPr>
            <w:r w:rsidRPr="00245888">
              <w:rPr>
                <w:szCs w:val="24"/>
              </w:rPr>
              <w:t xml:space="preserve">$42,243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6F4B0170" w14:textId="15379319" w:rsidR="00690C02" w:rsidRPr="00690C02" w:rsidRDefault="00690C02" w:rsidP="00690C02">
            <w:pPr>
              <w:spacing w:after="0" w:line="240" w:lineRule="auto"/>
              <w:jc w:val="right"/>
              <w:rPr>
                <w:b/>
                <w:bCs/>
                <w:szCs w:val="24"/>
              </w:rPr>
            </w:pPr>
            <w:r w:rsidRPr="00690C02">
              <w:rPr>
                <w:b/>
                <w:bCs/>
                <w:szCs w:val="24"/>
              </w:rPr>
              <w:t xml:space="preserve">$97,507 </w:t>
            </w:r>
          </w:p>
        </w:tc>
      </w:tr>
      <w:tr w:rsidR="00690C02" w:rsidRPr="00431C6A" w14:paraId="7785D9C0"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5F49250E" w14:textId="339B5447" w:rsidR="00690C02" w:rsidRPr="00431C6A" w:rsidRDefault="00690C02" w:rsidP="00690C02">
            <w:pPr>
              <w:spacing w:after="0" w:line="240" w:lineRule="auto"/>
              <w:rPr>
                <w:rFonts w:eastAsia="Times New Roman" w:cstheme="minorHAnsi"/>
                <w:color w:val="000000"/>
                <w:sz w:val="22"/>
              </w:rPr>
            </w:pPr>
            <w:r w:rsidRPr="002D1DC1">
              <w:t>Goods and Services</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141F826C" w14:textId="512EEE4D" w:rsidR="00690C02" w:rsidRPr="00245888" w:rsidRDefault="00690C02" w:rsidP="00690C02">
            <w:pPr>
              <w:spacing w:after="0" w:line="240" w:lineRule="auto"/>
              <w:jc w:val="right"/>
              <w:rPr>
                <w:rFonts w:eastAsia="Times New Roman" w:cstheme="minorHAnsi"/>
                <w:szCs w:val="24"/>
              </w:rPr>
            </w:pPr>
            <w:r w:rsidRPr="00245888">
              <w:rPr>
                <w:szCs w:val="24"/>
              </w:rPr>
              <w:t xml:space="preserve">$11,232 </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17DB3823" w14:textId="5294763C" w:rsidR="00690C02" w:rsidRPr="00245888" w:rsidRDefault="00690C02" w:rsidP="00690C02">
            <w:pPr>
              <w:spacing w:after="0" w:line="240" w:lineRule="auto"/>
              <w:jc w:val="right"/>
              <w:rPr>
                <w:rFonts w:eastAsia="Times New Roman" w:cstheme="minorHAnsi"/>
                <w:szCs w:val="24"/>
              </w:rPr>
            </w:pPr>
            <w:r w:rsidRPr="00245888">
              <w:rPr>
                <w:szCs w:val="24"/>
              </w:rPr>
              <w:t xml:space="preserve">$7,314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50055475" w14:textId="3F000B4F" w:rsidR="00690C02" w:rsidRPr="00690C02" w:rsidRDefault="00690C02" w:rsidP="00690C02">
            <w:pPr>
              <w:spacing w:after="0" w:line="240" w:lineRule="auto"/>
              <w:jc w:val="right"/>
              <w:rPr>
                <w:b/>
                <w:bCs/>
                <w:szCs w:val="24"/>
              </w:rPr>
            </w:pPr>
            <w:r w:rsidRPr="00690C02">
              <w:rPr>
                <w:b/>
                <w:bCs/>
                <w:szCs w:val="24"/>
              </w:rPr>
              <w:t xml:space="preserve">$18,546 </w:t>
            </w:r>
          </w:p>
        </w:tc>
      </w:tr>
      <w:tr w:rsidR="00690C02" w:rsidRPr="00431C6A" w14:paraId="44C78C99"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64FFA55E" w14:textId="07148528" w:rsidR="00690C02" w:rsidRPr="00431C6A" w:rsidRDefault="00690C02" w:rsidP="00690C02">
            <w:pPr>
              <w:spacing w:after="0" w:line="240" w:lineRule="auto"/>
              <w:rPr>
                <w:rFonts w:eastAsia="Times New Roman" w:cstheme="minorHAnsi"/>
                <w:color w:val="000000"/>
                <w:sz w:val="22"/>
              </w:rPr>
            </w:pPr>
            <w:r w:rsidRPr="002D1DC1">
              <w:t>Travel</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3E77E27D" w14:textId="0A1771E8" w:rsidR="00690C02" w:rsidRPr="00245888" w:rsidRDefault="00690C02" w:rsidP="00690C02">
            <w:pPr>
              <w:spacing w:after="0" w:line="240" w:lineRule="auto"/>
              <w:jc w:val="right"/>
              <w:rPr>
                <w:rFonts w:eastAsia="Times New Roman" w:cstheme="minorHAnsi"/>
                <w:szCs w:val="24"/>
              </w:rPr>
            </w:pPr>
            <w:r w:rsidRPr="00245888">
              <w:rPr>
                <w:szCs w:val="24"/>
              </w:rPr>
              <w:t xml:space="preserve">$3,360 </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18389900" w14:textId="2F5BD578" w:rsidR="00690C02" w:rsidRPr="00245888" w:rsidRDefault="00690C02" w:rsidP="00690C02">
            <w:pPr>
              <w:spacing w:after="0" w:line="240" w:lineRule="auto"/>
              <w:jc w:val="right"/>
              <w:rPr>
                <w:rFonts w:eastAsia="Times New Roman" w:cstheme="minorHAnsi"/>
                <w:szCs w:val="24"/>
              </w:rPr>
            </w:pPr>
            <w:r w:rsidRPr="00245888">
              <w:rPr>
                <w:szCs w:val="24"/>
              </w:rPr>
              <w:t xml:space="preserve">$2,188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4E524255" w14:textId="52D6C1FE" w:rsidR="00690C02" w:rsidRPr="00690C02" w:rsidRDefault="00690C02" w:rsidP="00690C02">
            <w:pPr>
              <w:spacing w:after="0" w:line="240" w:lineRule="auto"/>
              <w:jc w:val="right"/>
              <w:rPr>
                <w:b/>
                <w:bCs/>
                <w:szCs w:val="24"/>
              </w:rPr>
            </w:pPr>
            <w:r w:rsidRPr="00690C02">
              <w:rPr>
                <w:b/>
                <w:bCs/>
                <w:szCs w:val="24"/>
              </w:rPr>
              <w:t xml:space="preserve">$5,548 </w:t>
            </w:r>
          </w:p>
        </w:tc>
      </w:tr>
      <w:tr w:rsidR="00690C02" w:rsidRPr="00431C6A" w14:paraId="1F7BAF7F"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36699BA1" w14:textId="283DADA4" w:rsidR="00690C02" w:rsidRPr="00431C6A" w:rsidRDefault="00690C02" w:rsidP="00690C02">
            <w:pPr>
              <w:spacing w:after="0" w:line="240" w:lineRule="auto"/>
              <w:rPr>
                <w:rFonts w:eastAsia="Times New Roman" w:cstheme="minorHAnsi"/>
                <w:color w:val="000000"/>
                <w:sz w:val="22"/>
              </w:rPr>
            </w:pPr>
            <w:r w:rsidRPr="002D1DC1">
              <w:t>Equipment</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0C84455C" w14:textId="11AA4F5B" w:rsidR="00690C02" w:rsidRPr="00245888" w:rsidRDefault="00690C02" w:rsidP="00690C02">
            <w:pPr>
              <w:spacing w:after="0" w:line="240" w:lineRule="auto"/>
              <w:jc w:val="right"/>
              <w:rPr>
                <w:rFonts w:eastAsia="Times New Roman" w:cstheme="minorHAnsi"/>
                <w:szCs w:val="24"/>
              </w:rPr>
            </w:pPr>
            <w:r w:rsidRPr="00245888">
              <w:rPr>
                <w:szCs w:val="24"/>
              </w:rPr>
              <w:t xml:space="preserve">$2,217 </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4965940B" w14:textId="6DDFE24A" w:rsidR="00690C02" w:rsidRPr="00245888" w:rsidRDefault="00690C02" w:rsidP="00690C02">
            <w:pPr>
              <w:spacing w:after="0" w:line="240" w:lineRule="auto"/>
              <w:jc w:val="right"/>
              <w:rPr>
                <w:rFonts w:eastAsia="Times New Roman" w:cstheme="minorHAnsi"/>
                <w:szCs w:val="24"/>
              </w:rPr>
            </w:pPr>
            <w:r w:rsidRPr="00245888">
              <w:rPr>
                <w:szCs w:val="24"/>
              </w:rPr>
              <w:t xml:space="preserve">$1,443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58ED379F" w14:textId="218933A8" w:rsidR="00690C02" w:rsidRPr="00690C02" w:rsidRDefault="00690C02" w:rsidP="00690C02">
            <w:pPr>
              <w:spacing w:after="0" w:line="240" w:lineRule="auto"/>
              <w:jc w:val="right"/>
              <w:rPr>
                <w:b/>
                <w:bCs/>
                <w:szCs w:val="24"/>
              </w:rPr>
            </w:pPr>
            <w:r w:rsidRPr="00690C02">
              <w:rPr>
                <w:b/>
                <w:bCs/>
                <w:szCs w:val="24"/>
              </w:rPr>
              <w:t xml:space="preserve">$3,660 </w:t>
            </w:r>
          </w:p>
        </w:tc>
      </w:tr>
      <w:tr w:rsidR="00690C02" w:rsidRPr="00431C6A" w14:paraId="0A142F0C"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670861B8" w14:textId="355A8389" w:rsidR="00690C02" w:rsidRPr="00431C6A" w:rsidRDefault="00690C02" w:rsidP="00690C02">
            <w:pPr>
              <w:spacing w:after="0" w:line="240" w:lineRule="auto"/>
              <w:rPr>
                <w:rFonts w:eastAsia="Times New Roman" w:cstheme="minorHAnsi"/>
                <w:color w:val="000000"/>
                <w:sz w:val="22"/>
              </w:rPr>
            </w:pPr>
            <w:r w:rsidRPr="008D356C">
              <w:t>Annual Data Purchase</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4799ADBB" w14:textId="0C8D887C" w:rsidR="00690C02" w:rsidRPr="00245888" w:rsidRDefault="00690C02" w:rsidP="00690C02">
            <w:pPr>
              <w:spacing w:after="0" w:line="240" w:lineRule="auto"/>
              <w:jc w:val="right"/>
              <w:rPr>
                <w:rFonts w:eastAsia="Times New Roman" w:cstheme="minorHAnsi"/>
                <w:szCs w:val="24"/>
              </w:rPr>
            </w:pP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6DAAA943" w14:textId="301F8A4C" w:rsidR="00690C02" w:rsidRPr="00245888" w:rsidRDefault="00690C02" w:rsidP="00690C02">
            <w:pPr>
              <w:spacing w:after="0" w:line="240" w:lineRule="auto"/>
              <w:jc w:val="right"/>
              <w:rPr>
                <w:rFonts w:eastAsia="Times New Roman" w:cstheme="minorHAnsi"/>
                <w:szCs w:val="24"/>
              </w:rPr>
            </w:pPr>
            <w:r w:rsidRPr="00245888">
              <w:rPr>
                <w:szCs w:val="24"/>
              </w:rPr>
              <w:t xml:space="preserve">$30,000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472C505F" w14:textId="4787C999" w:rsidR="00690C02" w:rsidRPr="00690C02" w:rsidRDefault="00690C02" w:rsidP="00690C02">
            <w:pPr>
              <w:spacing w:after="0" w:line="240" w:lineRule="auto"/>
              <w:jc w:val="right"/>
              <w:rPr>
                <w:b/>
                <w:bCs/>
                <w:szCs w:val="24"/>
              </w:rPr>
            </w:pPr>
            <w:r w:rsidRPr="00690C02">
              <w:rPr>
                <w:b/>
                <w:bCs/>
                <w:szCs w:val="24"/>
              </w:rPr>
              <w:t xml:space="preserve">$30,000 </w:t>
            </w:r>
          </w:p>
        </w:tc>
      </w:tr>
      <w:tr w:rsidR="00690C02" w:rsidRPr="00431C6A" w14:paraId="37AFDF79" w14:textId="77777777" w:rsidTr="002200BD">
        <w:trPr>
          <w:trHeight w:val="25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435D8D5E" w14:textId="42F0846E" w:rsidR="00690C02" w:rsidRPr="00431C6A" w:rsidRDefault="00690C02" w:rsidP="00690C02">
            <w:pPr>
              <w:spacing w:after="0" w:line="240" w:lineRule="auto"/>
              <w:rPr>
                <w:rFonts w:eastAsia="Times New Roman" w:cstheme="minorHAnsi"/>
                <w:color w:val="000000"/>
                <w:sz w:val="22"/>
              </w:rPr>
            </w:pPr>
            <w:r w:rsidRPr="008D356C">
              <w:t>Assistant Attorney General</w:t>
            </w:r>
          </w:p>
        </w:tc>
        <w:tc>
          <w:tcPr>
            <w:tcW w:w="1012" w:type="pct"/>
            <w:tcBorders>
              <w:top w:val="nil"/>
              <w:left w:val="single" w:sz="4" w:space="0" w:color="auto"/>
              <w:bottom w:val="single" w:sz="4" w:space="0" w:color="auto"/>
              <w:right w:val="single" w:sz="4" w:space="0" w:color="auto"/>
            </w:tcBorders>
            <w:shd w:val="clear" w:color="000000" w:fill="FFFFFF"/>
            <w:vAlign w:val="center"/>
          </w:tcPr>
          <w:p w14:paraId="770516DA" w14:textId="357CB737" w:rsidR="00690C02" w:rsidRPr="00245888" w:rsidRDefault="00690C02" w:rsidP="00690C02">
            <w:pPr>
              <w:spacing w:after="0" w:line="240" w:lineRule="auto"/>
              <w:jc w:val="right"/>
              <w:rPr>
                <w:rFonts w:eastAsia="Times New Roman" w:cstheme="minorHAnsi"/>
                <w:szCs w:val="24"/>
              </w:rPr>
            </w:pPr>
            <w:r w:rsidRPr="00245888">
              <w:rPr>
                <w:szCs w:val="24"/>
              </w:rPr>
              <w:t>$13,878</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194AA2E2" w14:textId="10105973" w:rsidR="00690C02" w:rsidRPr="00245888" w:rsidRDefault="00690C02" w:rsidP="00690C02">
            <w:pPr>
              <w:spacing w:after="0" w:line="240" w:lineRule="auto"/>
              <w:jc w:val="right"/>
              <w:rPr>
                <w:rFonts w:eastAsia="Times New Roman" w:cstheme="minorHAnsi"/>
                <w:szCs w:val="24"/>
              </w:rPr>
            </w:pPr>
            <w:r w:rsidRPr="00245888">
              <w:rPr>
                <w:szCs w:val="24"/>
              </w:rPr>
              <w:t xml:space="preserve">$32,382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5F576AFA" w14:textId="29B5F9BB" w:rsidR="00690C02" w:rsidRPr="00690C02" w:rsidRDefault="00690C02" w:rsidP="00690C02">
            <w:pPr>
              <w:spacing w:after="0" w:line="240" w:lineRule="auto"/>
              <w:jc w:val="right"/>
              <w:rPr>
                <w:b/>
                <w:bCs/>
                <w:szCs w:val="24"/>
              </w:rPr>
            </w:pPr>
            <w:r w:rsidRPr="00690C02">
              <w:rPr>
                <w:b/>
                <w:bCs/>
                <w:szCs w:val="24"/>
              </w:rPr>
              <w:t xml:space="preserve">$46,260 </w:t>
            </w:r>
          </w:p>
        </w:tc>
      </w:tr>
      <w:tr w:rsidR="00690C02" w:rsidRPr="00431C6A" w14:paraId="7E05A855" w14:textId="77777777" w:rsidTr="002200BD">
        <w:trPr>
          <w:trHeight w:val="323"/>
          <w:tblHeader/>
        </w:trPr>
        <w:tc>
          <w:tcPr>
            <w:tcW w:w="1967" w:type="pct"/>
            <w:tcBorders>
              <w:top w:val="nil"/>
              <w:left w:val="single" w:sz="4" w:space="0" w:color="auto"/>
              <w:bottom w:val="single" w:sz="4" w:space="0" w:color="auto"/>
              <w:right w:val="single" w:sz="4" w:space="0" w:color="auto"/>
            </w:tcBorders>
            <w:shd w:val="clear" w:color="000000" w:fill="FFFFFF"/>
            <w:noWrap/>
            <w:hideMark/>
          </w:tcPr>
          <w:p w14:paraId="711CF8F3" w14:textId="706A429E" w:rsidR="00690C02" w:rsidRPr="00431C6A" w:rsidRDefault="00690C02" w:rsidP="00690C02">
            <w:pPr>
              <w:spacing w:after="0" w:line="240" w:lineRule="auto"/>
              <w:rPr>
                <w:rFonts w:eastAsia="Times New Roman" w:cstheme="minorHAnsi"/>
                <w:color w:val="000000"/>
                <w:sz w:val="22"/>
              </w:rPr>
            </w:pPr>
            <w:r w:rsidRPr="008D356C">
              <w:t>Agency Administrative Overhead</w:t>
            </w:r>
          </w:p>
        </w:tc>
        <w:tc>
          <w:tcPr>
            <w:tcW w:w="1012" w:type="pct"/>
            <w:tcBorders>
              <w:top w:val="nil"/>
              <w:left w:val="nil"/>
              <w:bottom w:val="single" w:sz="4" w:space="0" w:color="auto"/>
              <w:right w:val="nil"/>
            </w:tcBorders>
            <w:shd w:val="clear" w:color="000000" w:fill="FFFFFF"/>
          </w:tcPr>
          <w:p w14:paraId="7F8773DD" w14:textId="3B93ED68" w:rsidR="00690C02" w:rsidRPr="00245888" w:rsidRDefault="00690C02" w:rsidP="00690C02">
            <w:pPr>
              <w:spacing w:after="0" w:line="240" w:lineRule="auto"/>
              <w:jc w:val="right"/>
              <w:rPr>
                <w:rFonts w:eastAsia="Times New Roman" w:cstheme="minorHAnsi"/>
                <w:szCs w:val="24"/>
              </w:rPr>
            </w:pPr>
            <w:r w:rsidRPr="00245888">
              <w:rPr>
                <w:szCs w:val="24"/>
              </w:rPr>
              <w:t xml:space="preserve">$60,023 </w:t>
            </w:r>
          </w:p>
        </w:tc>
        <w:tc>
          <w:tcPr>
            <w:tcW w:w="1011" w:type="pct"/>
            <w:tcBorders>
              <w:top w:val="nil"/>
              <w:left w:val="single" w:sz="4" w:space="0" w:color="auto"/>
              <w:bottom w:val="single" w:sz="4" w:space="0" w:color="auto"/>
              <w:right w:val="single" w:sz="4" w:space="0" w:color="auto"/>
            </w:tcBorders>
            <w:shd w:val="clear" w:color="000000" w:fill="FFFFFF"/>
            <w:noWrap/>
            <w:vAlign w:val="center"/>
            <w:hideMark/>
          </w:tcPr>
          <w:p w14:paraId="0A74F394" w14:textId="7C37A091" w:rsidR="00690C02" w:rsidRPr="00245888" w:rsidRDefault="00690C02" w:rsidP="00690C02">
            <w:pPr>
              <w:spacing w:after="0" w:line="240" w:lineRule="auto"/>
              <w:jc w:val="right"/>
              <w:rPr>
                <w:rFonts w:eastAsia="Times New Roman" w:cstheme="minorHAnsi"/>
                <w:szCs w:val="24"/>
              </w:rPr>
            </w:pPr>
            <w:r w:rsidRPr="00245888">
              <w:rPr>
                <w:szCs w:val="24"/>
              </w:rPr>
              <w:t xml:space="preserve">$45,880 </w:t>
            </w:r>
          </w:p>
        </w:tc>
        <w:tc>
          <w:tcPr>
            <w:tcW w:w="1010" w:type="pct"/>
            <w:tcBorders>
              <w:top w:val="nil"/>
              <w:left w:val="single" w:sz="4" w:space="0" w:color="auto"/>
              <w:bottom w:val="single" w:sz="4" w:space="0" w:color="auto"/>
              <w:right w:val="single" w:sz="4" w:space="0" w:color="auto"/>
            </w:tcBorders>
            <w:shd w:val="clear" w:color="000000" w:fill="FFFFFF"/>
            <w:vAlign w:val="bottom"/>
          </w:tcPr>
          <w:p w14:paraId="43B125D8" w14:textId="687FD0DC" w:rsidR="00690C02" w:rsidRPr="00690C02" w:rsidRDefault="00690C02" w:rsidP="00690C02">
            <w:pPr>
              <w:spacing w:after="0" w:line="240" w:lineRule="auto"/>
              <w:jc w:val="right"/>
              <w:rPr>
                <w:b/>
                <w:bCs/>
                <w:szCs w:val="24"/>
              </w:rPr>
            </w:pPr>
            <w:r w:rsidRPr="00690C02">
              <w:rPr>
                <w:b/>
                <w:bCs/>
                <w:szCs w:val="24"/>
              </w:rPr>
              <w:t xml:space="preserve">$105,903 </w:t>
            </w:r>
          </w:p>
        </w:tc>
      </w:tr>
      <w:tr w:rsidR="00245888" w:rsidRPr="00431C6A" w14:paraId="29BCA190" w14:textId="77777777" w:rsidTr="002200BD">
        <w:trPr>
          <w:trHeight w:val="284"/>
          <w:tblHeader/>
        </w:trPr>
        <w:tc>
          <w:tcPr>
            <w:tcW w:w="1967" w:type="pct"/>
            <w:tcBorders>
              <w:top w:val="single" w:sz="4" w:space="0" w:color="auto"/>
              <w:left w:val="single" w:sz="4" w:space="0" w:color="auto"/>
              <w:bottom w:val="single" w:sz="4" w:space="0" w:color="auto"/>
              <w:right w:val="single" w:sz="4" w:space="0" w:color="auto"/>
            </w:tcBorders>
            <w:shd w:val="clear" w:color="000000" w:fill="CAE7EE"/>
            <w:noWrap/>
            <w:vAlign w:val="bottom"/>
            <w:hideMark/>
          </w:tcPr>
          <w:p w14:paraId="3A17AF0E" w14:textId="565B4DFD" w:rsidR="00245888" w:rsidRPr="00B42187" w:rsidRDefault="00245888" w:rsidP="00245888">
            <w:pPr>
              <w:spacing w:after="0" w:line="240" w:lineRule="auto"/>
              <w:rPr>
                <w:rFonts w:eastAsia="Times New Roman" w:cstheme="minorHAnsi"/>
                <w:color w:val="000000"/>
                <w:szCs w:val="24"/>
              </w:rPr>
            </w:pPr>
            <w:r w:rsidRPr="00B42187">
              <w:rPr>
                <w:rFonts w:eastAsia="Times New Roman" w:cstheme="minorHAnsi"/>
                <w:b/>
                <w:bCs/>
                <w:color w:val="000000"/>
                <w:szCs w:val="24"/>
              </w:rPr>
              <w:t>Total Costs</w:t>
            </w:r>
          </w:p>
        </w:tc>
        <w:tc>
          <w:tcPr>
            <w:tcW w:w="1012" w:type="pct"/>
            <w:tcBorders>
              <w:top w:val="single" w:sz="4" w:space="0" w:color="auto"/>
              <w:left w:val="single" w:sz="4" w:space="0" w:color="auto"/>
              <w:bottom w:val="single" w:sz="4" w:space="0" w:color="auto"/>
              <w:right w:val="single" w:sz="4" w:space="0" w:color="auto"/>
            </w:tcBorders>
            <w:shd w:val="clear" w:color="000000" w:fill="CAE7EE"/>
          </w:tcPr>
          <w:p w14:paraId="39A36E66" w14:textId="1DE36A66" w:rsidR="00245888" w:rsidRPr="00B42187" w:rsidRDefault="00245888" w:rsidP="00245888">
            <w:pPr>
              <w:spacing w:after="0" w:line="240" w:lineRule="auto"/>
              <w:jc w:val="right"/>
              <w:rPr>
                <w:rFonts w:eastAsia="Times New Roman" w:cstheme="minorHAnsi"/>
                <w:b/>
                <w:bCs/>
                <w:szCs w:val="24"/>
              </w:rPr>
            </w:pPr>
            <w:r w:rsidRPr="00B42187">
              <w:rPr>
                <w:b/>
                <w:bCs/>
                <w:szCs w:val="24"/>
              </w:rPr>
              <w:t>$29</w:t>
            </w:r>
            <w:r>
              <w:rPr>
                <w:b/>
                <w:bCs/>
                <w:szCs w:val="24"/>
              </w:rPr>
              <w:t>9</w:t>
            </w:r>
            <w:r w:rsidRPr="00B42187">
              <w:rPr>
                <w:b/>
                <w:bCs/>
                <w:szCs w:val="24"/>
              </w:rPr>
              <w:t>,</w:t>
            </w:r>
            <w:r>
              <w:rPr>
                <w:b/>
                <w:bCs/>
                <w:szCs w:val="24"/>
              </w:rPr>
              <w:t>484</w:t>
            </w:r>
            <w:r w:rsidRPr="00B42187">
              <w:rPr>
                <w:b/>
                <w:bCs/>
                <w:szCs w:val="24"/>
              </w:rPr>
              <w:t xml:space="preserve"> </w:t>
            </w:r>
          </w:p>
        </w:tc>
        <w:tc>
          <w:tcPr>
            <w:tcW w:w="1011" w:type="pct"/>
            <w:tcBorders>
              <w:top w:val="single" w:sz="4" w:space="0" w:color="auto"/>
              <w:left w:val="single" w:sz="4" w:space="0" w:color="auto"/>
              <w:bottom w:val="single" w:sz="4" w:space="0" w:color="auto"/>
              <w:right w:val="single" w:sz="4" w:space="0" w:color="auto"/>
            </w:tcBorders>
            <w:shd w:val="clear" w:color="000000" w:fill="CAE7EE"/>
            <w:noWrap/>
            <w:hideMark/>
          </w:tcPr>
          <w:p w14:paraId="4DCF0F61" w14:textId="74BE6D92" w:rsidR="00245888" w:rsidRPr="00B42187" w:rsidRDefault="00245888" w:rsidP="00245888">
            <w:pPr>
              <w:spacing w:after="0" w:line="240" w:lineRule="auto"/>
              <w:jc w:val="right"/>
              <w:rPr>
                <w:rFonts w:eastAsia="Times New Roman" w:cstheme="minorHAnsi"/>
                <w:b/>
                <w:bCs/>
                <w:szCs w:val="24"/>
              </w:rPr>
            </w:pPr>
            <w:r w:rsidRPr="00B42187">
              <w:rPr>
                <w:b/>
                <w:bCs/>
                <w:szCs w:val="24"/>
              </w:rPr>
              <w:t>$</w:t>
            </w:r>
            <w:r>
              <w:rPr>
                <w:b/>
                <w:bCs/>
                <w:szCs w:val="24"/>
              </w:rPr>
              <w:t>27</w:t>
            </w:r>
            <w:r w:rsidRPr="00B42187">
              <w:rPr>
                <w:b/>
                <w:bCs/>
                <w:szCs w:val="24"/>
              </w:rPr>
              <w:t>8,</w:t>
            </w:r>
            <w:r>
              <w:rPr>
                <w:b/>
                <w:bCs/>
                <w:szCs w:val="24"/>
              </w:rPr>
              <w:t>791</w:t>
            </w:r>
            <w:r w:rsidRPr="00B42187">
              <w:rPr>
                <w:b/>
                <w:bCs/>
                <w:szCs w:val="24"/>
              </w:rPr>
              <w:t xml:space="preserve"> </w:t>
            </w:r>
          </w:p>
        </w:tc>
        <w:tc>
          <w:tcPr>
            <w:tcW w:w="1010" w:type="pct"/>
            <w:tcBorders>
              <w:top w:val="single" w:sz="4" w:space="0" w:color="auto"/>
              <w:left w:val="single" w:sz="4" w:space="0" w:color="auto"/>
              <w:bottom w:val="single" w:sz="4" w:space="0" w:color="auto"/>
              <w:right w:val="single" w:sz="4" w:space="0" w:color="auto"/>
            </w:tcBorders>
            <w:shd w:val="clear" w:color="000000" w:fill="CAE7EE"/>
          </w:tcPr>
          <w:p w14:paraId="1B8DCB4A" w14:textId="4ED2B46F" w:rsidR="00245888" w:rsidRPr="00B42187" w:rsidRDefault="00245888" w:rsidP="00245888">
            <w:pPr>
              <w:spacing w:after="0" w:line="240" w:lineRule="auto"/>
              <w:jc w:val="right"/>
              <w:rPr>
                <w:b/>
                <w:bCs/>
                <w:szCs w:val="24"/>
              </w:rPr>
            </w:pPr>
            <w:r w:rsidRPr="00B42187">
              <w:rPr>
                <w:b/>
                <w:bCs/>
                <w:szCs w:val="24"/>
              </w:rPr>
              <w:t>$5</w:t>
            </w:r>
            <w:r w:rsidR="00690C02">
              <w:rPr>
                <w:b/>
                <w:bCs/>
                <w:szCs w:val="24"/>
              </w:rPr>
              <w:t>78</w:t>
            </w:r>
            <w:r w:rsidRPr="00B42187">
              <w:rPr>
                <w:b/>
                <w:bCs/>
                <w:szCs w:val="24"/>
              </w:rPr>
              <w:t>,</w:t>
            </w:r>
            <w:r w:rsidR="00690C02">
              <w:rPr>
                <w:b/>
                <w:bCs/>
                <w:szCs w:val="24"/>
              </w:rPr>
              <w:t>275</w:t>
            </w:r>
          </w:p>
        </w:tc>
      </w:tr>
    </w:tbl>
    <w:p w14:paraId="0D0E0528" w14:textId="3B3CB81A" w:rsidR="00567F6B" w:rsidRPr="004B4A8D" w:rsidRDefault="00F441A0" w:rsidP="002E5DB0">
      <w:pPr>
        <w:pStyle w:val="FocusH2"/>
      </w:pPr>
      <w:r>
        <w:br w:type="page"/>
      </w:r>
      <w:r w:rsidR="00567F6B">
        <w:lastRenderedPageBreak/>
        <w:t xml:space="preserve">Estimated </w:t>
      </w:r>
      <w:r w:rsidR="00A8125A">
        <w:t>c</w:t>
      </w:r>
      <w:r w:rsidR="00567F6B">
        <w:t xml:space="preserve">osts for </w:t>
      </w:r>
      <w:r w:rsidR="00A8125A">
        <w:t>p</w:t>
      </w:r>
      <w:r w:rsidR="00567F6B">
        <w:t xml:space="preserve">rogram </w:t>
      </w:r>
      <w:r w:rsidR="00A8125A">
        <w:t>a</w:t>
      </w:r>
      <w:r w:rsidR="00567F6B">
        <w:t>dministration</w:t>
      </w:r>
    </w:p>
    <w:p w14:paraId="547BF9BC" w14:textId="47FFF67B" w:rsidR="00567F6B" w:rsidRPr="00567F6B" w:rsidRDefault="00F441A0" w:rsidP="00567F6B">
      <w:pPr>
        <w:pStyle w:val="FocusbodyText"/>
      </w:pPr>
      <w:r w:rsidRPr="00F441A0">
        <w:t xml:space="preserve">The key </w:t>
      </w:r>
      <w:r w:rsidR="00567F6B" w:rsidRPr="00567F6B">
        <w:t xml:space="preserve">Program </w:t>
      </w:r>
      <w:r w:rsidR="00A8125A">
        <w:t>a</w:t>
      </w:r>
      <w:r w:rsidR="00567F6B" w:rsidRPr="00567F6B">
        <w:t>dministration</w:t>
      </w:r>
      <w:r w:rsidRPr="00F441A0">
        <w:t xml:space="preserve"> workload elements are as follows</w:t>
      </w:r>
      <w:r w:rsidR="00751B64">
        <w:t>:</w:t>
      </w:r>
    </w:p>
    <w:p w14:paraId="33287358" w14:textId="79AAE448" w:rsidR="00567F6B" w:rsidRPr="00567F6B" w:rsidRDefault="00567F6B" w:rsidP="00567F6B">
      <w:pPr>
        <w:pStyle w:val="FocusbodyText"/>
        <w:numPr>
          <w:ilvl w:val="0"/>
          <w:numId w:val="18"/>
        </w:numPr>
      </w:pPr>
      <w:r>
        <w:t xml:space="preserve">Providing </w:t>
      </w:r>
      <w:r w:rsidR="00A8125A">
        <w:t>t</w:t>
      </w:r>
      <w:r w:rsidRPr="00567F6B">
        <w:t>echnical assistance for annual registration</w:t>
      </w:r>
    </w:p>
    <w:p w14:paraId="31DDCCD6" w14:textId="77777777" w:rsidR="00567F6B" w:rsidRPr="00567F6B" w:rsidRDefault="00567F6B" w:rsidP="00567F6B">
      <w:pPr>
        <w:pStyle w:val="FocusbodyText"/>
        <w:numPr>
          <w:ilvl w:val="0"/>
          <w:numId w:val="18"/>
        </w:numPr>
      </w:pPr>
      <w:r w:rsidRPr="00567F6B">
        <w:t>Develop</w:t>
      </w:r>
      <w:r>
        <w:t>ing and posting the annual workload analysis, and responding to public comments</w:t>
      </w:r>
    </w:p>
    <w:p w14:paraId="25080DBA" w14:textId="76CEA95D" w:rsidR="00567F6B" w:rsidRPr="00567F6B" w:rsidRDefault="00567F6B" w:rsidP="00567F6B">
      <w:pPr>
        <w:pStyle w:val="FocusbodyText"/>
        <w:numPr>
          <w:ilvl w:val="0"/>
          <w:numId w:val="18"/>
        </w:numPr>
      </w:pPr>
      <w:r>
        <w:t>Administering the annual f</w:t>
      </w:r>
      <w:r w:rsidRPr="00567F6B">
        <w:t>ee</w:t>
      </w:r>
    </w:p>
    <w:p w14:paraId="41036632" w14:textId="77777777" w:rsidR="00567F6B" w:rsidRPr="00567F6B" w:rsidRDefault="00567F6B" w:rsidP="00567F6B">
      <w:pPr>
        <w:pStyle w:val="FocusbodyText"/>
        <w:numPr>
          <w:ilvl w:val="0"/>
          <w:numId w:val="18"/>
        </w:numPr>
      </w:pPr>
      <w:r>
        <w:t>Maintaining the r</w:t>
      </w:r>
      <w:r w:rsidRPr="00567F6B">
        <w:t>egistration</w:t>
      </w:r>
      <w:r>
        <w:t xml:space="preserve"> online platform and</w:t>
      </w:r>
      <w:r w:rsidRPr="00567F6B">
        <w:t xml:space="preserve"> database</w:t>
      </w:r>
    </w:p>
    <w:p w14:paraId="3A746CE6" w14:textId="77777777" w:rsidR="00567F6B" w:rsidRDefault="00567F6B" w:rsidP="00567F6B">
      <w:pPr>
        <w:pStyle w:val="FocusbodyText"/>
        <w:numPr>
          <w:ilvl w:val="0"/>
          <w:numId w:val="18"/>
        </w:numPr>
      </w:pPr>
      <w:r>
        <w:t>Completing initial rulemaking and conducting r</w:t>
      </w:r>
      <w:r w:rsidRPr="00567F6B">
        <w:t>ule updates as needed</w:t>
      </w:r>
    </w:p>
    <w:p w14:paraId="33933A87" w14:textId="528F4495" w:rsidR="00B42187" w:rsidRDefault="00F441A0" w:rsidP="003D0CCC">
      <w:pPr>
        <w:pStyle w:val="FocusbodyText"/>
        <w:spacing w:before="120"/>
        <w:rPr>
          <w:rStyle w:val="FocusH3Char"/>
        </w:rPr>
      </w:pPr>
      <w:r>
        <w:t>The following two tables summarize the workload assumptions for the forthcoming fiscal year and the resulting cost estimates.</w:t>
      </w:r>
    </w:p>
    <w:p w14:paraId="7BE9A92D" w14:textId="53AD360F" w:rsidR="00F441A0" w:rsidRDefault="00F441A0" w:rsidP="003D0CCC">
      <w:pPr>
        <w:pStyle w:val="FocusbodyText"/>
        <w:spacing w:before="240"/>
      </w:pPr>
      <w:r w:rsidRPr="00F441A0">
        <w:rPr>
          <w:rStyle w:val="FocusH3Char"/>
        </w:rPr>
        <w:t xml:space="preserve">Table 2: Estimated </w:t>
      </w:r>
      <w:r w:rsidR="00A8125A">
        <w:rPr>
          <w:rStyle w:val="FocusH3Char"/>
        </w:rPr>
        <w:t>p</w:t>
      </w:r>
      <w:r w:rsidRPr="00F441A0">
        <w:rPr>
          <w:rStyle w:val="FocusH3Char"/>
        </w:rPr>
        <w:t xml:space="preserve">rogram </w:t>
      </w:r>
      <w:r w:rsidR="00A8125A">
        <w:rPr>
          <w:rStyle w:val="FocusH3Char"/>
        </w:rPr>
        <w:t>a</w:t>
      </w:r>
      <w:r w:rsidRPr="00F441A0">
        <w:rPr>
          <w:rStyle w:val="FocusH3Char"/>
        </w:rPr>
        <w:t xml:space="preserve">dministration </w:t>
      </w:r>
      <w:r w:rsidR="00A8125A">
        <w:rPr>
          <w:rStyle w:val="FocusH3Char"/>
        </w:rPr>
        <w:t>w</w:t>
      </w:r>
      <w:r w:rsidRPr="00F441A0">
        <w:rPr>
          <w:rStyle w:val="FocusH3Char"/>
        </w:rPr>
        <w:t xml:space="preserve">orkload by </w:t>
      </w:r>
      <w:r w:rsidR="00A8125A">
        <w:rPr>
          <w:rStyle w:val="FocusH3Char"/>
        </w:rPr>
        <w:t>p</w:t>
      </w:r>
      <w:r w:rsidRPr="00F441A0">
        <w:rPr>
          <w:rStyle w:val="FocusH3Char"/>
        </w:rPr>
        <w:t>osition</w:t>
      </w:r>
      <w:r w:rsidR="00707F5B">
        <w:rPr>
          <w:rStyle w:val="FocusH3Char"/>
        </w:rPr>
        <w:t xml:space="preserve"> and</w:t>
      </w:r>
      <w:r w:rsidR="00707F5B" w:rsidRPr="00707F5B">
        <w:rPr>
          <w:rStyle w:val="FocusH3Char"/>
        </w:rPr>
        <w:t xml:space="preserve"> </w:t>
      </w:r>
      <w:r w:rsidR="00707F5B" w:rsidRPr="00F441A0">
        <w:rPr>
          <w:rStyle w:val="FocusH3Char"/>
        </w:rPr>
        <w:t>Full-Time Equivalent (FTE)</w:t>
      </w:r>
    </w:p>
    <w:tbl>
      <w:tblPr>
        <w:tblStyle w:val="TableGrid"/>
        <w:tblW w:w="0" w:type="auto"/>
        <w:tblLook w:val="04A0" w:firstRow="1" w:lastRow="0" w:firstColumn="1" w:lastColumn="0" w:noHBand="0" w:noVBand="1"/>
        <w:tblCaption w:val="Table 2:  Estimated Program Administration Workload by Full-Time Equivalent and Position"/>
        <w:tblDescription w:val="This table summarizes the positions and their planned program administration work in the upcoming fiscal year.  It provides the positions' key roles and their job classifications.  This staff time is used to estimate salary and benefit costs and agency standard costs, such as travel, goods and services, equipment, and agency overhead, as described in table 3. "/>
      </w:tblPr>
      <w:tblGrid>
        <w:gridCol w:w="3145"/>
        <w:gridCol w:w="2880"/>
        <w:gridCol w:w="5670"/>
        <w:gridCol w:w="1620"/>
        <w:gridCol w:w="1075"/>
      </w:tblGrid>
      <w:tr w:rsidR="00F441A0" w:rsidRPr="00F441A0" w14:paraId="78A98570" w14:textId="77777777" w:rsidTr="002200BD">
        <w:trPr>
          <w:trHeight w:val="348"/>
        </w:trPr>
        <w:tc>
          <w:tcPr>
            <w:tcW w:w="3145" w:type="dxa"/>
            <w:shd w:val="clear" w:color="auto" w:fill="D9D9D9" w:themeFill="background1" w:themeFillShade="D9"/>
            <w:hideMark/>
          </w:tcPr>
          <w:p w14:paraId="7CE06AD5" w14:textId="77777777" w:rsidR="00F441A0" w:rsidRPr="00F441A0" w:rsidRDefault="00F441A0" w:rsidP="005D1512">
            <w:pPr>
              <w:pStyle w:val="FocusbodyText"/>
              <w:spacing w:after="0"/>
              <w:jc w:val="center"/>
              <w:rPr>
                <w:b/>
                <w:bCs/>
              </w:rPr>
            </w:pPr>
            <w:r w:rsidRPr="00F441A0">
              <w:rPr>
                <w:b/>
                <w:bCs/>
              </w:rPr>
              <w:t>Position</w:t>
            </w:r>
          </w:p>
        </w:tc>
        <w:tc>
          <w:tcPr>
            <w:tcW w:w="2880" w:type="dxa"/>
            <w:shd w:val="clear" w:color="auto" w:fill="D9D9D9" w:themeFill="background1" w:themeFillShade="D9"/>
            <w:hideMark/>
          </w:tcPr>
          <w:p w14:paraId="486F590D" w14:textId="064F5B9A" w:rsidR="00F441A0" w:rsidRPr="00F441A0" w:rsidRDefault="00F441A0" w:rsidP="005D1512">
            <w:pPr>
              <w:pStyle w:val="FocusbodyText"/>
              <w:spacing w:after="0"/>
              <w:jc w:val="center"/>
              <w:rPr>
                <w:b/>
                <w:bCs/>
              </w:rPr>
            </w:pPr>
            <w:r w:rsidRPr="00F441A0">
              <w:rPr>
                <w:b/>
                <w:bCs/>
              </w:rPr>
              <w:t>Job Classification</w:t>
            </w:r>
          </w:p>
        </w:tc>
        <w:tc>
          <w:tcPr>
            <w:tcW w:w="5670" w:type="dxa"/>
            <w:shd w:val="clear" w:color="auto" w:fill="D9D9D9" w:themeFill="background1" w:themeFillShade="D9"/>
            <w:hideMark/>
          </w:tcPr>
          <w:p w14:paraId="72B8224F" w14:textId="705E1FA6" w:rsidR="00F441A0" w:rsidRPr="00F441A0" w:rsidRDefault="00F441A0" w:rsidP="005D1512">
            <w:pPr>
              <w:pStyle w:val="FocusbodyText"/>
              <w:spacing w:after="0"/>
              <w:jc w:val="center"/>
              <w:rPr>
                <w:b/>
                <w:bCs/>
              </w:rPr>
            </w:pPr>
            <w:r w:rsidRPr="00F441A0">
              <w:rPr>
                <w:b/>
                <w:bCs/>
              </w:rPr>
              <w:t>Role</w:t>
            </w:r>
          </w:p>
        </w:tc>
        <w:tc>
          <w:tcPr>
            <w:tcW w:w="1620" w:type="dxa"/>
            <w:shd w:val="clear" w:color="auto" w:fill="D9D9D9" w:themeFill="background1" w:themeFillShade="D9"/>
            <w:hideMark/>
          </w:tcPr>
          <w:p w14:paraId="1D0921B2" w14:textId="0C7D6C00" w:rsidR="00F441A0" w:rsidRPr="00F441A0" w:rsidRDefault="00F441A0" w:rsidP="005D1512">
            <w:pPr>
              <w:pStyle w:val="FocusbodyText"/>
              <w:spacing w:after="0"/>
              <w:jc w:val="center"/>
              <w:rPr>
                <w:b/>
                <w:bCs/>
              </w:rPr>
            </w:pPr>
            <w:r w:rsidRPr="00F441A0">
              <w:rPr>
                <w:b/>
                <w:bCs/>
              </w:rPr>
              <w:t>Standard Salary</w:t>
            </w:r>
          </w:p>
        </w:tc>
        <w:tc>
          <w:tcPr>
            <w:tcW w:w="1075" w:type="dxa"/>
            <w:shd w:val="clear" w:color="auto" w:fill="D9D9D9" w:themeFill="background1" w:themeFillShade="D9"/>
            <w:hideMark/>
          </w:tcPr>
          <w:p w14:paraId="025E59D9" w14:textId="62A8A64B" w:rsidR="00F441A0" w:rsidRPr="00F441A0" w:rsidRDefault="00F441A0" w:rsidP="005D1512">
            <w:pPr>
              <w:pStyle w:val="FocusbodyText"/>
              <w:spacing w:after="0"/>
              <w:jc w:val="center"/>
              <w:rPr>
                <w:b/>
                <w:bCs/>
              </w:rPr>
            </w:pPr>
            <w:r w:rsidRPr="00F441A0">
              <w:rPr>
                <w:b/>
                <w:bCs/>
              </w:rPr>
              <w:t>FY 202</w:t>
            </w:r>
            <w:r>
              <w:rPr>
                <w:b/>
                <w:bCs/>
              </w:rPr>
              <w:t>4</w:t>
            </w:r>
            <w:r w:rsidRPr="00F441A0">
              <w:rPr>
                <w:b/>
                <w:bCs/>
              </w:rPr>
              <w:t xml:space="preserve"> FTE</w:t>
            </w:r>
          </w:p>
        </w:tc>
      </w:tr>
      <w:tr w:rsidR="00F441A0" w:rsidRPr="00F441A0" w14:paraId="16761834" w14:textId="77777777" w:rsidTr="002200BD">
        <w:trPr>
          <w:trHeight w:val="528"/>
        </w:trPr>
        <w:tc>
          <w:tcPr>
            <w:tcW w:w="3145" w:type="dxa"/>
            <w:noWrap/>
            <w:hideMark/>
          </w:tcPr>
          <w:p w14:paraId="5F077FAF" w14:textId="77777777" w:rsidR="00F441A0" w:rsidRPr="00F441A0" w:rsidRDefault="00F441A0" w:rsidP="00B42187">
            <w:pPr>
              <w:pStyle w:val="FocusbodyText"/>
              <w:spacing w:after="0"/>
              <w:rPr>
                <w:b/>
                <w:bCs/>
              </w:rPr>
            </w:pPr>
            <w:r w:rsidRPr="00F441A0">
              <w:rPr>
                <w:b/>
                <w:bCs/>
              </w:rPr>
              <w:t>Plastic Packaging Subject Lead</w:t>
            </w:r>
          </w:p>
        </w:tc>
        <w:tc>
          <w:tcPr>
            <w:tcW w:w="2880" w:type="dxa"/>
            <w:noWrap/>
            <w:hideMark/>
          </w:tcPr>
          <w:p w14:paraId="3DBA3870" w14:textId="77777777" w:rsidR="00F441A0" w:rsidRPr="00F441A0" w:rsidRDefault="00F441A0" w:rsidP="00B42187">
            <w:pPr>
              <w:pStyle w:val="FocusbodyText"/>
              <w:spacing w:after="0"/>
              <w:rPr>
                <w:b/>
                <w:bCs/>
              </w:rPr>
            </w:pPr>
            <w:r w:rsidRPr="00F441A0">
              <w:rPr>
                <w:b/>
                <w:bCs/>
              </w:rPr>
              <w:t>Environmental Planner 4</w:t>
            </w:r>
          </w:p>
        </w:tc>
        <w:tc>
          <w:tcPr>
            <w:tcW w:w="5670" w:type="dxa"/>
            <w:hideMark/>
          </w:tcPr>
          <w:p w14:paraId="2C13EEB0" w14:textId="0B52AD28" w:rsidR="00F441A0" w:rsidRPr="00F441A0" w:rsidRDefault="00B42187" w:rsidP="00B42187">
            <w:pPr>
              <w:pStyle w:val="FocusbodyText"/>
              <w:spacing w:after="0"/>
            </w:pPr>
            <w:r>
              <w:t>Provide over</w:t>
            </w:r>
            <w:r w:rsidR="00F441A0" w:rsidRPr="00F441A0">
              <w:t xml:space="preserve">sight </w:t>
            </w:r>
            <w:r>
              <w:t>and coordination of</w:t>
            </w:r>
            <w:r w:rsidR="00F441A0" w:rsidRPr="00F441A0">
              <w:t xml:space="preserve"> program administration</w:t>
            </w:r>
          </w:p>
        </w:tc>
        <w:tc>
          <w:tcPr>
            <w:tcW w:w="1620" w:type="dxa"/>
            <w:noWrap/>
            <w:hideMark/>
          </w:tcPr>
          <w:p w14:paraId="13B8B327" w14:textId="77777777" w:rsidR="00F441A0" w:rsidRPr="00F441A0" w:rsidRDefault="00F441A0" w:rsidP="005D1512">
            <w:pPr>
              <w:pStyle w:val="FocusbodyText"/>
              <w:spacing w:after="0"/>
              <w:jc w:val="right"/>
            </w:pPr>
            <w:r w:rsidRPr="00F441A0">
              <w:t xml:space="preserve">$89,292 </w:t>
            </w:r>
          </w:p>
        </w:tc>
        <w:tc>
          <w:tcPr>
            <w:tcW w:w="1075" w:type="dxa"/>
            <w:noWrap/>
            <w:hideMark/>
          </w:tcPr>
          <w:p w14:paraId="2FBD9125" w14:textId="2CDC5BC3" w:rsidR="00F441A0" w:rsidRPr="00F441A0" w:rsidRDefault="00F441A0" w:rsidP="005D1512">
            <w:pPr>
              <w:pStyle w:val="FocusbodyText"/>
              <w:spacing w:after="0"/>
              <w:jc w:val="right"/>
            </w:pPr>
            <w:r w:rsidRPr="00F441A0">
              <w:t>0.20</w:t>
            </w:r>
          </w:p>
        </w:tc>
      </w:tr>
      <w:tr w:rsidR="00F441A0" w:rsidRPr="00F441A0" w14:paraId="270A5D39" w14:textId="77777777" w:rsidTr="002200BD">
        <w:trPr>
          <w:trHeight w:val="480"/>
        </w:trPr>
        <w:tc>
          <w:tcPr>
            <w:tcW w:w="3145" w:type="dxa"/>
            <w:noWrap/>
            <w:hideMark/>
          </w:tcPr>
          <w:p w14:paraId="4B8B3B9C" w14:textId="77777777" w:rsidR="00F441A0" w:rsidRPr="00F441A0" w:rsidRDefault="00F441A0" w:rsidP="00B42187">
            <w:pPr>
              <w:pStyle w:val="FocusbodyText"/>
              <w:spacing w:after="0"/>
              <w:rPr>
                <w:b/>
                <w:bCs/>
              </w:rPr>
            </w:pPr>
            <w:r w:rsidRPr="00F441A0">
              <w:rPr>
                <w:b/>
                <w:bCs/>
              </w:rPr>
              <w:t>Rulemaking Lead</w:t>
            </w:r>
          </w:p>
        </w:tc>
        <w:tc>
          <w:tcPr>
            <w:tcW w:w="2880" w:type="dxa"/>
            <w:noWrap/>
            <w:hideMark/>
          </w:tcPr>
          <w:p w14:paraId="377ABCC5" w14:textId="77777777" w:rsidR="00F441A0" w:rsidRPr="00F441A0" w:rsidRDefault="00F441A0" w:rsidP="00B42187">
            <w:pPr>
              <w:pStyle w:val="FocusbodyText"/>
              <w:spacing w:after="0"/>
              <w:rPr>
                <w:b/>
                <w:bCs/>
              </w:rPr>
            </w:pPr>
            <w:r w:rsidRPr="00F441A0">
              <w:rPr>
                <w:b/>
                <w:bCs/>
              </w:rPr>
              <w:t>Environmental Planner 4</w:t>
            </w:r>
          </w:p>
        </w:tc>
        <w:tc>
          <w:tcPr>
            <w:tcW w:w="5670" w:type="dxa"/>
            <w:hideMark/>
          </w:tcPr>
          <w:p w14:paraId="7AA89706" w14:textId="74805798" w:rsidR="00F441A0" w:rsidRPr="00F441A0" w:rsidRDefault="00F441A0" w:rsidP="00B42187">
            <w:pPr>
              <w:pStyle w:val="FocusbodyText"/>
              <w:spacing w:after="0"/>
            </w:pPr>
            <w:r w:rsidRPr="00F441A0">
              <w:t>Complet</w:t>
            </w:r>
            <w:r w:rsidR="00B42187">
              <w:t>e</w:t>
            </w:r>
            <w:r w:rsidRPr="00F441A0">
              <w:t xml:space="preserve"> initial rulemaking for WAC 173-925</w:t>
            </w:r>
          </w:p>
        </w:tc>
        <w:tc>
          <w:tcPr>
            <w:tcW w:w="1620" w:type="dxa"/>
            <w:noWrap/>
            <w:hideMark/>
          </w:tcPr>
          <w:p w14:paraId="30B6A9A2" w14:textId="77777777" w:rsidR="00F441A0" w:rsidRPr="00F441A0" w:rsidRDefault="00F441A0" w:rsidP="005D1512">
            <w:pPr>
              <w:pStyle w:val="FocusbodyText"/>
              <w:spacing w:after="0"/>
              <w:jc w:val="right"/>
            </w:pPr>
            <w:r w:rsidRPr="00F441A0">
              <w:t xml:space="preserve">$89,292 </w:t>
            </w:r>
          </w:p>
        </w:tc>
        <w:tc>
          <w:tcPr>
            <w:tcW w:w="1075" w:type="dxa"/>
            <w:noWrap/>
            <w:hideMark/>
          </w:tcPr>
          <w:p w14:paraId="6A96676B" w14:textId="285D6A4C" w:rsidR="00F441A0" w:rsidRPr="00F441A0" w:rsidRDefault="00F441A0" w:rsidP="005D1512">
            <w:pPr>
              <w:pStyle w:val="FocusbodyText"/>
              <w:spacing w:after="0"/>
              <w:jc w:val="right"/>
            </w:pPr>
            <w:r w:rsidRPr="00F441A0">
              <w:t xml:space="preserve">0.25 </w:t>
            </w:r>
          </w:p>
        </w:tc>
      </w:tr>
      <w:tr w:rsidR="00F441A0" w:rsidRPr="00F441A0" w14:paraId="5AD19756" w14:textId="77777777" w:rsidTr="002200BD">
        <w:trPr>
          <w:trHeight w:val="710"/>
        </w:trPr>
        <w:tc>
          <w:tcPr>
            <w:tcW w:w="3145" w:type="dxa"/>
            <w:noWrap/>
            <w:hideMark/>
          </w:tcPr>
          <w:p w14:paraId="6D85CD7F" w14:textId="77777777" w:rsidR="00F441A0" w:rsidRPr="00F441A0" w:rsidRDefault="00F441A0" w:rsidP="00B42187">
            <w:pPr>
              <w:pStyle w:val="FocusbodyText"/>
              <w:spacing w:after="0"/>
              <w:rPr>
                <w:b/>
                <w:bCs/>
              </w:rPr>
            </w:pPr>
            <w:r w:rsidRPr="00F441A0">
              <w:rPr>
                <w:b/>
                <w:bCs/>
              </w:rPr>
              <w:t>IT App Developer</w:t>
            </w:r>
          </w:p>
        </w:tc>
        <w:tc>
          <w:tcPr>
            <w:tcW w:w="2880" w:type="dxa"/>
            <w:noWrap/>
            <w:hideMark/>
          </w:tcPr>
          <w:p w14:paraId="41298250" w14:textId="2269CC2E" w:rsidR="00F441A0" w:rsidRPr="00F441A0" w:rsidRDefault="00B50AFC" w:rsidP="00B42187">
            <w:pPr>
              <w:pStyle w:val="FocusbodyText"/>
              <w:spacing w:after="0"/>
              <w:rPr>
                <w:b/>
                <w:bCs/>
              </w:rPr>
            </w:pPr>
            <w:r>
              <w:rPr>
                <w:b/>
                <w:bCs/>
              </w:rPr>
              <w:t>IT</w:t>
            </w:r>
            <w:r w:rsidR="00F441A0" w:rsidRPr="00F441A0">
              <w:rPr>
                <w:b/>
                <w:bCs/>
              </w:rPr>
              <w:t xml:space="preserve"> App Development</w:t>
            </w:r>
            <w:r>
              <w:rPr>
                <w:b/>
                <w:bCs/>
              </w:rPr>
              <w:t xml:space="preserve"> </w:t>
            </w:r>
            <w:r w:rsidR="00F441A0" w:rsidRPr="00F441A0">
              <w:rPr>
                <w:b/>
                <w:bCs/>
              </w:rPr>
              <w:t>-Journey</w:t>
            </w:r>
          </w:p>
        </w:tc>
        <w:tc>
          <w:tcPr>
            <w:tcW w:w="5670" w:type="dxa"/>
            <w:hideMark/>
          </w:tcPr>
          <w:p w14:paraId="70791698" w14:textId="7FF47387" w:rsidR="00F441A0" w:rsidRPr="00F441A0" w:rsidRDefault="00B42187" w:rsidP="00B42187">
            <w:pPr>
              <w:pStyle w:val="FocusbodyText"/>
              <w:spacing w:after="0"/>
            </w:pPr>
            <w:r>
              <w:t>Maintain</w:t>
            </w:r>
            <w:r w:rsidR="00F441A0" w:rsidRPr="00F441A0">
              <w:t xml:space="preserve"> the registration online platform and database</w:t>
            </w:r>
          </w:p>
        </w:tc>
        <w:tc>
          <w:tcPr>
            <w:tcW w:w="1620" w:type="dxa"/>
            <w:noWrap/>
            <w:hideMark/>
          </w:tcPr>
          <w:p w14:paraId="7064B5C2" w14:textId="77777777" w:rsidR="00F441A0" w:rsidRPr="00F441A0" w:rsidRDefault="00F441A0" w:rsidP="005D1512">
            <w:pPr>
              <w:pStyle w:val="FocusbodyText"/>
              <w:spacing w:after="0"/>
              <w:jc w:val="right"/>
            </w:pPr>
            <w:r w:rsidRPr="00F441A0">
              <w:t xml:space="preserve">$100,032 </w:t>
            </w:r>
          </w:p>
        </w:tc>
        <w:tc>
          <w:tcPr>
            <w:tcW w:w="1075" w:type="dxa"/>
            <w:noWrap/>
            <w:hideMark/>
          </w:tcPr>
          <w:p w14:paraId="629DCD15" w14:textId="5751A654" w:rsidR="00F441A0" w:rsidRPr="00F441A0" w:rsidRDefault="00F441A0" w:rsidP="005D1512">
            <w:pPr>
              <w:pStyle w:val="FocusbodyText"/>
              <w:spacing w:after="0"/>
              <w:jc w:val="right"/>
            </w:pPr>
            <w:r w:rsidRPr="00F441A0">
              <w:t xml:space="preserve">0.10 </w:t>
            </w:r>
          </w:p>
        </w:tc>
      </w:tr>
      <w:tr w:rsidR="00F441A0" w:rsidRPr="00F441A0" w14:paraId="07E96B7A" w14:textId="77777777" w:rsidTr="002200BD">
        <w:trPr>
          <w:trHeight w:val="710"/>
        </w:trPr>
        <w:tc>
          <w:tcPr>
            <w:tcW w:w="3145" w:type="dxa"/>
            <w:noWrap/>
            <w:hideMark/>
          </w:tcPr>
          <w:p w14:paraId="35A7AFFC" w14:textId="77777777" w:rsidR="00F441A0" w:rsidRPr="00F441A0" w:rsidRDefault="00F441A0" w:rsidP="00B42187">
            <w:pPr>
              <w:pStyle w:val="FocusbodyText"/>
              <w:spacing w:after="0"/>
              <w:rPr>
                <w:b/>
                <w:bCs/>
              </w:rPr>
            </w:pPr>
            <w:r w:rsidRPr="00F441A0">
              <w:rPr>
                <w:b/>
                <w:bCs/>
              </w:rPr>
              <w:t>Technical Assistance/Compliance</w:t>
            </w:r>
          </w:p>
        </w:tc>
        <w:tc>
          <w:tcPr>
            <w:tcW w:w="2880" w:type="dxa"/>
            <w:noWrap/>
            <w:hideMark/>
          </w:tcPr>
          <w:p w14:paraId="7D17260B" w14:textId="38B2056E" w:rsidR="00F441A0" w:rsidRPr="00F441A0" w:rsidRDefault="00F441A0" w:rsidP="00B42187">
            <w:pPr>
              <w:pStyle w:val="FocusbodyText"/>
              <w:spacing w:after="0"/>
              <w:rPr>
                <w:b/>
                <w:bCs/>
              </w:rPr>
            </w:pPr>
            <w:r w:rsidRPr="00F441A0">
              <w:rPr>
                <w:b/>
                <w:bCs/>
              </w:rPr>
              <w:t>Environmental Specialist 3</w:t>
            </w:r>
          </w:p>
        </w:tc>
        <w:tc>
          <w:tcPr>
            <w:tcW w:w="5670" w:type="dxa"/>
            <w:hideMark/>
          </w:tcPr>
          <w:p w14:paraId="7C1B697B" w14:textId="34846F5E" w:rsidR="00F441A0" w:rsidRPr="00F441A0" w:rsidRDefault="00B42187" w:rsidP="00B42187">
            <w:pPr>
              <w:pStyle w:val="FocusbodyText"/>
              <w:spacing w:after="0"/>
            </w:pPr>
            <w:r>
              <w:t>Provide r</w:t>
            </w:r>
            <w:r w:rsidR="00F441A0" w:rsidRPr="00F441A0">
              <w:t>egistration technical assistance, fee administration, and enforcement of registration and fee requirements</w:t>
            </w:r>
          </w:p>
        </w:tc>
        <w:tc>
          <w:tcPr>
            <w:tcW w:w="1620" w:type="dxa"/>
            <w:noWrap/>
            <w:hideMark/>
          </w:tcPr>
          <w:p w14:paraId="42AA8CB1" w14:textId="77777777" w:rsidR="00F441A0" w:rsidRPr="00F441A0" w:rsidRDefault="00F441A0" w:rsidP="005D1512">
            <w:pPr>
              <w:pStyle w:val="FocusbodyText"/>
              <w:spacing w:after="0"/>
              <w:jc w:val="right"/>
            </w:pPr>
            <w:r w:rsidRPr="00F441A0">
              <w:t xml:space="preserve">$63,216 </w:t>
            </w:r>
          </w:p>
        </w:tc>
        <w:tc>
          <w:tcPr>
            <w:tcW w:w="1075" w:type="dxa"/>
            <w:noWrap/>
            <w:hideMark/>
          </w:tcPr>
          <w:p w14:paraId="23E449A1" w14:textId="5097BADF" w:rsidR="00F441A0" w:rsidRPr="00F441A0" w:rsidRDefault="00B42187" w:rsidP="005D1512">
            <w:pPr>
              <w:pStyle w:val="FocusbodyText"/>
              <w:spacing w:after="0"/>
              <w:jc w:val="right"/>
            </w:pPr>
            <w:r>
              <w:t>1</w:t>
            </w:r>
            <w:r w:rsidR="00F441A0" w:rsidRPr="00F441A0">
              <w:t xml:space="preserve">.50 </w:t>
            </w:r>
          </w:p>
        </w:tc>
      </w:tr>
      <w:tr w:rsidR="00F441A0" w:rsidRPr="00F441A0" w14:paraId="45843869" w14:textId="77777777" w:rsidTr="002200BD">
        <w:trPr>
          <w:trHeight w:val="516"/>
        </w:trPr>
        <w:tc>
          <w:tcPr>
            <w:tcW w:w="3145" w:type="dxa"/>
            <w:noWrap/>
            <w:hideMark/>
          </w:tcPr>
          <w:p w14:paraId="20CCCD76" w14:textId="77777777" w:rsidR="00F441A0" w:rsidRPr="00F441A0" w:rsidRDefault="00F441A0" w:rsidP="00B42187">
            <w:pPr>
              <w:pStyle w:val="FocusbodyText"/>
              <w:spacing w:after="0"/>
              <w:rPr>
                <w:b/>
                <w:bCs/>
              </w:rPr>
            </w:pPr>
            <w:r w:rsidRPr="00F441A0">
              <w:rPr>
                <w:b/>
                <w:bCs/>
              </w:rPr>
              <w:t>Workload Analysis Lead</w:t>
            </w:r>
          </w:p>
        </w:tc>
        <w:tc>
          <w:tcPr>
            <w:tcW w:w="2880" w:type="dxa"/>
            <w:tcBorders>
              <w:bottom w:val="single" w:sz="4" w:space="0" w:color="auto"/>
            </w:tcBorders>
            <w:noWrap/>
            <w:hideMark/>
          </w:tcPr>
          <w:p w14:paraId="6BF2ECCD" w14:textId="77777777" w:rsidR="00F441A0" w:rsidRPr="00F441A0" w:rsidRDefault="00F441A0" w:rsidP="00B42187">
            <w:pPr>
              <w:pStyle w:val="FocusbodyText"/>
              <w:spacing w:after="0"/>
              <w:rPr>
                <w:b/>
                <w:bCs/>
              </w:rPr>
            </w:pPr>
            <w:r w:rsidRPr="00F441A0">
              <w:rPr>
                <w:b/>
                <w:bCs/>
              </w:rPr>
              <w:t>Budget Analyst 4</w:t>
            </w:r>
          </w:p>
        </w:tc>
        <w:tc>
          <w:tcPr>
            <w:tcW w:w="5670" w:type="dxa"/>
            <w:tcBorders>
              <w:bottom w:val="single" w:sz="4" w:space="0" w:color="auto"/>
            </w:tcBorders>
            <w:hideMark/>
          </w:tcPr>
          <w:p w14:paraId="61735282" w14:textId="04B5F07B" w:rsidR="00F441A0" w:rsidRPr="00F441A0" w:rsidRDefault="00B42187" w:rsidP="00B42187">
            <w:pPr>
              <w:pStyle w:val="FocusbodyText"/>
              <w:spacing w:after="0"/>
            </w:pPr>
            <w:r>
              <w:t>Prepare</w:t>
            </w:r>
            <w:r w:rsidR="00F441A0" w:rsidRPr="00F441A0">
              <w:t xml:space="preserve"> the annual workload analysis</w:t>
            </w:r>
          </w:p>
        </w:tc>
        <w:tc>
          <w:tcPr>
            <w:tcW w:w="1620" w:type="dxa"/>
            <w:tcBorders>
              <w:bottom w:val="single" w:sz="4" w:space="0" w:color="auto"/>
            </w:tcBorders>
            <w:noWrap/>
            <w:hideMark/>
          </w:tcPr>
          <w:p w14:paraId="20311D92" w14:textId="77777777" w:rsidR="00F441A0" w:rsidRPr="00F441A0" w:rsidRDefault="00F441A0" w:rsidP="005D1512">
            <w:pPr>
              <w:pStyle w:val="FocusbodyText"/>
              <w:spacing w:after="0"/>
              <w:jc w:val="right"/>
            </w:pPr>
            <w:r w:rsidRPr="00F441A0">
              <w:t xml:space="preserve">$85,020 </w:t>
            </w:r>
          </w:p>
        </w:tc>
        <w:tc>
          <w:tcPr>
            <w:tcW w:w="1075" w:type="dxa"/>
            <w:noWrap/>
            <w:hideMark/>
          </w:tcPr>
          <w:p w14:paraId="17482370" w14:textId="2195428E" w:rsidR="00F441A0" w:rsidRPr="00F441A0" w:rsidRDefault="00B42187" w:rsidP="005D1512">
            <w:pPr>
              <w:pStyle w:val="FocusbodyText"/>
              <w:spacing w:after="0"/>
              <w:jc w:val="right"/>
            </w:pPr>
            <w:r>
              <w:t>0</w:t>
            </w:r>
            <w:r w:rsidR="00F441A0" w:rsidRPr="00F441A0">
              <w:t xml:space="preserve">.10 </w:t>
            </w:r>
          </w:p>
        </w:tc>
      </w:tr>
      <w:tr w:rsidR="003D0CCC" w:rsidRPr="00F441A0" w14:paraId="141D6172" w14:textId="77777777" w:rsidTr="002200BD">
        <w:trPr>
          <w:trHeight w:val="516"/>
        </w:trPr>
        <w:tc>
          <w:tcPr>
            <w:tcW w:w="3145" w:type="dxa"/>
            <w:noWrap/>
          </w:tcPr>
          <w:p w14:paraId="631C8860" w14:textId="3C47ED4C" w:rsidR="003D0CCC" w:rsidRPr="00F441A0" w:rsidRDefault="003D0CCC" w:rsidP="003D0CCC">
            <w:pPr>
              <w:pStyle w:val="FocusbodyText"/>
              <w:spacing w:after="0"/>
              <w:rPr>
                <w:b/>
                <w:bCs/>
              </w:rPr>
            </w:pPr>
            <w:r w:rsidRPr="00F441A0">
              <w:rPr>
                <w:b/>
                <w:bCs/>
              </w:rPr>
              <w:t>Agency Admin</w:t>
            </w:r>
            <w:r>
              <w:rPr>
                <w:b/>
                <w:bCs/>
              </w:rPr>
              <w:t>istrative</w:t>
            </w:r>
            <w:r w:rsidRPr="00F441A0">
              <w:rPr>
                <w:b/>
                <w:bCs/>
              </w:rPr>
              <w:t xml:space="preserve"> Overhead</w:t>
            </w:r>
          </w:p>
        </w:tc>
        <w:tc>
          <w:tcPr>
            <w:tcW w:w="2880" w:type="dxa"/>
            <w:tcBorders>
              <w:right w:val="nil"/>
            </w:tcBorders>
            <w:noWrap/>
          </w:tcPr>
          <w:p w14:paraId="58A8AC48" w14:textId="77777777" w:rsidR="003D0CCC" w:rsidRPr="00F441A0" w:rsidRDefault="003D0CCC" w:rsidP="003D0CCC">
            <w:pPr>
              <w:pStyle w:val="FocusbodyText"/>
              <w:spacing w:after="0"/>
              <w:rPr>
                <w:b/>
                <w:bCs/>
              </w:rPr>
            </w:pPr>
          </w:p>
        </w:tc>
        <w:tc>
          <w:tcPr>
            <w:tcW w:w="5670" w:type="dxa"/>
            <w:tcBorders>
              <w:left w:val="nil"/>
              <w:right w:val="nil"/>
            </w:tcBorders>
          </w:tcPr>
          <w:p w14:paraId="59E62517" w14:textId="0DD3535A" w:rsidR="003D0CCC" w:rsidRDefault="003D0CCC" w:rsidP="003D0CCC">
            <w:pPr>
              <w:pStyle w:val="FocusbodyText"/>
              <w:spacing w:after="0"/>
            </w:pPr>
            <w:r w:rsidRPr="003D0CCC">
              <w:t>See notes on costs in the table below</w:t>
            </w:r>
          </w:p>
        </w:tc>
        <w:tc>
          <w:tcPr>
            <w:tcW w:w="1620" w:type="dxa"/>
            <w:tcBorders>
              <w:left w:val="nil"/>
            </w:tcBorders>
            <w:noWrap/>
          </w:tcPr>
          <w:p w14:paraId="6D29C283" w14:textId="3F6F6672" w:rsidR="003D0CCC" w:rsidRPr="00F441A0" w:rsidRDefault="003D0CCC" w:rsidP="003D0CCC">
            <w:pPr>
              <w:pStyle w:val="FocusbodyText"/>
              <w:spacing w:after="0"/>
            </w:pPr>
          </w:p>
        </w:tc>
        <w:tc>
          <w:tcPr>
            <w:tcW w:w="1075" w:type="dxa"/>
            <w:noWrap/>
          </w:tcPr>
          <w:p w14:paraId="76180FA7" w14:textId="19CF1887" w:rsidR="003D0CCC" w:rsidRDefault="003D0CCC" w:rsidP="003D0CCC">
            <w:pPr>
              <w:pStyle w:val="FocusbodyText"/>
              <w:spacing w:after="0"/>
              <w:jc w:val="right"/>
            </w:pPr>
            <w:r w:rsidRPr="00F441A0">
              <w:t>0.</w:t>
            </w:r>
            <w:r>
              <w:t>32</w:t>
            </w:r>
          </w:p>
        </w:tc>
      </w:tr>
      <w:tr w:rsidR="003D0CCC" w:rsidRPr="00F441A0" w14:paraId="5D425841" w14:textId="77777777" w:rsidTr="002200BD">
        <w:trPr>
          <w:trHeight w:val="516"/>
        </w:trPr>
        <w:tc>
          <w:tcPr>
            <w:tcW w:w="3145" w:type="dxa"/>
            <w:shd w:val="clear" w:color="auto" w:fill="DEEAF6" w:themeFill="accent1" w:themeFillTint="33"/>
            <w:noWrap/>
          </w:tcPr>
          <w:p w14:paraId="6B412C51" w14:textId="442DDDA0" w:rsidR="003D0CCC" w:rsidRPr="00F441A0" w:rsidRDefault="003D0CCC" w:rsidP="003D0CCC">
            <w:pPr>
              <w:pStyle w:val="FocusbodyText"/>
              <w:spacing w:after="0"/>
              <w:rPr>
                <w:b/>
                <w:bCs/>
              </w:rPr>
            </w:pPr>
            <w:r w:rsidRPr="003D0CCC">
              <w:rPr>
                <w:b/>
                <w:bCs/>
              </w:rPr>
              <w:t>Total FTEs</w:t>
            </w:r>
          </w:p>
        </w:tc>
        <w:tc>
          <w:tcPr>
            <w:tcW w:w="2880" w:type="dxa"/>
            <w:tcBorders>
              <w:right w:val="nil"/>
            </w:tcBorders>
            <w:shd w:val="clear" w:color="auto" w:fill="DEEAF6" w:themeFill="accent1" w:themeFillTint="33"/>
            <w:noWrap/>
          </w:tcPr>
          <w:p w14:paraId="3E4E143D" w14:textId="77777777" w:rsidR="003D0CCC" w:rsidRPr="00F441A0" w:rsidRDefault="003D0CCC" w:rsidP="003D0CCC">
            <w:pPr>
              <w:pStyle w:val="FocusbodyText"/>
              <w:spacing w:after="0"/>
              <w:rPr>
                <w:b/>
                <w:bCs/>
              </w:rPr>
            </w:pPr>
          </w:p>
        </w:tc>
        <w:tc>
          <w:tcPr>
            <w:tcW w:w="5670" w:type="dxa"/>
            <w:tcBorders>
              <w:left w:val="nil"/>
              <w:right w:val="nil"/>
            </w:tcBorders>
            <w:shd w:val="clear" w:color="auto" w:fill="DEEAF6" w:themeFill="accent1" w:themeFillTint="33"/>
          </w:tcPr>
          <w:p w14:paraId="546B48E4" w14:textId="77777777" w:rsidR="003D0CCC" w:rsidRPr="003D0CCC" w:rsidRDefault="003D0CCC" w:rsidP="003D0CCC">
            <w:pPr>
              <w:pStyle w:val="FocusbodyText"/>
              <w:spacing w:after="0"/>
            </w:pPr>
          </w:p>
        </w:tc>
        <w:tc>
          <w:tcPr>
            <w:tcW w:w="1620" w:type="dxa"/>
            <w:tcBorders>
              <w:left w:val="nil"/>
            </w:tcBorders>
            <w:shd w:val="clear" w:color="auto" w:fill="DEEAF6" w:themeFill="accent1" w:themeFillTint="33"/>
            <w:noWrap/>
          </w:tcPr>
          <w:p w14:paraId="32D83FC6" w14:textId="77777777" w:rsidR="003D0CCC" w:rsidRPr="00F441A0" w:rsidRDefault="003D0CCC" w:rsidP="003D0CCC">
            <w:pPr>
              <w:pStyle w:val="FocusbodyText"/>
              <w:spacing w:after="0"/>
            </w:pPr>
          </w:p>
        </w:tc>
        <w:tc>
          <w:tcPr>
            <w:tcW w:w="1075" w:type="dxa"/>
            <w:shd w:val="clear" w:color="auto" w:fill="DEEAF6" w:themeFill="accent1" w:themeFillTint="33"/>
            <w:noWrap/>
          </w:tcPr>
          <w:p w14:paraId="2D136CD1" w14:textId="748F34AC" w:rsidR="003D0CCC" w:rsidRPr="00F441A0" w:rsidRDefault="003D0CCC" w:rsidP="003D0CCC">
            <w:pPr>
              <w:pStyle w:val="FocusbodyText"/>
              <w:spacing w:after="0"/>
              <w:jc w:val="right"/>
            </w:pPr>
            <w:r w:rsidRPr="003D0CCC">
              <w:t>2.47</w:t>
            </w:r>
          </w:p>
        </w:tc>
      </w:tr>
    </w:tbl>
    <w:p w14:paraId="67A5164F" w14:textId="157FBB1F" w:rsidR="00567F6B" w:rsidRDefault="00567F6B" w:rsidP="00A964F6">
      <w:pPr>
        <w:pStyle w:val="FocusbodyText"/>
      </w:pPr>
    </w:p>
    <w:p w14:paraId="489BCEC4" w14:textId="7B80F8FC" w:rsidR="00B42187" w:rsidRDefault="00B42187" w:rsidP="00A964F6">
      <w:pPr>
        <w:pStyle w:val="FocusbodyText"/>
      </w:pPr>
      <w:r w:rsidRPr="00F441A0">
        <w:rPr>
          <w:rStyle w:val="FocusH3Char"/>
        </w:rPr>
        <w:lastRenderedPageBreak/>
        <w:t xml:space="preserve">Table </w:t>
      </w:r>
      <w:r>
        <w:rPr>
          <w:rStyle w:val="FocusH3Char"/>
        </w:rPr>
        <w:t>3</w:t>
      </w:r>
      <w:r w:rsidRPr="00F441A0">
        <w:rPr>
          <w:rStyle w:val="FocusH3Char"/>
        </w:rPr>
        <w:t>:</w:t>
      </w:r>
      <w:r w:rsidR="00D70C71">
        <w:rPr>
          <w:rStyle w:val="FocusH3Char"/>
        </w:rPr>
        <w:t xml:space="preserve"> </w:t>
      </w:r>
      <w:r w:rsidRPr="00B42187">
        <w:rPr>
          <w:rStyle w:val="FocusH3Char"/>
        </w:rPr>
        <w:t xml:space="preserve">Estimated </w:t>
      </w:r>
      <w:r w:rsidR="00A8125A">
        <w:rPr>
          <w:rStyle w:val="FocusH3Char"/>
        </w:rPr>
        <w:t>p</w:t>
      </w:r>
      <w:r w:rsidRPr="00B42187">
        <w:rPr>
          <w:rStyle w:val="FocusH3Char"/>
        </w:rPr>
        <w:t xml:space="preserve">rogram </w:t>
      </w:r>
      <w:r w:rsidR="00A8125A">
        <w:rPr>
          <w:rStyle w:val="FocusH3Char"/>
        </w:rPr>
        <w:t>a</w:t>
      </w:r>
      <w:r w:rsidRPr="00B42187">
        <w:rPr>
          <w:rStyle w:val="FocusH3Char"/>
        </w:rPr>
        <w:t xml:space="preserve">dministration </w:t>
      </w:r>
      <w:r w:rsidR="00A8125A">
        <w:rPr>
          <w:rStyle w:val="FocusH3Char"/>
        </w:rPr>
        <w:t>c</w:t>
      </w:r>
      <w:r w:rsidRPr="00B42187">
        <w:rPr>
          <w:rStyle w:val="FocusH3Char"/>
        </w:rPr>
        <w:t xml:space="preserve">osts by </w:t>
      </w:r>
      <w:r w:rsidR="00A8125A">
        <w:rPr>
          <w:rStyle w:val="FocusH3Char"/>
        </w:rPr>
        <w:t>c</w:t>
      </w:r>
      <w:r w:rsidRPr="00B42187">
        <w:rPr>
          <w:rStyle w:val="FocusH3Char"/>
        </w:rPr>
        <w:t xml:space="preserve">ost </w:t>
      </w:r>
      <w:r w:rsidR="00A8125A">
        <w:rPr>
          <w:rStyle w:val="FocusH3Char"/>
        </w:rPr>
        <w:t>c</w:t>
      </w:r>
      <w:r w:rsidRPr="00B42187">
        <w:rPr>
          <w:rStyle w:val="FocusH3Char"/>
        </w:rPr>
        <w:t>ategory</w:t>
      </w:r>
    </w:p>
    <w:tbl>
      <w:tblPr>
        <w:tblStyle w:val="TableGrid"/>
        <w:tblW w:w="0" w:type="auto"/>
        <w:tblLook w:val="04A0" w:firstRow="1" w:lastRow="0" w:firstColumn="1" w:lastColumn="0" w:noHBand="0" w:noVBand="1"/>
        <w:tblCaption w:val="Table 3:  Estimated Program Admninistration Costs by Cost Category"/>
        <w:tblDescription w:val="This table summarizes the estimated Program Administration costs by key cost categories, such as salaries and benefits and related standard costs, such as travel and goods and services, as well as specific costs, such as assistant attorney general guidance."/>
      </w:tblPr>
      <w:tblGrid>
        <w:gridCol w:w="2515"/>
        <w:gridCol w:w="10150"/>
        <w:gridCol w:w="1725"/>
      </w:tblGrid>
      <w:tr w:rsidR="00B42187" w:rsidRPr="00B42187" w14:paraId="54B285A4" w14:textId="77777777" w:rsidTr="00B42187">
        <w:trPr>
          <w:trHeight w:val="360"/>
        </w:trPr>
        <w:tc>
          <w:tcPr>
            <w:tcW w:w="2515" w:type="dxa"/>
            <w:shd w:val="clear" w:color="auto" w:fill="D9D9D9" w:themeFill="background1" w:themeFillShade="D9"/>
            <w:noWrap/>
            <w:hideMark/>
          </w:tcPr>
          <w:p w14:paraId="2D7BC1B6" w14:textId="6367F47E" w:rsidR="00B42187" w:rsidRPr="00B42187" w:rsidRDefault="00B42187" w:rsidP="005D1512">
            <w:pPr>
              <w:pStyle w:val="FocusbodyText"/>
              <w:jc w:val="center"/>
              <w:rPr>
                <w:b/>
                <w:bCs/>
              </w:rPr>
            </w:pPr>
            <w:r w:rsidRPr="00B42187">
              <w:rPr>
                <w:b/>
                <w:bCs/>
              </w:rPr>
              <w:t>Cost Category</w:t>
            </w:r>
          </w:p>
        </w:tc>
        <w:tc>
          <w:tcPr>
            <w:tcW w:w="10150" w:type="dxa"/>
            <w:shd w:val="clear" w:color="auto" w:fill="D9D9D9" w:themeFill="background1" w:themeFillShade="D9"/>
            <w:noWrap/>
            <w:hideMark/>
          </w:tcPr>
          <w:p w14:paraId="7FC34186" w14:textId="07B087DA" w:rsidR="00B42187" w:rsidRPr="00B42187" w:rsidRDefault="00B42187" w:rsidP="005D1512">
            <w:pPr>
              <w:pStyle w:val="FocusbodyText"/>
              <w:jc w:val="center"/>
              <w:rPr>
                <w:b/>
                <w:bCs/>
              </w:rPr>
            </w:pPr>
            <w:r w:rsidRPr="00B42187">
              <w:rPr>
                <w:b/>
                <w:bCs/>
              </w:rPr>
              <w:t>Description</w:t>
            </w:r>
          </w:p>
        </w:tc>
        <w:tc>
          <w:tcPr>
            <w:tcW w:w="1725" w:type="dxa"/>
            <w:shd w:val="clear" w:color="auto" w:fill="D9D9D9" w:themeFill="background1" w:themeFillShade="D9"/>
            <w:hideMark/>
          </w:tcPr>
          <w:p w14:paraId="00B5ACCB" w14:textId="1A58664D" w:rsidR="00B42187" w:rsidRPr="00B42187" w:rsidRDefault="00B42187" w:rsidP="005D1512">
            <w:pPr>
              <w:pStyle w:val="FocusbodyText"/>
              <w:jc w:val="center"/>
              <w:rPr>
                <w:b/>
                <w:bCs/>
              </w:rPr>
            </w:pPr>
            <w:r w:rsidRPr="00B42187">
              <w:rPr>
                <w:b/>
                <w:bCs/>
              </w:rPr>
              <w:t>Estimated Cost</w:t>
            </w:r>
          </w:p>
        </w:tc>
      </w:tr>
      <w:tr w:rsidR="00B42187" w:rsidRPr="00B42187" w14:paraId="585516E4" w14:textId="77777777" w:rsidTr="00B42187">
        <w:trPr>
          <w:trHeight w:val="737"/>
        </w:trPr>
        <w:tc>
          <w:tcPr>
            <w:tcW w:w="2515" w:type="dxa"/>
            <w:noWrap/>
            <w:hideMark/>
          </w:tcPr>
          <w:p w14:paraId="70022EBD" w14:textId="7CAD92AA" w:rsidR="00B42187" w:rsidRPr="00B42187" w:rsidRDefault="00B42187" w:rsidP="00B42187">
            <w:pPr>
              <w:pStyle w:val="FocusbodyText"/>
            </w:pPr>
            <w:r w:rsidRPr="00B42187">
              <w:t xml:space="preserve">Salaries </w:t>
            </w:r>
          </w:p>
        </w:tc>
        <w:tc>
          <w:tcPr>
            <w:tcW w:w="10150" w:type="dxa"/>
            <w:hideMark/>
          </w:tcPr>
          <w:p w14:paraId="1EC80BDD" w14:textId="77777777" w:rsidR="00B42187" w:rsidRPr="00B42187" w:rsidRDefault="00B42187" w:rsidP="00B42187">
            <w:pPr>
              <w:pStyle w:val="FocusbodyText"/>
            </w:pPr>
            <w:r w:rsidRPr="00B42187">
              <w:t>Salaries are based on the estimated staff time and the current biennium actual salary rates for the listed positions, at step L.</w:t>
            </w:r>
          </w:p>
        </w:tc>
        <w:tc>
          <w:tcPr>
            <w:tcW w:w="1725" w:type="dxa"/>
            <w:noWrap/>
            <w:hideMark/>
          </w:tcPr>
          <w:p w14:paraId="7B7BD2DB" w14:textId="77777777" w:rsidR="00B42187" w:rsidRPr="00B42187" w:rsidRDefault="00B42187" w:rsidP="005D1512">
            <w:pPr>
              <w:pStyle w:val="FocusbodyText"/>
              <w:jc w:val="right"/>
            </w:pPr>
            <w:r w:rsidRPr="00B42187">
              <w:t xml:space="preserve">$153,510 </w:t>
            </w:r>
          </w:p>
        </w:tc>
      </w:tr>
      <w:tr w:rsidR="00B42187" w:rsidRPr="00B42187" w14:paraId="759D5F51" w14:textId="77777777" w:rsidTr="00B42187">
        <w:trPr>
          <w:trHeight w:val="360"/>
        </w:trPr>
        <w:tc>
          <w:tcPr>
            <w:tcW w:w="2515" w:type="dxa"/>
            <w:noWrap/>
            <w:hideMark/>
          </w:tcPr>
          <w:p w14:paraId="535C0211" w14:textId="3ACD9A84" w:rsidR="00B42187" w:rsidRPr="00B42187" w:rsidRDefault="00B42187" w:rsidP="00B42187">
            <w:pPr>
              <w:pStyle w:val="FocusbodyText"/>
            </w:pPr>
            <w:r w:rsidRPr="00B42187">
              <w:t xml:space="preserve">Benefits </w:t>
            </w:r>
          </w:p>
        </w:tc>
        <w:tc>
          <w:tcPr>
            <w:tcW w:w="10150" w:type="dxa"/>
            <w:noWrap/>
            <w:hideMark/>
          </w:tcPr>
          <w:p w14:paraId="0BC82CD5" w14:textId="771F883A" w:rsidR="00B42187" w:rsidRPr="00B42187" w:rsidRDefault="00B42187" w:rsidP="00B42187">
            <w:pPr>
              <w:pStyle w:val="FocusbodyText"/>
            </w:pPr>
            <w:r w:rsidRPr="00B42187">
              <w:t>Benefits are the agency average of 36% of salaries.</w:t>
            </w:r>
          </w:p>
        </w:tc>
        <w:tc>
          <w:tcPr>
            <w:tcW w:w="1725" w:type="dxa"/>
            <w:noWrap/>
            <w:hideMark/>
          </w:tcPr>
          <w:p w14:paraId="196C9503" w14:textId="70CB124C" w:rsidR="00B42187" w:rsidRPr="00B42187" w:rsidRDefault="00B42187" w:rsidP="005D1512">
            <w:pPr>
              <w:pStyle w:val="FocusbodyText"/>
              <w:jc w:val="right"/>
            </w:pPr>
            <w:r w:rsidRPr="00B42187">
              <w:t>$5</w:t>
            </w:r>
            <w:r w:rsidR="006D5F73">
              <w:t>5</w:t>
            </w:r>
            <w:r w:rsidRPr="00B42187">
              <w:t>,</w:t>
            </w:r>
            <w:r w:rsidR="006D5F73">
              <w:t>264</w:t>
            </w:r>
            <w:r w:rsidRPr="00B42187">
              <w:t xml:space="preserve"> </w:t>
            </w:r>
          </w:p>
        </w:tc>
      </w:tr>
      <w:tr w:rsidR="00B42187" w:rsidRPr="00B42187" w14:paraId="63982CF0" w14:textId="77777777" w:rsidTr="00B42187">
        <w:trPr>
          <w:trHeight w:val="360"/>
        </w:trPr>
        <w:tc>
          <w:tcPr>
            <w:tcW w:w="2515" w:type="dxa"/>
            <w:noWrap/>
            <w:hideMark/>
          </w:tcPr>
          <w:p w14:paraId="315E8E5A" w14:textId="22413652" w:rsidR="00B42187" w:rsidRPr="00B42187" w:rsidRDefault="00B42187" w:rsidP="00B42187">
            <w:pPr>
              <w:pStyle w:val="FocusbodyText"/>
            </w:pPr>
            <w:r w:rsidRPr="00B42187">
              <w:t xml:space="preserve">Goods and Services </w:t>
            </w:r>
          </w:p>
        </w:tc>
        <w:tc>
          <w:tcPr>
            <w:tcW w:w="10150" w:type="dxa"/>
            <w:noWrap/>
            <w:hideMark/>
          </w:tcPr>
          <w:p w14:paraId="1387EA24" w14:textId="3C81D433" w:rsidR="00B42187" w:rsidRPr="00B42187" w:rsidRDefault="006D5F73" w:rsidP="00B42187">
            <w:pPr>
              <w:pStyle w:val="FocusbodyText"/>
            </w:pPr>
            <w:r w:rsidRPr="006D5F73">
              <w:t>Goods and Services are the agency average of $5,224 per direct program FTE</w:t>
            </w:r>
            <w:r>
              <w:t>.</w:t>
            </w:r>
          </w:p>
        </w:tc>
        <w:tc>
          <w:tcPr>
            <w:tcW w:w="1725" w:type="dxa"/>
            <w:noWrap/>
            <w:hideMark/>
          </w:tcPr>
          <w:p w14:paraId="602E1994" w14:textId="6D349F40" w:rsidR="00B42187" w:rsidRPr="00B42187" w:rsidRDefault="00B42187" w:rsidP="005D1512">
            <w:pPr>
              <w:pStyle w:val="FocusbodyText"/>
              <w:jc w:val="right"/>
            </w:pPr>
            <w:r w:rsidRPr="00B42187">
              <w:t>$1</w:t>
            </w:r>
            <w:r w:rsidR="006D5F73">
              <w:t>1</w:t>
            </w:r>
            <w:r w:rsidRPr="00B42187">
              <w:t>,</w:t>
            </w:r>
            <w:r w:rsidR="006D5F73">
              <w:t>232</w:t>
            </w:r>
            <w:r w:rsidRPr="00B42187">
              <w:t xml:space="preserve"> </w:t>
            </w:r>
          </w:p>
        </w:tc>
      </w:tr>
      <w:tr w:rsidR="00B42187" w:rsidRPr="00B42187" w14:paraId="30DD6CAF" w14:textId="77777777" w:rsidTr="00B42187">
        <w:trPr>
          <w:trHeight w:val="360"/>
        </w:trPr>
        <w:tc>
          <w:tcPr>
            <w:tcW w:w="2515" w:type="dxa"/>
            <w:noWrap/>
            <w:hideMark/>
          </w:tcPr>
          <w:p w14:paraId="6000DBC9" w14:textId="0763FF2E" w:rsidR="00B42187" w:rsidRPr="00B42187" w:rsidRDefault="00B42187" w:rsidP="00B42187">
            <w:pPr>
              <w:pStyle w:val="FocusbodyText"/>
            </w:pPr>
            <w:r w:rsidRPr="00B42187">
              <w:t xml:space="preserve">Travel </w:t>
            </w:r>
          </w:p>
        </w:tc>
        <w:tc>
          <w:tcPr>
            <w:tcW w:w="10150" w:type="dxa"/>
            <w:noWrap/>
            <w:hideMark/>
          </w:tcPr>
          <w:p w14:paraId="1BFC9DBD" w14:textId="23CF3845" w:rsidR="00B42187" w:rsidRPr="00B42187" w:rsidRDefault="006D5F73" w:rsidP="00B42187">
            <w:pPr>
              <w:pStyle w:val="FocusbodyText"/>
            </w:pPr>
            <w:r w:rsidRPr="006D5F73">
              <w:t>Travel is the agency average of $1,563 per direct program FTE.</w:t>
            </w:r>
          </w:p>
        </w:tc>
        <w:tc>
          <w:tcPr>
            <w:tcW w:w="1725" w:type="dxa"/>
            <w:noWrap/>
            <w:hideMark/>
          </w:tcPr>
          <w:p w14:paraId="453C2ED5" w14:textId="5DBC98C4" w:rsidR="00B42187" w:rsidRPr="00B42187" w:rsidRDefault="00B42187" w:rsidP="005D1512">
            <w:pPr>
              <w:pStyle w:val="FocusbodyText"/>
              <w:jc w:val="right"/>
            </w:pPr>
            <w:r w:rsidRPr="00B42187">
              <w:t>$</w:t>
            </w:r>
            <w:r w:rsidR="006D5F73">
              <w:t>3</w:t>
            </w:r>
            <w:r w:rsidRPr="00B42187">
              <w:t>,3</w:t>
            </w:r>
            <w:r w:rsidR="006D5F73">
              <w:t>60</w:t>
            </w:r>
            <w:r w:rsidRPr="00B42187">
              <w:t xml:space="preserve"> </w:t>
            </w:r>
          </w:p>
        </w:tc>
      </w:tr>
      <w:tr w:rsidR="00B42187" w:rsidRPr="00B42187" w14:paraId="5ED639D4" w14:textId="77777777" w:rsidTr="00B42187">
        <w:trPr>
          <w:trHeight w:val="360"/>
        </w:trPr>
        <w:tc>
          <w:tcPr>
            <w:tcW w:w="2515" w:type="dxa"/>
            <w:noWrap/>
            <w:hideMark/>
          </w:tcPr>
          <w:p w14:paraId="399F3E1B" w14:textId="286D6262" w:rsidR="00B42187" w:rsidRPr="00B42187" w:rsidRDefault="00B42187" w:rsidP="00B42187">
            <w:pPr>
              <w:pStyle w:val="FocusbodyText"/>
            </w:pPr>
            <w:r w:rsidRPr="00B42187">
              <w:t xml:space="preserve">Equipment </w:t>
            </w:r>
          </w:p>
        </w:tc>
        <w:tc>
          <w:tcPr>
            <w:tcW w:w="10150" w:type="dxa"/>
            <w:noWrap/>
            <w:hideMark/>
          </w:tcPr>
          <w:p w14:paraId="2D1E650E" w14:textId="1079F869" w:rsidR="00B42187" w:rsidRPr="00B42187" w:rsidRDefault="00B42187" w:rsidP="00B42187">
            <w:pPr>
              <w:pStyle w:val="FocusbodyText"/>
            </w:pPr>
            <w:r w:rsidRPr="00B42187">
              <w:t>Equipment is the agency average of $1,</w:t>
            </w:r>
            <w:r w:rsidR="006D5F73">
              <w:t xml:space="preserve">031 </w:t>
            </w:r>
            <w:r w:rsidRPr="00B42187">
              <w:t xml:space="preserve">per direct </w:t>
            </w:r>
            <w:r w:rsidR="006D5F73">
              <w:t xml:space="preserve">program </w:t>
            </w:r>
            <w:r w:rsidRPr="00B42187">
              <w:t>FTE</w:t>
            </w:r>
            <w:r w:rsidR="006D5F73">
              <w:t>.</w:t>
            </w:r>
            <w:r w:rsidRPr="00B42187">
              <w:t xml:space="preserve"> </w:t>
            </w:r>
          </w:p>
        </w:tc>
        <w:tc>
          <w:tcPr>
            <w:tcW w:w="1725" w:type="dxa"/>
            <w:noWrap/>
            <w:hideMark/>
          </w:tcPr>
          <w:p w14:paraId="02179C5C" w14:textId="5030CC95" w:rsidR="00B42187" w:rsidRPr="00B42187" w:rsidRDefault="00B42187" w:rsidP="005D1512">
            <w:pPr>
              <w:pStyle w:val="FocusbodyText"/>
              <w:jc w:val="right"/>
            </w:pPr>
            <w:r w:rsidRPr="00B42187">
              <w:t>$2,</w:t>
            </w:r>
            <w:r w:rsidR="006D5F73">
              <w:t>217</w:t>
            </w:r>
            <w:r w:rsidRPr="00B42187">
              <w:t xml:space="preserve"> </w:t>
            </w:r>
          </w:p>
        </w:tc>
      </w:tr>
      <w:tr w:rsidR="00B42187" w:rsidRPr="00C309A8" w14:paraId="6FCF5A4C" w14:textId="77777777" w:rsidTr="00B42187">
        <w:trPr>
          <w:trHeight w:val="828"/>
        </w:trPr>
        <w:tc>
          <w:tcPr>
            <w:tcW w:w="2515" w:type="dxa"/>
            <w:noWrap/>
            <w:hideMark/>
          </w:tcPr>
          <w:p w14:paraId="5B757400" w14:textId="6DA9DC17" w:rsidR="00B42187" w:rsidRPr="00B42187" w:rsidRDefault="00B42187" w:rsidP="00B42187">
            <w:pPr>
              <w:pStyle w:val="FocusbodyText"/>
            </w:pPr>
            <w:r w:rsidRPr="00B42187">
              <w:t xml:space="preserve">Assistant Attorney General </w:t>
            </w:r>
          </w:p>
        </w:tc>
        <w:tc>
          <w:tcPr>
            <w:tcW w:w="10150" w:type="dxa"/>
            <w:hideMark/>
          </w:tcPr>
          <w:p w14:paraId="43F009C1" w14:textId="72810994" w:rsidR="00B42187" w:rsidRPr="00B42187" w:rsidRDefault="00B50AFC" w:rsidP="00B42187">
            <w:pPr>
              <w:pStyle w:val="FocusbodyText"/>
            </w:pPr>
            <w:r w:rsidRPr="00B50AFC">
              <w:t xml:space="preserve">This estimate is for </w:t>
            </w:r>
            <w:r w:rsidR="001D35BB">
              <w:t xml:space="preserve">the </w:t>
            </w:r>
            <w:r w:rsidRPr="00B50AFC">
              <w:t>workload in the Office of the Attorney General for Assistant Attorney General (AAG) legal counsel regarding rulemaking and enforcement of registration requirements.</w:t>
            </w:r>
          </w:p>
        </w:tc>
        <w:tc>
          <w:tcPr>
            <w:tcW w:w="1725" w:type="dxa"/>
            <w:noWrap/>
            <w:hideMark/>
          </w:tcPr>
          <w:p w14:paraId="6AB2FE36" w14:textId="7FC752A6" w:rsidR="00B42187" w:rsidRPr="00C309A8" w:rsidRDefault="00B42187" w:rsidP="005D1512">
            <w:pPr>
              <w:pStyle w:val="FocusbodyText"/>
              <w:jc w:val="right"/>
            </w:pPr>
            <w:r w:rsidRPr="00C309A8">
              <w:t>$</w:t>
            </w:r>
            <w:r w:rsidR="004A3804" w:rsidRPr="00C309A8">
              <w:t>13</w:t>
            </w:r>
            <w:r w:rsidRPr="00C309A8">
              <w:t>,</w:t>
            </w:r>
            <w:r w:rsidR="004A3804" w:rsidRPr="00C309A8">
              <w:t>8</w:t>
            </w:r>
            <w:r w:rsidR="00C309A8">
              <w:t>78</w:t>
            </w:r>
            <w:r w:rsidRPr="00C309A8">
              <w:t xml:space="preserve"> </w:t>
            </w:r>
          </w:p>
        </w:tc>
      </w:tr>
      <w:tr w:rsidR="00B42187" w:rsidRPr="00B42187" w14:paraId="615E5031" w14:textId="77777777" w:rsidTr="000F3B91">
        <w:trPr>
          <w:trHeight w:val="1187"/>
        </w:trPr>
        <w:tc>
          <w:tcPr>
            <w:tcW w:w="2515" w:type="dxa"/>
            <w:tcBorders>
              <w:bottom w:val="single" w:sz="4" w:space="0" w:color="auto"/>
            </w:tcBorders>
            <w:noWrap/>
            <w:hideMark/>
          </w:tcPr>
          <w:p w14:paraId="00C7F90B" w14:textId="238CDA92" w:rsidR="00B42187" w:rsidRPr="00B42187" w:rsidRDefault="00B42187" w:rsidP="00B42187">
            <w:pPr>
              <w:pStyle w:val="FocusbodyText"/>
            </w:pPr>
            <w:r w:rsidRPr="00B42187">
              <w:t xml:space="preserve">Agency Administrative Overhead </w:t>
            </w:r>
          </w:p>
        </w:tc>
        <w:tc>
          <w:tcPr>
            <w:tcW w:w="10150" w:type="dxa"/>
            <w:tcBorders>
              <w:bottom w:val="single" w:sz="4" w:space="0" w:color="auto"/>
            </w:tcBorders>
            <w:hideMark/>
          </w:tcPr>
          <w:p w14:paraId="12A9CFF9" w14:textId="7DEE4052" w:rsidR="00B42187" w:rsidRPr="00B42187" w:rsidRDefault="00B42187" w:rsidP="00B42187">
            <w:pPr>
              <w:pStyle w:val="FocusbodyText"/>
            </w:pPr>
            <w:r w:rsidRPr="00B42187">
              <w:t>Agency Administrative Overhead is calculated at the federally approved agency indirect rate of 28.3% of direct program salaries and benefits. Agency Administrative Overhead FTEs are included at 0.15 FTE per direct program FTE</w:t>
            </w:r>
            <w:r w:rsidR="009D34C5">
              <w:t>.</w:t>
            </w:r>
          </w:p>
        </w:tc>
        <w:tc>
          <w:tcPr>
            <w:tcW w:w="1725" w:type="dxa"/>
            <w:tcBorders>
              <w:bottom w:val="single" w:sz="4" w:space="0" w:color="auto"/>
            </w:tcBorders>
            <w:noWrap/>
            <w:hideMark/>
          </w:tcPr>
          <w:p w14:paraId="179C470C" w14:textId="3D6AF973" w:rsidR="00B42187" w:rsidRPr="00B42187" w:rsidRDefault="00B42187" w:rsidP="005D1512">
            <w:pPr>
              <w:pStyle w:val="FocusbodyText"/>
              <w:jc w:val="right"/>
            </w:pPr>
            <w:r w:rsidRPr="00B42187">
              <w:t>$</w:t>
            </w:r>
            <w:r w:rsidR="006D5F73">
              <w:t>60</w:t>
            </w:r>
            <w:r w:rsidRPr="00B42187">
              <w:t>,</w:t>
            </w:r>
            <w:r w:rsidR="006D5F73">
              <w:t>023</w:t>
            </w:r>
            <w:r w:rsidRPr="00B42187">
              <w:t xml:space="preserve"> </w:t>
            </w:r>
          </w:p>
        </w:tc>
      </w:tr>
      <w:tr w:rsidR="00B42187" w:rsidRPr="00B42187" w14:paraId="384A337B" w14:textId="77777777" w:rsidTr="000F3B91">
        <w:trPr>
          <w:trHeight w:val="348"/>
        </w:trPr>
        <w:tc>
          <w:tcPr>
            <w:tcW w:w="2515" w:type="dxa"/>
            <w:tcBorders>
              <w:top w:val="single" w:sz="4" w:space="0" w:color="auto"/>
              <w:left w:val="single" w:sz="4" w:space="0" w:color="auto"/>
              <w:bottom w:val="single" w:sz="4" w:space="0" w:color="auto"/>
              <w:right w:val="nil"/>
            </w:tcBorders>
            <w:shd w:val="clear" w:color="auto" w:fill="DEEAF6" w:themeFill="accent1" w:themeFillTint="33"/>
            <w:noWrap/>
            <w:hideMark/>
          </w:tcPr>
          <w:p w14:paraId="6AF9ECD4" w14:textId="19A08E65" w:rsidR="00B42187" w:rsidRPr="00B42187" w:rsidRDefault="00B42187" w:rsidP="00B42187">
            <w:pPr>
              <w:pStyle w:val="FocusbodyText"/>
              <w:rPr>
                <w:b/>
                <w:bCs/>
              </w:rPr>
            </w:pPr>
            <w:r w:rsidRPr="00B42187">
              <w:rPr>
                <w:b/>
                <w:bCs/>
              </w:rPr>
              <w:t xml:space="preserve"> Total Costs</w:t>
            </w:r>
          </w:p>
        </w:tc>
        <w:tc>
          <w:tcPr>
            <w:tcW w:w="10150" w:type="dxa"/>
            <w:tcBorders>
              <w:top w:val="single" w:sz="4" w:space="0" w:color="auto"/>
              <w:left w:val="nil"/>
              <w:bottom w:val="single" w:sz="4" w:space="0" w:color="auto"/>
              <w:right w:val="nil"/>
            </w:tcBorders>
            <w:shd w:val="clear" w:color="auto" w:fill="DEEAF6" w:themeFill="accent1" w:themeFillTint="33"/>
            <w:noWrap/>
            <w:hideMark/>
          </w:tcPr>
          <w:p w14:paraId="10FF7682" w14:textId="77777777" w:rsidR="00B42187" w:rsidRPr="00B42187" w:rsidRDefault="00B42187" w:rsidP="00B42187">
            <w:pPr>
              <w:pStyle w:val="FocusbodyText"/>
              <w:rPr>
                <w:b/>
                <w:bCs/>
              </w:rPr>
            </w:pPr>
            <w:r w:rsidRPr="00B42187">
              <w:rPr>
                <w:b/>
                <w:bCs/>
              </w:rPr>
              <w:t> </w:t>
            </w:r>
          </w:p>
        </w:tc>
        <w:tc>
          <w:tcPr>
            <w:tcW w:w="1725"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33720583" w14:textId="7203E1BD" w:rsidR="00B42187" w:rsidRPr="00B42187" w:rsidRDefault="00B42187" w:rsidP="005D1512">
            <w:pPr>
              <w:pStyle w:val="FocusbodyText"/>
              <w:jc w:val="right"/>
              <w:rPr>
                <w:b/>
                <w:bCs/>
              </w:rPr>
            </w:pPr>
            <w:r w:rsidRPr="00B42187">
              <w:rPr>
                <w:b/>
                <w:bCs/>
              </w:rPr>
              <w:t>$2</w:t>
            </w:r>
            <w:r w:rsidR="004A3804">
              <w:rPr>
                <w:b/>
                <w:bCs/>
              </w:rPr>
              <w:t>99</w:t>
            </w:r>
            <w:r w:rsidRPr="00B42187">
              <w:rPr>
                <w:b/>
                <w:bCs/>
              </w:rPr>
              <w:t>,</w:t>
            </w:r>
            <w:r w:rsidR="004A3804">
              <w:rPr>
                <w:b/>
                <w:bCs/>
              </w:rPr>
              <w:t>4</w:t>
            </w:r>
            <w:r w:rsidR="00C309A8">
              <w:rPr>
                <w:b/>
                <w:bCs/>
              </w:rPr>
              <w:t>84</w:t>
            </w:r>
            <w:r w:rsidRPr="00B42187">
              <w:rPr>
                <w:b/>
                <w:bCs/>
              </w:rPr>
              <w:t xml:space="preserve"> </w:t>
            </w:r>
          </w:p>
        </w:tc>
      </w:tr>
    </w:tbl>
    <w:p w14:paraId="7C168F56" w14:textId="0885DE3E" w:rsidR="00F441A0" w:rsidRDefault="003D0CCC" w:rsidP="00A964F6">
      <w:pPr>
        <w:pStyle w:val="FocusbodyText"/>
      </w:pPr>
      <w:r>
        <w:br w:type="page"/>
      </w:r>
    </w:p>
    <w:p w14:paraId="086A8EEB" w14:textId="5CDB1F72" w:rsidR="00567F6B" w:rsidRPr="004B4A8D" w:rsidRDefault="00567F6B" w:rsidP="00567F6B">
      <w:pPr>
        <w:pStyle w:val="FocusH2"/>
      </w:pPr>
      <w:r>
        <w:lastRenderedPageBreak/>
        <w:t>Estimated Costs for P</w:t>
      </w:r>
      <w:r w:rsidR="00F441A0">
        <w:t>ost-Consumer Recycled Content (PCRC) Oversight</w:t>
      </w:r>
    </w:p>
    <w:p w14:paraId="0C25B582" w14:textId="78EA1A4D" w:rsidR="00567F6B" w:rsidRPr="00567F6B" w:rsidRDefault="00B42187" w:rsidP="00567F6B">
      <w:pPr>
        <w:pStyle w:val="FocusbodyText"/>
      </w:pPr>
      <w:r w:rsidRPr="00B42187">
        <w:t xml:space="preserve">The key </w:t>
      </w:r>
      <w:r w:rsidR="00567F6B" w:rsidRPr="00567F6B">
        <w:t>Post-Consumer Recycled Content (PCR</w:t>
      </w:r>
      <w:r w:rsidR="00567F6B" w:rsidRPr="00B42187">
        <w:t>C</w:t>
      </w:r>
      <w:r w:rsidR="00567F6B" w:rsidRPr="00567F6B">
        <w:t xml:space="preserve">) Oversight </w:t>
      </w:r>
      <w:r w:rsidRPr="00B42187">
        <w:t>w</w:t>
      </w:r>
      <w:r w:rsidR="00F441A0" w:rsidRPr="00B42187">
        <w:t xml:space="preserve">orkload </w:t>
      </w:r>
      <w:r w:rsidRPr="00B42187">
        <w:t>e</w:t>
      </w:r>
      <w:r w:rsidR="00F441A0" w:rsidRPr="00B42187">
        <w:t>lements</w:t>
      </w:r>
      <w:r w:rsidRPr="00B42187">
        <w:t xml:space="preserve"> are as follows</w:t>
      </w:r>
      <w:r w:rsidR="00751B64">
        <w:t>:</w:t>
      </w:r>
    </w:p>
    <w:p w14:paraId="1DB0EECE" w14:textId="7B93751A" w:rsidR="00567F6B" w:rsidRPr="00567F6B" w:rsidRDefault="00567F6B" w:rsidP="00567F6B">
      <w:pPr>
        <w:pStyle w:val="FocusbodyText"/>
        <w:numPr>
          <w:ilvl w:val="0"/>
          <w:numId w:val="19"/>
        </w:numPr>
      </w:pPr>
      <w:r>
        <w:t>Providing T</w:t>
      </w:r>
      <w:r w:rsidRPr="00567F6B">
        <w:t xml:space="preserve">echnical </w:t>
      </w:r>
      <w:r w:rsidR="008B75CE">
        <w:t>A</w:t>
      </w:r>
      <w:r w:rsidR="008B75CE" w:rsidRPr="00567F6B">
        <w:t xml:space="preserve">ssistance </w:t>
      </w:r>
      <w:r w:rsidRPr="00567F6B">
        <w:t>for PCR</w:t>
      </w:r>
      <w:r>
        <w:t>C</w:t>
      </w:r>
      <w:r w:rsidRPr="00567F6B">
        <w:t xml:space="preserve"> requirements and annual reports</w:t>
      </w:r>
    </w:p>
    <w:p w14:paraId="27C61F9E" w14:textId="77777777" w:rsidR="00567F6B" w:rsidRDefault="00567F6B" w:rsidP="00567F6B">
      <w:pPr>
        <w:pStyle w:val="FocusbodyText"/>
        <w:numPr>
          <w:ilvl w:val="0"/>
          <w:numId w:val="19"/>
        </w:numPr>
      </w:pPr>
      <w:r w:rsidRPr="00567F6B">
        <w:t>Reviewing and posting annual report data</w:t>
      </w:r>
    </w:p>
    <w:p w14:paraId="76B7AE83" w14:textId="77777777" w:rsidR="00567F6B" w:rsidRDefault="00567F6B" w:rsidP="00567F6B">
      <w:pPr>
        <w:pStyle w:val="FocusbodyText"/>
        <w:numPr>
          <w:ilvl w:val="0"/>
          <w:numId w:val="19"/>
        </w:numPr>
      </w:pPr>
      <w:r>
        <w:t>Developing and maintaining the annual reporting online platform and database</w:t>
      </w:r>
    </w:p>
    <w:p w14:paraId="7FAEC7AE" w14:textId="194557C9" w:rsidR="00567F6B" w:rsidRPr="00567F6B" w:rsidRDefault="00567F6B" w:rsidP="00567F6B">
      <w:pPr>
        <w:pStyle w:val="FocusbodyText"/>
        <w:numPr>
          <w:ilvl w:val="0"/>
          <w:numId w:val="19"/>
        </w:numPr>
      </w:pPr>
      <w:r>
        <w:t>Evaluating requests for PCRC rate adjustments and temporary exclusions</w:t>
      </w:r>
    </w:p>
    <w:p w14:paraId="6F2F5438" w14:textId="77777777" w:rsidR="00567F6B" w:rsidRPr="00567F6B" w:rsidRDefault="00567F6B" w:rsidP="00567F6B">
      <w:pPr>
        <w:pStyle w:val="FocusbodyText"/>
        <w:numPr>
          <w:ilvl w:val="0"/>
          <w:numId w:val="19"/>
        </w:numPr>
      </w:pPr>
      <w:r w:rsidRPr="00567F6B">
        <w:t>Facilitating compliance</w:t>
      </w:r>
      <w:r>
        <w:t xml:space="preserve"> with PCRC requirements</w:t>
      </w:r>
    </w:p>
    <w:p w14:paraId="608D4E3F" w14:textId="613FA8CE" w:rsidR="00C309A8" w:rsidRPr="003626F5" w:rsidRDefault="00064958" w:rsidP="00064958">
      <w:pPr>
        <w:pStyle w:val="FocusbodyText"/>
        <w:rPr>
          <w:rStyle w:val="FocusH3Char"/>
          <w:rFonts w:asciiTheme="minorHAnsi" w:hAnsiTheme="minorHAnsi"/>
          <w:color w:val="auto"/>
        </w:rPr>
      </w:pPr>
      <w:r>
        <w:t>The following two tables summarize the workload assumptions for the forthcoming fiscal year and the resulting cost estimates.</w:t>
      </w:r>
    </w:p>
    <w:p w14:paraId="2BF2FF64" w14:textId="182C71BA" w:rsidR="00064958" w:rsidRDefault="00064958" w:rsidP="00064958">
      <w:pPr>
        <w:pStyle w:val="FocusbodyText"/>
      </w:pPr>
      <w:r w:rsidRPr="00F441A0">
        <w:rPr>
          <w:rStyle w:val="FocusH3Char"/>
        </w:rPr>
        <w:t xml:space="preserve">Table </w:t>
      </w:r>
      <w:r>
        <w:rPr>
          <w:rStyle w:val="FocusH3Char"/>
        </w:rPr>
        <w:t>4</w:t>
      </w:r>
      <w:r w:rsidRPr="00F441A0">
        <w:rPr>
          <w:rStyle w:val="FocusH3Char"/>
        </w:rPr>
        <w:t xml:space="preserve">: Estimated </w:t>
      </w:r>
      <w:r w:rsidR="008B75CE">
        <w:rPr>
          <w:rStyle w:val="FocusH3Char"/>
        </w:rPr>
        <w:t>p</w:t>
      </w:r>
      <w:r w:rsidRPr="00F441A0">
        <w:rPr>
          <w:rStyle w:val="FocusH3Char"/>
        </w:rPr>
        <w:t xml:space="preserve">rogram </w:t>
      </w:r>
      <w:r>
        <w:rPr>
          <w:rStyle w:val="FocusH3Char"/>
        </w:rPr>
        <w:t xml:space="preserve">PCRC </w:t>
      </w:r>
      <w:r w:rsidR="008B75CE">
        <w:rPr>
          <w:rStyle w:val="FocusH3Char"/>
        </w:rPr>
        <w:t>o</w:t>
      </w:r>
      <w:r>
        <w:rPr>
          <w:rStyle w:val="FocusH3Char"/>
        </w:rPr>
        <w:t>versight</w:t>
      </w:r>
      <w:r w:rsidRPr="00F441A0">
        <w:rPr>
          <w:rStyle w:val="FocusH3Char"/>
        </w:rPr>
        <w:t xml:space="preserve"> </w:t>
      </w:r>
      <w:r w:rsidR="008B75CE">
        <w:rPr>
          <w:rStyle w:val="FocusH3Char"/>
        </w:rPr>
        <w:t>w</w:t>
      </w:r>
      <w:r w:rsidRPr="00F441A0">
        <w:rPr>
          <w:rStyle w:val="FocusH3Char"/>
        </w:rPr>
        <w:t xml:space="preserve">orkload by </w:t>
      </w:r>
      <w:r w:rsidR="008B75CE">
        <w:rPr>
          <w:rStyle w:val="FocusH3Char"/>
        </w:rPr>
        <w:t>p</w:t>
      </w:r>
      <w:r w:rsidR="005D1512">
        <w:rPr>
          <w:rStyle w:val="FocusH3Char"/>
        </w:rPr>
        <w:t xml:space="preserve">osition and </w:t>
      </w:r>
      <w:r w:rsidRPr="00F441A0">
        <w:rPr>
          <w:rStyle w:val="FocusH3Char"/>
        </w:rPr>
        <w:t>Full-Time Equivalent (FTE)</w:t>
      </w:r>
    </w:p>
    <w:tbl>
      <w:tblPr>
        <w:tblStyle w:val="TableGrid"/>
        <w:tblW w:w="0" w:type="auto"/>
        <w:tblLook w:val="04A0" w:firstRow="1" w:lastRow="0" w:firstColumn="1" w:lastColumn="0" w:noHBand="0" w:noVBand="1"/>
        <w:tblCaption w:val="Table 4:  Estimated PCRC Oversight Workload by Full-Time Equivalent and Position"/>
        <w:tblDescription w:val="This table summarizes the positions and their planned PCRC oversight work in the upcoming fiscal year.  It provides the positions' key roles and their job classifications.  This staff time is used to estimate salary and benefit costs and agency standard costs, such as travel, goods and services, equipment, and agency overhead, as described in table 5. "/>
      </w:tblPr>
      <w:tblGrid>
        <w:gridCol w:w="3145"/>
        <w:gridCol w:w="2880"/>
        <w:gridCol w:w="6120"/>
        <w:gridCol w:w="1170"/>
        <w:gridCol w:w="1075"/>
      </w:tblGrid>
      <w:tr w:rsidR="00064958" w:rsidRPr="00F441A0" w14:paraId="515775D4" w14:textId="77777777" w:rsidTr="00C309A8">
        <w:trPr>
          <w:trHeight w:val="348"/>
        </w:trPr>
        <w:tc>
          <w:tcPr>
            <w:tcW w:w="3145" w:type="dxa"/>
            <w:shd w:val="clear" w:color="auto" w:fill="D9D9D9" w:themeFill="background1" w:themeFillShade="D9"/>
            <w:hideMark/>
          </w:tcPr>
          <w:p w14:paraId="243C7AD1" w14:textId="77777777" w:rsidR="00064958" w:rsidRPr="00F441A0" w:rsidRDefault="00064958" w:rsidP="005D1512">
            <w:pPr>
              <w:pStyle w:val="FocusbodyText"/>
              <w:spacing w:after="0"/>
              <w:jc w:val="center"/>
              <w:rPr>
                <w:b/>
                <w:bCs/>
              </w:rPr>
            </w:pPr>
            <w:r w:rsidRPr="00F441A0">
              <w:rPr>
                <w:b/>
                <w:bCs/>
              </w:rPr>
              <w:t>Position</w:t>
            </w:r>
          </w:p>
        </w:tc>
        <w:tc>
          <w:tcPr>
            <w:tcW w:w="2880" w:type="dxa"/>
            <w:shd w:val="clear" w:color="auto" w:fill="D9D9D9" w:themeFill="background1" w:themeFillShade="D9"/>
            <w:hideMark/>
          </w:tcPr>
          <w:p w14:paraId="3F407573" w14:textId="42B1C4F7" w:rsidR="00064958" w:rsidRPr="00F441A0" w:rsidRDefault="00064958" w:rsidP="005D1512">
            <w:pPr>
              <w:pStyle w:val="FocusbodyText"/>
              <w:spacing w:after="0"/>
              <w:jc w:val="center"/>
              <w:rPr>
                <w:b/>
                <w:bCs/>
              </w:rPr>
            </w:pPr>
            <w:r w:rsidRPr="00F441A0">
              <w:rPr>
                <w:b/>
                <w:bCs/>
              </w:rPr>
              <w:t>Job Classification</w:t>
            </w:r>
          </w:p>
        </w:tc>
        <w:tc>
          <w:tcPr>
            <w:tcW w:w="6120" w:type="dxa"/>
            <w:shd w:val="clear" w:color="auto" w:fill="D9D9D9" w:themeFill="background1" w:themeFillShade="D9"/>
            <w:hideMark/>
          </w:tcPr>
          <w:p w14:paraId="26E6883B" w14:textId="100F20DA" w:rsidR="00064958" w:rsidRPr="00F441A0" w:rsidRDefault="00064958" w:rsidP="005D1512">
            <w:pPr>
              <w:pStyle w:val="FocusbodyText"/>
              <w:spacing w:after="0"/>
              <w:jc w:val="center"/>
              <w:rPr>
                <w:b/>
                <w:bCs/>
              </w:rPr>
            </w:pPr>
            <w:r w:rsidRPr="00F441A0">
              <w:rPr>
                <w:b/>
                <w:bCs/>
              </w:rPr>
              <w:t>Role</w:t>
            </w:r>
          </w:p>
        </w:tc>
        <w:tc>
          <w:tcPr>
            <w:tcW w:w="1170" w:type="dxa"/>
            <w:shd w:val="clear" w:color="auto" w:fill="D9D9D9" w:themeFill="background1" w:themeFillShade="D9"/>
            <w:hideMark/>
          </w:tcPr>
          <w:p w14:paraId="750515E6" w14:textId="5F96E151" w:rsidR="00064958" w:rsidRPr="00F441A0" w:rsidRDefault="00064958" w:rsidP="005D1512">
            <w:pPr>
              <w:pStyle w:val="FocusbodyText"/>
              <w:spacing w:after="0"/>
              <w:jc w:val="center"/>
              <w:rPr>
                <w:b/>
                <w:bCs/>
              </w:rPr>
            </w:pPr>
            <w:r w:rsidRPr="00F441A0">
              <w:rPr>
                <w:b/>
                <w:bCs/>
              </w:rPr>
              <w:t>Standard Salary</w:t>
            </w:r>
          </w:p>
        </w:tc>
        <w:tc>
          <w:tcPr>
            <w:tcW w:w="1075" w:type="dxa"/>
            <w:shd w:val="clear" w:color="auto" w:fill="D9D9D9" w:themeFill="background1" w:themeFillShade="D9"/>
            <w:hideMark/>
          </w:tcPr>
          <w:p w14:paraId="5F2609EB" w14:textId="797D722C" w:rsidR="00064958" w:rsidRPr="00F441A0" w:rsidRDefault="00064958" w:rsidP="005D1512">
            <w:pPr>
              <w:pStyle w:val="FocusbodyText"/>
              <w:spacing w:after="0"/>
              <w:jc w:val="center"/>
              <w:rPr>
                <w:b/>
                <w:bCs/>
              </w:rPr>
            </w:pPr>
            <w:r w:rsidRPr="00F441A0">
              <w:rPr>
                <w:b/>
                <w:bCs/>
              </w:rPr>
              <w:t>FY 202</w:t>
            </w:r>
            <w:r>
              <w:rPr>
                <w:b/>
                <w:bCs/>
              </w:rPr>
              <w:t>4</w:t>
            </w:r>
            <w:r w:rsidRPr="00F441A0">
              <w:rPr>
                <w:b/>
                <w:bCs/>
              </w:rPr>
              <w:t xml:space="preserve"> FTE</w:t>
            </w:r>
          </w:p>
        </w:tc>
      </w:tr>
      <w:tr w:rsidR="00064958" w:rsidRPr="00F441A0" w14:paraId="49A914B3" w14:textId="77777777" w:rsidTr="00C309A8">
        <w:trPr>
          <w:trHeight w:val="528"/>
        </w:trPr>
        <w:tc>
          <w:tcPr>
            <w:tcW w:w="3145" w:type="dxa"/>
            <w:noWrap/>
            <w:hideMark/>
          </w:tcPr>
          <w:p w14:paraId="235030B7" w14:textId="77777777" w:rsidR="00064958" w:rsidRPr="00F441A0" w:rsidRDefault="00064958" w:rsidP="00064958">
            <w:pPr>
              <w:pStyle w:val="FocusbodyText"/>
              <w:spacing w:after="0"/>
              <w:rPr>
                <w:b/>
                <w:bCs/>
              </w:rPr>
            </w:pPr>
            <w:r w:rsidRPr="00F441A0">
              <w:rPr>
                <w:b/>
                <w:bCs/>
              </w:rPr>
              <w:t>Plastic Packaging Subject Lead</w:t>
            </w:r>
          </w:p>
        </w:tc>
        <w:tc>
          <w:tcPr>
            <w:tcW w:w="2880" w:type="dxa"/>
            <w:noWrap/>
            <w:hideMark/>
          </w:tcPr>
          <w:p w14:paraId="5669A922" w14:textId="77777777" w:rsidR="00064958" w:rsidRPr="00F441A0" w:rsidRDefault="00064958" w:rsidP="00064958">
            <w:pPr>
              <w:pStyle w:val="FocusbodyText"/>
              <w:spacing w:after="0"/>
              <w:rPr>
                <w:b/>
                <w:bCs/>
              </w:rPr>
            </w:pPr>
            <w:r w:rsidRPr="00F441A0">
              <w:rPr>
                <w:b/>
                <w:bCs/>
              </w:rPr>
              <w:t>Environmental Planner 4</w:t>
            </w:r>
          </w:p>
        </w:tc>
        <w:tc>
          <w:tcPr>
            <w:tcW w:w="6120" w:type="dxa"/>
            <w:hideMark/>
          </w:tcPr>
          <w:p w14:paraId="6316A6C0" w14:textId="783909A8" w:rsidR="00064958" w:rsidRDefault="00064958" w:rsidP="00064958">
            <w:pPr>
              <w:pStyle w:val="FocusbodyText"/>
              <w:spacing w:after="0"/>
            </w:pPr>
            <w:r w:rsidRPr="00A919F3">
              <w:t xml:space="preserve">Implement </w:t>
            </w:r>
            <w:r w:rsidR="008B75CE">
              <w:t xml:space="preserve">a </w:t>
            </w:r>
            <w:r w:rsidRPr="00A919F3">
              <w:t>process for reviewing requests for PCRC rate adjustments and temporary exclusions</w:t>
            </w:r>
            <w:r w:rsidR="00501DF1">
              <w:t>, and provide technical and policy guidance for reporting procedures</w:t>
            </w:r>
          </w:p>
          <w:p w14:paraId="2E8A5039" w14:textId="475A024A" w:rsidR="00501DF1" w:rsidRPr="00F441A0" w:rsidRDefault="00501DF1" w:rsidP="00064958">
            <w:pPr>
              <w:pStyle w:val="FocusbodyText"/>
              <w:spacing w:after="0"/>
            </w:pPr>
          </w:p>
        </w:tc>
        <w:tc>
          <w:tcPr>
            <w:tcW w:w="1170" w:type="dxa"/>
            <w:noWrap/>
            <w:hideMark/>
          </w:tcPr>
          <w:p w14:paraId="0B347081" w14:textId="77777777" w:rsidR="00064958" w:rsidRPr="00F441A0" w:rsidRDefault="00064958" w:rsidP="005D1512">
            <w:pPr>
              <w:pStyle w:val="FocusbodyText"/>
              <w:spacing w:after="0"/>
              <w:jc w:val="right"/>
            </w:pPr>
            <w:r w:rsidRPr="00F441A0">
              <w:t xml:space="preserve">$89,292 </w:t>
            </w:r>
          </w:p>
        </w:tc>
        <w:tc>
          <w:tcPr>
            <w:tcW w:w="1075" w:type="dxa"/>
            <w:noWrap/>
            <w:hideMark/>
          </w:tcPr>
          <w:p w14:paraId="75CCB783" w14:textId="649D5E6B" w:rsidR="00064958" w:rsidRPr="00F441A0" w:rsidRDefault="00064958" w:rsidP="005D1512">
            <w:pPr>
              <w:pStyle w:val="FocusbodyText"/>
              <w:spacing w:after="0"/>
              <w:jc w:val="right"/>
            </w:pPr>
            <w:r w:rsidRPr="00861054">
              <w:t xml:space="preserve"> 0.40 </w:t>
            </w:r>
          </w:p>
        </w:tc>
      </w:tr>
      <w:tr w:rsidR="00064958" w:rsidRPr="00F441A0" w14:paraId="0021B01C" w14:textId="77777777" w:rsidTr="00C309A8">
        <w:trPr>
          <w:trHeight w:val="710"/>
        </w:trPr>
        <w:tc>
          <w:tcPr>
            <w:tcW w:w="3145" w:type="dxa"/>
            <w:noWrap/>
            <w:hideMark/>
          </w:tcPr>
          <w:p w14:paraId="5E37FA75" w14:textId="77777777" w:rsidR="00064958" w:rsidRPr="00F441A0" w:rsidRDefault="00064958" w:rsidP="00064958">
            <w:pPr>
              <w:pStyle w:val="FocusbodyText"/>
              <w:spacing w:after="0"/>
              <w:rPr>
                <w:b/>
                <w:bCs/>
              </w:rPr>
            </w:pPr>
            <w:r w:rsidRPr="00F441A0">
              <w:rPr>
                <w:b/>
                <w:bCs/>
              </w:rPr>
              <w:t>IT App Developer</w:t>
            </w:r>
          </w:p>
        </w:tc>
        <w:tc>
          <w:tcPr>
            <w:tcW w:w="2880" w:type="dxa"/>
            <w:noWrap/>
            <w:hideMark/>
          </w:tcPr>
          <w:p w14:paraId="24904009" w14:textId="5948B3CF" w:rsidR="00064958" w:rsidRPr="00F441A0" w:rsidRDefault="00064958" w:rsidP="00064958">
            <w:pPr>
              <w:pStyle w:val="FocusbodyText"/>
              <w:spacing w:after="0"/>
              <w:rPr>
                <w:b/>
                <w:bCs/>
              </w:rPr>
            </w:pPr>
            <w:r w:rsidRPr="00F441A0">
              <w:rPr>
                <w:b/>
                <w:bCs/>
              </w:rPr>
              <w:t>I</w:t>
            </w:r>
            <w:r w:rsidR="00B50AFC">
              <w:rPr>
                <w:b/>
                <w:bCs/>
              </w:rPr>
              <w:t>T</w:t>
            </w:r>
            <w:r w:rsidRPr="00F441A0">
              <w:rPr>
                <w:b/>
                <w:bCs/>
              </w:rPr>
              <w:t xml:space="preserve"> App Development</w:t>
            </w:r>
            <w:r w:rsidR="00B50AFC">
              <w:rPr>
                <w:b/>
                <w:bCs/>
              </w:rPr>
              <w:t xml:space="preserve"> </w:t>
            </w:r>
            <w:r w:rsidRPr="00F441A0">
              <w:rPr>
                <w:b/>
                <w:bCs/>
              </w:rPr>
              <w:t>-Journey</w:t>
            </w:r>
          </w:p>
        </w:tc>
        <w:tc>
          <w:tcPr>
            <w:tcW w:w="6120" w:type="dxa"/>
            <w:hideMark/>
          </w:tcPr>
          <w:p w14:paraId="4CF55177" w14:textId="621A777F" w:rsidR="00064958" w:rsidRPr="00F441A0" w:rsidRDefault="00064958" w:rsidP="00064958">
            <w:pPr>
              <w:pStyle w:val="FocusbodyText"/>
              <w:spacing w:after="0"/>
            </w:pPr>
            <w:r w:rsidRPr="00A919F3">
              <w:t>Develop and maintain the annual reporting online platform and database</w:t>
            </w:r>
          </w:p>
        </w:tc>
        <w:tc>
          <w:tcPr>
            <w:tcW w:w="1170" w:type="dxa"/>
            <w:noWrap/>
            <w:hideMark/>
          </w:tcPr>
          <w:p w14:paraId="7A4324E8" w14:textId="77777777" w:rsidR="00064958" w:rsidRPr="00F441A0" w:rsidRDefault="00064958" w:rsidP="005D1512">
            <w:pPr>
              <w:pStyle w:val="FocusbodyText"/>
              <w:spacing w:after="0"/>
              <w:jc w:val="right"/>
            </w:pPr>
            <w:r w:rsidRPr="00F441A0">
              <w:t xml:space="preserve">$100,032 </w:t>
            </w:r>
          </w:p>
        </w:tc>
        <w:tc>
          <w:tcPr>
            <w:tcW w:w="1075" w:type="dxa"/>
            <w:noWrap/>
            <w:hideMark/>
          </w:tcPr>
          <w:p w14:paraId="7CEBE0F2" w14:textId="111DDDA6" w:rsidR="00064958" w:rsidRPr="00F441A0" w:rsidRDefault="00064958" w:rsidP="005D1512">
            <w:pPr>
              <w:pStyle w:val="FocusbodyText"/>
              <w:spacing w:after="0"/>
              <w:jc w:val="right"/>
            </w:pPr>
            <w:r w:rsidRPr="00861054">
              <w:t xml:space="preserve"> 0.40 </w:t>
            </w:r>
          </w:p>
        </w:tc>
      </w:tr>
      <w:tr w:rsidR="00B50AFC" w:rsidRPr="00F441A0" w14:paraId="38C217E7" w14:textId="77777777" w:rsidTr="00C309A8">
        <w:trPr>
          <w:trHeight w:val="710"/>
        </w:trPr>
        <w:tc>
          <w:tcPr>
            <w:tcW w:w="3145" w:type="dxa"/>
            <w:noWrap/>
          </w:tcPr>
          <w:p w14:paraId="20629EBA" w14:textId="2AAC3AF8" w:rsidR="00B50AFC" w:rsidRPr="00F441A0" w:rsidRDefault="00B50AFC" w:rsidP="00B50AFC">
            <w:pPr>
              <w:pStyle w:val="FocusbodyText"/>
              <w:spacing w:after="0"/>
              <w:rPr>
                <w:b/>
                <w:bCs/>
              </w:rPr>
            </w:pPr>
            <w:r>
              <w:rPr>
                <w:b/>
                <w:bCs/>
              </w:rPr>
              <w:t>IT Business Analyst</w:t>
            </w:r>
          </w:p>
        </w:tc>
        <w:tc>
          <w:tcPr>
            <w:tcW w:w="2880" w:type="dxa"/>
            <w:noWrap/>
          </w:tcPr>
          <w:p w14:paraId="0270154C" w14:textId="2C5EF950" w:rsidR="00B50AFC" w:rsidRPr="00F441A0" w:rsidRDefault="00B50AFC" w:rsidP="00B50AFC">
            <w:pPr>
              <w:pStyle w:val="FocusbodyText"/>
              <w:spacing w:after="0"/>
              <w:rPr>
                <w:b/>
                <w:bCs/>
              </w:rPr>
            </w:pPr>
            <w:r>
              <w:rPr>
                <w:b/>
                <w:bCs/>
              </w:rPr>
              <w:t>IT Business Analyst - Journey</w:t>
            </w:r>
          </w:p>
        </w:tc>
        <w:tc>
          <w:tcPr>
            <w:tcW w:w="6120" w:type="dxa"/>
          </w:tcPr>
          <w:p w14:paraId="20EDC247" w14:textId="797BF5AD" w:rsidR="00B50AFC" w:rsidRPr="00A919F3" w:rsidRDefault="00B50AFC" w:rsidP="00B50AFC">
            <w:pPr>
              <w:pStyle w:val="FocusbodyText"/>
              <w:spacing w:after="0"/>
            </w:pPr>
            <w:r w:rsidRPr="00B50AFC">
              <w:t>Coordinate with subject matter experts to gather user stories and define system needs; coordinate user testing and development of system guidance</w:t>
            </w:r>
          </w:p>
        </w:tc>
        <w:tc>
          <w:tcPr>
            <w:tcW w:w="1170" w:type="dxa"/>
            <w:noWrap/>
          </w:tcPr>
          <w:p w14:paraId="5C42E414" w14:textId="3383BCB5" w:rsidR="00B50AFC" w:rsidRPr="00F441A0" w:rsidRDefault="00C309A8" w:rsidP="00B50AFC">
            <w:pPr>
              <w:pStyle w:val="FocusbodyText"/>
              <w:spacing w:after="0"/>
              <w:jc w:val="right"/>
            </w:pPr>
            <w:r>
              <w:t>$100,032</w:t>
            </w:r>
          </w:p>
        </w:tc>
        <w:tc>
          <w:tcPr>
            <w:tcW w:w="1075" w:type="dxa"/>
            <w:noWrap/>
          </w:tcPr>
          <w:p w14:paraId="0D34AC49" w14:textId="13FF2C1E" w:rsidR="00B50AFC" w:rsidRPr="00861054" w:rsidRDefault="00B50AFC" w:rsidP="00B50AFC">
            <w:pPr>
              <w:pStyle w:val="FocusbodyText"/>
              <w:spacing w:after="0"/>
              <w:jc w:val="right"/>
            </w:pPr>
            <w:r>
              <w:t>0.20</w:t>
            </w:r>
          </w:p>
        </w:tc>
      </w:tr>
      <w:tr w:rsidR="00B50AFC" w:rsidRPr="00F441A0" w14:paraId="5EA4F1B9" w14:textId="77777777" w:rsidTr="00B55FD1">
        <w:trPr>
          <w:trHeight w:val="710"/>
        </w:trPr>
        <w:tc>
          <w:tcPr>
            <w:tcW w:w="3145" w:type="dxa"/>
            <w:noWrap/>
            <w:hideMark/>
          </w:tcPr>
          <w:p w14:paraId="276DCFF4" w14:textId="77777777" w:rsidR="00B50AFC" w:rsidRPr="00F441A0" w:rsidRDefault="00B50AFC" w:rsidP="00B50AFC">
            <w:pPr>
              <w:pStyle w:val="FocusbodyText"/>
              <w:spacing w:after="0"/>
              <w:rPr>
                <w:b/>
                <w:bCs/>
              </w:rPr>
            </w:pPr>
            <w:r w:rsidRPr="00F441A0">
              <w:rPr>
                <w:b/>
                <w:bCs/>
              </w:rPr>
              <w:t>Technical Assistance/Compliance</w:t>
            </w:r>
          </w:p>
        </w:tc>
        <w:tc>
          <w:tcPr>
            <w:tcW w:w="2880" w:type="dxa"/>
            <w:tcBorders>
              <w:bottom w:val="single" w:sz="4" w:space="0" w:color="auto"/>
            </w:tcBorders>
            <w:noWrap/>
            <w:hideMark/>
          </w:tcPr>
          <w:p w14:paraId="3ACF9CCF" w14:textId="77777777" w:rsidR="00B50AFC" w:rsidRPr="00F441A0" w:rsidRDefault="00B50AFC" w:rsidP="00B50AFC">
            <w:pPr>
              <w:pStyle w:val="FocusbodyText"/>
              <w:spacing w:after="0"/>
              <w:rPr>
                <w:b/>
                <w:bCs/>
              </w:rPr>
            </w:pPr>
            <w:r w:rsidRPr="00F441A0">
              <w:rPr>
                <w:b/>
                <w:bCs/>
              </w:rPr>
              <w:t>Environmental Specialist 3</w:t>
            </w:r>
          </w:p>
        </w:tc>
        <w:tc>
          <w:tcPr>
            <w:tcW w:w="6120" w:type="dxa"/>
            <w:tcBorders>
              <w:bottom w:val="single" w:sz="4" w:space="0" w:color="auto"/>
            </w:tcBorders>
            <w:hideMark/>
          </w:tcPr>
          <w:p w14:paraId="49BF78E8" w14:textId="0CD7BD16" w:rsidR="00B50AFC" w:rsidRPr="00F441A0" w:rsidRDefault="00B50AFC" w:rsidP="00B50AFC">
            <w:pPr>
              <w:pStyle w:val="FocusbodyText"/>
              <w:spacing w:after="0"/>
            </w:pPr>
            <w:r w:rsidRPr="00A919F3">
              <w:t>Provide technical assistance and compliance support for PCRC requirements and reporting; post required annual reporting data to the website</w:t>
            </w:r>
          </w:p>
        </w:tc>
        <w:tc>
          <w:tcPr>
            <w:tcW w:w="1170" w:type="dxa"/>
            <w:tcBorders>
              <w:bottom w:val="single" w:sz="4" w:space="0" w:color="auto"/>
            </w:tcBorders>
            <w:noWrap/>
            <w:hideMark/>
          </w:tcPr>
          <w:p w14:paraId="518E2F9A" w14:textId="77777777" w:rsidR="00B50AFC" w:rsidRPr="00F441A0" w:rsidRDefault="00B50AFC" w:rsidP="00B50AFC">
            <w:pPr>
              <w:pStyle w:val="FocusbodyText"/>
              <w:spacing w:after="0"/>
              <w:jc w:val="right"/>
            </w:pPr>
            <w:r w:rsidRPr="00F441A0">
              <w:t xml:space="preserve">$63,216 </w:t>
            </w:r>
          </w:p>
        </w:tc>
        <w:tc>
          <w:tcPr>
            <w:tcW w:w="1075" w:type="dxa"/>
            <w:noWrap/>
            <w:hideMark/>
          </w:tcPr>
          <w:p w14:paraId="56C5002F" w14:textId="6EDC4CAF" w:rsidR="00B50AFC" w:rsidRPr="00F441A0" w:rsidRDefault="00B50AFC" w:rsidP="00B50AFC">
            <w:pPr>
              <w:pStyle w:val="FocusbodyText"/>
              <w:spacing w:after="0"/>
              <w:jc w:val="right"/>
            </w:pPr>
            <w:r w:rsidRPr="00861054">
              <w:t xml:space="preserve"> 0.50 </w:t>
            </w:r>
          </w:p>
        </w:tc>
      </w:tr>
      <w:tr w:rsidR="003626F5" w:rsidRPr="00F441A0" w14:paraId="23507E7C" w14:textId="77777777" w:rsidTr="00BE2882">
        <w:trPr>
          <w:trHeight w:val="710"/>
        </w:trPr>
        <w:tc>
          <w:tcPr>
            <w:tcW w:w="3145" w:type="dxa"/>
            <w:tcBorders>
              <w:bottom w:val="single" w:sz="4" w:space="0" w:color="auto"/>
              <w:right w:val="single" w:sz="4" w:space="0" w:color="auto"/>
            </w:tcBorders>
            <w:noWrap/>
          </w:tcPr>
          <w:p w14:paraId="6BDEB662" w14:textId="6752CA28" w:rsidR="003626F5" w:rsidRPr="00F441A0" w:rsidRDefault="003626F5" w:rsidP="003626F5">
            <w:pPr>
              <w:pStyle w:val="FocusbodyText"/>
              <w:spacing w:after="0"/>
              <w:rPr>
                <w:b/>
                <w:bCs/>
              </w:rPr>
            </w:pPr>
            <w:r w:rsidRPr="00F441A0">
              <w:rPr>
                <w:b/>
                <w:bCs/>
              </w:rPr>
              <w:t>Agency Admin</w:t>
            </w:r>
            <w:r>
              <w:rPr>
                <w:b/>
                <w:bCs/>
              </w:rPr>
              <w:t>istrative</w:t>
            </w:r>
            <w:r w:rsidRPr="00F441A0">
              <w:rPr>
                <w:b/>
                <w:bCs/>
              </w:rPr>
              <w:t xml:space="preserve"> Overhead</w:t>
            </w:r>
          </w:p>
        </w:tc>
        <w:tc>
          <w:tcPr>
            <w:tcW w:w="2880" w:type="dxa"/>
            <w:tcBorders>
              <w:top w:val="single" w:sz="4" w:space="0" w:color="auto"/>
              <w:left w:val="single" w:sz="4" w:space="0" w:color="auto"/>
              <w:bottom w:val="single" w:sz="4" w:space="0" w:color="auto"/>
              <w:right w:val="nil"/>
            </w:tcBorders>
            <w:noWrap/>
          </w:tcPr>
          <w:p w14:paraId="5A07B500" w14:textId="77777777" w:rsidR="003626F5" w:rsidRPr="00F441A0" w:rsidRDefault="003626F5" w:rsidP="00BE2882">
            <w:pPr>
              <w:pStyle w:val="FocusbodyText"/>
              <w:spacing w:after="0"/>
              <w:rPr>
                <w:b/>
                <w:bCs/>
              </w:rPr>
            </w:pPr>
          </w:p>
        </w:tc>
        <w:tc>
          <w:tcPr>
            <w:tcW w:w="6120" w:type="dxa"/>
            <w:tcBorders>
              <w:top w:val="single" w:sz="4" w:space="0" w:color="auto"/>
              <w:left w:val="nil"/>
              <w:bottom w:val="single" w:sz="4" w:space="0" w:color="auto"/>
              <w:right w:val="nil"/>
            </w:tcBorders>
          </w:tcPr>
          <w:p w14:paraId="74B7B450" w14:textId="0E2865B7" w:rsidR="003626F5" w:rsidRPr="00A919F3" w:rsidRDefault="00240E49" w:rsidP="00BE2882">
            <w:pPr>
              <w:pStyle w:val="FocusbodyText"/>
              <w:spacing w:after="0"/>
            </w:pPr>
            <w:r>
              <w:t>S</w:t>
            </w:r>
            <w:r w:rsidR="003626F5" w:rsidRPr="00F441A0">
              <w:t xml:space="preserve">ee notes on costs </w:t>
            </w:r>
            <w:r w:rsidR="003626F5">
              <w:t xml:space="preserve">in the table </w:t>
            </w:r>
            <w:r w:rsidR="003626F5" w:rsidRPr="00F441A0">
              <w:t>below</w:t>
            </w:r>
          </w:p>
        </w:tc>
        <w:tc>
          <w:tcPr>
            <w:tcW w:w="1170" w:type="dxa"/>
            <w:tcBorders>
              <w:top w:val="single" w:sz="4" w:space="0" w:color="auto"/>
              <w:left w:val="nil"/>
              <w:bottom w:val="single" w:sz="4" w:space="0" w:color="auto"/>
              <w:right w:val="single" w:sz="4" w:space="0" w:color="auto"/>
            </w:tcBorders>
            <w:noWrap/>
          </w:tcPr>
          <w:p w14:paraId="468D4FCE" w14:textId="77777777" w:rsidR="003626F5" w:rsidRPr="00F441A0" w:rsidRDefault="003626F5" w:rsidP="003626F5">
            <w:pPr>
              <w:pStyle w:val="FocusbodyText"/>
              <w:spacing w:after="0"/>
              <w:jc w:val="right"/>
            </w:pPr>
          </w:p>
        </w:tc>
        <w:tc>
          <w:tcPr>
            <w:tcW w:w="1075" w:type="dxa"/>
            <w:tcBorders>
              <w:left w:val="single" w:sz="4" w:space="0" w:color="auto"/>
              <w:bottom w:val="single" w:sz="4" w:space="0" w:color="auto"/>
            </w:tcBorders>
            <w:noWrap/>
          </w:tcPr>
          <w:p w14:paraId="363B7DA9" w14:textId="1E476452" w:rsidR="003626F5" w:rsidRPr="00861054" w:rsidRDefault="003626F5" w:rsidP="003626F5">
            <w:pPr>
              <w:pStyle w:val="FocusbodyText"/>
              <w:spacing w:after="0"/>
              <w:jc w:val="right"/>
            </w:pPr>
            <w:r w:rsidRPr="00F441A0">
              <w:t>0.</w:t>
            </w:r>
            <w:r>
              <w:t>21</w:t>
            </w:r>
          </w:p>
        </w:tc>
      </w:tr>
      <w:tr w:rsidR="003626F5" w:rsidRPr="00F441A0" w14:paraId="2FFF0FBB" w14:textId="77777777" w:rsidTr="00B55FD1">
        <w:trPr>
          <w:trHeight w:val="413"/>
        </w:trPr>
        <w:tc>
          <w:tcPr>
            <w:tcW w:w="3145" w:type="dxa"/>
            <w:tcBorders>
              <w:top w:val="single" w:sz="4" w:space="0" w:color="auto"/>
              <w:left w:val="single" w:sz="4" w:space="0" w:color="auto"/>
              <w:bottom w:val="single" w:sz="4" w:space="0" w:color="auto"/>
              <w:right w:val="nil"/>
            </w:tcBorders>
            <w:shd w:val="clear" w:color="auto" w:fill="DEEAF6" w:themeFill="accent1" w:themeFillTint="33"/>
            <w:noWrap/>
          </w:tcPr>
          <w:p w14:paraId="57247B43" w14:textId="1BE2173D" w:rsidR="003626F5" w:rsidRPr="00F441A0" w:rsidRDefault="003626F5" w:rsidP="003626F5">
            <w:pPr>
              <w:pStyle w:val="FocusbodyText"/>
              <w:spacing w:after="0"/>
              <w:rPr>
                <w:b/>
                <w:bCs/>
              </w:rPr>
            </w:pPr>
            <w:r w:rsidRPr="00F441A0">
              <w:rPr>
                <w:b/>
                <w:bCs/>
              </w:rPr>
              <w:t>Total FTEs</w:t>
            </w:r>
          </w:p>
        </w:tc>
        <w:tc>
          <w:tcPr>
            <w:tcW w:w="2880" w:type="dxa"/>
            <w:tcBorders>
              <w:top w:val="single" w:sz="4" w:space="0" w:color="auto"/>
              <w:left w:val="nil"/>
              <w:bottom w:val="single" w:sz="4" w:space="0" w:color="auto"/>
              <w:right w:val="nil"/>
            </w:tcBorders>
            <w:shd w:val="clear" w:color="auto" w:fill="DEEAF6" w:themeFill="accent1" w:themeFillTint="33"/>
            <w:noWrap/>
          </w:tcPr>
          <w:p w14:paraId="2D99ADEE" w14:textId="77777777" w:rsidR="003626F5" w:rsidRPr="00F441A0" w:rsidRDefault="003626F5" w:rsidP="003626F5">
            <w:pPr>
              <w:pStyle w:val="FocusbodyText"/>
              <w:spacing w:after="0"/>
              <w:rPr>
                <w:b/>
                <w:bCs/>
              </w:rPr>
            </w:pPr>
          </w:p>
        </w:tc>
        <w:tc>
          <w:tcPr>
            <w:tcW w:w="6120" w:type="dxa"/>
            <w:tcBorders>
              <w:top w:val="single" w:sz="4" w:space="0" w:color="auto"/>
              <w:left w:val="nil"/>
              <w:bottom w:val="single" w:sz="4" w:space="0" w:color="auto"/>
              <w:right w:val="nil"/>
            </w:tcBorders>
            <w:shd w:val="clear" w:color="auto" w:fill="DEEAF6" w:themeFill="accent1" w:themeFillTint="33"/>
          </w:tcPr>
          <w:p w14:paraId="7BB24F36" w14:textId="77777777" w:rsidR="003626F5" w:rsidRPr="00F441A0" w:rsidRDefault="003626F5" w:rsidP="003626F5">
            <w:pPr>
              <w:pStyle w:val="FocusbodyText"/>
              <w:spacing w:after="0"/>
            </w:pPr>
          </w:p>
        </w:tc>
        <w:tc>
          <w:tcPr>
            <w:tcW w:w="1170" w:type="dxa"/>
            <w:tcBorders>
              <w:top w:val="single" w:sz="4" w:space="0" w:color="auto"/>
              <w:left w:val="nil"/>
              <w:bottom w:val="single" w:sz="4" w:space="0" w:color="auto"/>
              <w:right w:val="nil"/>
            </w:tcBorders>
            <w:shd w:val="clear" w:color="auto" w:fill="DEEAF6" w:themeFill="accent1" w:themeFillTint="33"/>
            <w:noWrap/>
          </w:tcPr>
          <w:p w14:paraId="0295BCF6" w14:textId="77777777" w:rsidR="003626F5" w:rsidRPr="00F441A0" w:rsidRDefault="003626F5" w:rsidP="003626F5">
            <w:pPr>
              <w:pStyle w:val="FocusbodyText"/>
              <w:spacing w:after="0"/>
            </w:pPr>
          </w:p>
        </w:tc>
        <w:tc>
          <w:tcPr>
            <w:tcW w:w="1075" w:type="dxa"/>
            <w:tcBorders>
              <w:top w:val="single" w:sz="4" w:space="0" w:color="auto"/>
              <w:left w:val="nil"/>
              <w:bottom w:val="single" w:sz="4" w:space="0" w:color="auto"/>
              <w:right w:val="single" w:sz="4" w:space="0" w:color="auto"/>
            </w:tcBorders>
            <w:shd w:val="clear" w:color="auto" w:fill="DEEAF6" w:themeFill="accent1" w:themeFillTint="33"/>
            <w:noWrap/>
          </w:tcPr>
          <w:p w14:paraId="457EE409" w14:textId="4BA24298" w:rsidR="003626F5" w:rsidRPr="00F441A0" w:rsidRDefault="003626F5" w:rsidP="003626F5">
            <w:pPr>
              <w:pStyle w:val="FocusbodyText"/>
              <w:spacing w:after="0"/>
              <w:jc w:val="right"/>
            </w:pPr>
            <w:r>
              <w:rPr>
                <w:b/>
                <w:bCs/>
              </w:rPr>
              <w:t>1</w:t>
            </w:r>
            <w:r w:rsidRPr="00F441A0">
              <w:rPr>
                <w:b/>
                <w:bCs/>
              </w:rPr>
              <w:t>.</w:t>
            </w:r>
            <w:r>
              <w:rPr>
                <w:b/>
                <w:bCs/>
              </w:rPr>
              <w:t>61</w:t>
            </w:r>
          </w:p>
        </w:tc>
      </w:tr>
    </w:tbl>
    <w:p w14:paraId="3755E857" w14:textId="77777777" w:rsidR="00064958" w:rsidRDefault="00064958" w:rsidP="00064958">
      <w:pPr>
        <w:pStyle w:val="FocusbodyText"/>
        <w:ind w:left="720"/>
      </w:pPr>
    </w:p>
    <w:p w14:paraId="75BF1C62" w14:textId="6BB5F494" w:rsidR="00064958" w:rsidRDefault="00064958" w:rsidP="00064958">
      <w:pPr>
        <w:pStyle w:val="FocusbodyText"/>
      </w:pPr>
      <w:r w:rsidRPr="00F441A0">
        <w:rPr>
          <w:rStyle w:val="FocusH3Char"/>
        </w:rPr>
        <w:t xml:space="preserve">Table </w:t>
      </w:r>
      <w:r>
        <w:rPr>
          <w:rStyle w:val="FocusH3Char"/>
        </w:rPr>
        <w:t>5</w:t>
      </w:r>
      <w:r w:rsidRPr="00F441A0">
        <w:rPr>
          <w:rStyle w:val="FocusH3Char"/>
        </w:rPr>
        <w:t xml:space="preserve">: </w:t>
      </w:r>
      <w:r w:rsidRPr="00B42187">
        <w:rPr>
          <w:rStyle w:val="FocusH3Char"/>
        </w:rPr>
        <w:t xml:space="preserve">Estimated </w:t>
      </w:r>
      <w:r>
        <w:rPr>
          <w:rStyle w:val="FocusH3Char"/>
        </w:rPr>
        <w:t xml:space="preserve">PCRC </w:t>
      </w:r>
      <w:r w:rsidR="0072613B">
        <w:rPr>
          <w:rStyle w:val="FocusH3Char"/>
        </w:rPr>
        <w:t>o</w:t>
      </w:r>
      <w:r>
        <w:rPr>
          <w:rStyle w:val="FocusH3Char"/>
        </w:rPr>
        <w:t>versight</w:t>
      </w:r>
      <w:r w:rsidRPr="00B42187">
        <w:rPr>
          <w:rStyle w:val="FocusH3Char"/>
        </w:rPr>
        <w:t xml:space="preserve"> </w:t>
      </w:r>
      <w:r w:rsidR="0072613B">
        <w:rPr>
          <w:rStyle w:val="FocusH3Char"/>
        </w:rPr>
        <w:t>c</w:t>
      </w:r>
      <w:r w:rsidRPr="00B42187">
        <w:rPr>
          <w:rStyle w:val="FocusH3Char"/>
        </w:rPr>
        <w:t xml:space="preserve">osts by </w:t>
      </w:r>
      <w:r w:rsidR="0072613B">
        <w:rPr>
          <w:rStyle w:val="FocusH3Char"/>
        </w:rPr>
        <w:t>c</w:t>
      </w:r>
      <w:r w:rsidRPr="00B42187">
        <w:rPr>
          <w:rStyle w:val="FocusH3Char"/>
        </w:rPr>
        <w:t xml:space="preserve">ost </w:t>
      </w:r>
      <w:r w:rsidR="0072613B">
        <w:rPr>
          <w:rStyle w:val="FocusH3Char"/>
        </w:rPr>
        <w:t>c</w:t>
      </w:r>
      <w:r w:rsidRPr="00B42187">
        <w:rPr>
          <w:rStyle w:val="FocusH3Char"/>
        </w:rPr>
        <w:t>ategory</w:t>
      </w:r>
    </w:p>
    <w:tbl>
      <w:tblPr>
        <w:tblStyle w:val="TableGrid"/>
        <w:tblW w:w="0" w:type="auto"/>
        <w:tblLook w:val="04A0" w:firstRow="1" w:lastRow="0" w:firstColumn="1" w:lastColumn="0" w:noHBand="0" w:noVBand="1"/>
        <w:tblCaption w:val="Table 5:  Estimated PCRC Oversight Costs by Cost Category"/>
        <w:tblDescription w:val="This table summarizes the estimated PCRC Oversight costs by key cost categories, such as salaries and benefits and related standard costs, such as travel and goods and services, as well as specific costs, such as assistant attorney general guidance and purchase of recycled materials market data."/>
      </w:tblPr>
      <w:tblGrid>
        <w:gridCol w:w="2515"/>
        <w:gridCol w:w="10350"/>
        <w:gridCol w:w="1525"/>
      </w:tblGrid>
      <w:tr w:rsidR="00064958" w:rsidRPr="00B42187" w14:paraId="3D1EF57E" w14:textId="77777777" w:rsidTr="00C309A8">
        <w:trPr>
          <w:trHeight w:val="360"/>
        </w:trPr>
        <w:tc>
          <w:tcPr>
            <w:tcW w:w="2515" w:type="dxa"/>
            <w:shd w:val="clear" w:color="auto" w:fill="D9D9D9" w:themeFill="background1" w:themeFillShade="D9"/>
            <w:noWrap/>
            <w:hideMark/>
          </w:tcPr>
          <w:p w14:paraId="3FB0C015" w14:textId="36FE2FD9" w:rsidR="00064958" w:rsidRPr="00B42187" w:rsidRDefault="00064958" w:rsidP="005D1512">
            <w:pPr>
              <w:pStyle w:val="FocusbodyText"/>
              <w:jc w:val="center"/>
              <w:rPr>
                <w:b/>
                <w:bCs/>
              </w:rPr>
            </w:pPr>
            <w:r w:rsidRPr="00B42187">
              <w:rPr>
                <w:b/>
                <w:bCs/>
              </w:rPr>
              <w:t>Cost Category</w:t>
            </w:r>
          </w:p>
        </w:tc>
        <w:tc>
          <w:tcPr>
            <w:tcW w:w="10350" w:type="dxa"/>
            <w:shd w:val="clear" w:color="auto" w:fill="D9D9D9" w:themeFill="background1" w:themeFillShade="D9"/>
            <w:noWrap/>
            <w:hideMark/>
          </w:tcPr>
          <w:p w14:paraId="7AC5AF6E" w14:textId="77494D42" w:rsidR="00064958" w:rsidRPr="00B42187" w:rsidRDefault="00064958" w:rsidP="005D1512">
            <w:pPr>
              <w:pStyle w:val="FocusbodyText"/>
              <w:jc w:val="center"/>
              <w:rPr>
                <w:b/>
                <w:bCs/>
              </w:rPr>
            </w:pPr>
            <w:r w:rsidRPr="00B42187">
              <w:rPr>
                <w:b/>
                <w:bCs/>
              </w:rPr>
              <w:t>Description</w:t>
            </w:r>
          </w:p>
        </w:tc>
        <w:tc>
          <w:tcPr>
            <w:tcW w:w="1525" w:type="dxa"/>
            <w:shd w:val="clear" w:color="auto" w:fill="D9D9D9" w:themeFill="background1" w:themeFillShade="D9"/>
            <w:hideMark/>
          </w:tcPr>
          <w:p w14:paraId="0CE80BF2" w14:textId="69483278" w:rsidR="00064958" w:rsidRPr="00B42187" w:rsidRDefault="00064958" w:rsidP="005D1512">
            <w:pPr>
              <w:pStyle w:val="FocusbodyText"/>
              <w:jc w:val="center"/>
              <w:rPr>
                <w:b/>
                <w:bCs/>
              </w:rPr>
            </w:pPr>
            <w:r w:rsidRPr="00B42187">
              <w:rPr>
                <w:b/>
                <w:bCs/>
              </w:rPr>
              <w:t xml:space="preserve">Estimated Cost </w:t>
            </w:r>
          </w:p>
        </w:tc>
      </w:tr>
      <w:tr w:rsidR="00064958" w:rsidRPr="00B42187" w14:paraId="0AB399EA" w14:textId="77777777" w:rsidTr="00C309A8">
        <w:trPr>
          <w:trHeight w:val="737"/>
        </w:trPr>
        <w:tc>
          <w:tcPr>
            <w:tcW w:w="2515" w:type="dxa"/>
            <w:noWrap/>
            <w:hideMark/>
          </w:tcPr>
          <w:p w14:paraId="67BCAD8D" w14:textId="0F841123" w:rsidR="00064958" w:rsidRPr="00B42187" w:rsidRDefault="00064958" w:rsidP="00064958">
            <w:pPr>
              <w:pStyle w:val="FocusbodyText"/>
            </w:pPr>
            <w:r w:rsidRPr="00B42187">
              <w:t xml:space="preserve">Salaries </w:t>
            </w:r>
          </w:p>
        </w:tc>
        <w:tc>
          <w:tcPr>
            <w:tcW w:w="10350" w:type="dxa"/>
            <w:hideMark/>
          </w:tcPr>
          <w:p w14:paraId="4C5ADEB3" w14:textId="77777777" w:rsidR="00064958" w:rsidRPr="00B42187" w:rsidRDefault="00064958" w:rsidP="00064958">
            <w:pPr>
              <w:pStyle w:val="FocusbodyText"/>
            </w:pPr>
            <w:r w:rsidRPr="00B42187">
              <w:t>Salaries are based on the estimated staff time and the current biennium actual salary rates for the listed positions, at step L.</w:t>
            </w:r>
          </w:p>
        </w:tc>
        <w:tc>
          <w:tcPr>
            <w:tcW w:w="1525" w:type="dxa"/>
            <w:noWrap/>
            <w:hideMark/>
          </w:tcPr>
          <w:p w14:paraId="551E691E" w14:textId="7DD11432" w:rsidR="00064958" w:rsidRPr="00B42187" w:rsidRDefault="00064958" w:rsidP="005D1512">
            <w:pPr>
              <w:pStyle w:val="FocusbodyText"/>
              <w:jc w:val="right"/>
            </w:pPr>
            <w:r w:rsidRPr="00E01FFF">
              <w:t>$1</w:t>
            </w:r>
            <w:r w:rsidR="00C309A8">
              <w:t>1</w:t>
            </w:r>
            <w:r w:rsidRPr="00E01FFF">
              <w:t>7,</w:t>
            </w:r>
            <w:r w:rsidR="00C309A8">
              <w:t>341</w:t>
            </w:r>
            <w:r w:rsidRPr="00E01FFF">
              <w:t xml:space="preserve"> </w:t>
            </w:r>
          </w:p>
        </w:tc>
      </w:tr>
      <w:tr w:rsidR="00E761DD" w:rsidRPr="00B42187" w14:paraId="1ED153BE" w14:textId="77777777" w:rsidTr="00C309A8">
        <w:trPr>
          <w:trHeight w:val="360"/>
        </w:trPr>
        <w:tc>
          <w:tcPr>
            <w:tcW w:w="2515" w:type="dxa"/>
            <w:noWrap/>
            <w:hideMark/>
          </w:tcPr>
          <w:p w14:paraId="27245CB5" w14:textId="58922542" w:rsidR="00E761DD" w:rsidRPr="00B42187" w:rsidRDefault="00E761DD" w:rsidP="00E761DD">
            <w:pPr>
              <w:pStyle w:val="FocusbodyText"/>
            </w:pPr>
            <w:r w:rsidRPr="00B42187">
              <w:t xml:space="preserve">Benefits </w:t>
            </w:r>
          </w:p>
        </w:tc>
        <w:tc>
          <w:tcPr>
            <w:tcW w:w="10350" w:type="dxa"/>
            <w:noWrap/>
            <w:hideMark/>
          </w:tcPr>
          <w:p w14:paraId="39055629" w14:textId="6C1DE0F2" w:rsidR="00E761DD" w:rsidRPr="00B42187" w:rsidRDefault="00E761DD" w:rsidP="00E761DD">
            <w:pPr>
              <w:pStyle w:val="FocusbodyText"/>
            </w:pPr>
            <w:r w:rsidRPr="000814C8">
              <w:t>Benefits are the agency average of 36% of salaries.</w:t>
            </w:r>
          </w:p>
        </w:tc>
        <w:tc>
          <w:tcPr>
            <w:tcW w:w="1525" w:type="dxa"/>
            <w:noWrap/>
            <w:hideMark/>
          </w:tcPr>
          <w:p w14:paraId="1CC72489" w14:textId="5CAD361F" w:rsidR="00E761DD" w:rsidRPr="00B42187" w:rsidRDefault="00E761DD" w:rsidP="005D1512">
            <w:pPr>
              <w:pStyle w:val="FocusbodyText"/>
              <w:jc w:val="right"/>
            </w:pPr>
            <w:r w:rsidRPr="00BE193B">
              <w:t>$</w:t>
            </w:r>
            <w:r w:rsidR="00C309A8">
              <w:t>42</w:t>
            </w:r>
            <w:r w:rsidRPr="00BE193B">
              <w:t>,</w:t>
            </w:r>
            <w:r w:rsidR="00C309A8">
              <w:t>243</w:t>
            </w:r>
            <w:r w:rsidRPr="00BE193B">
              <w:t xml:space="preserve"> </w:t>
            </w:r>
          </w:p>
        </w:tc>
      </w:tr>
      <w:tr w:rsidR="00E761DD" w:rsidRPr="00B42187" w14:paraId="7D2AD445" w14:textId="77777777" w:rsidTr="00C309A8">
        <w:trPr>
          <w:trHeight w:val="360"/>
        </w:trPr>
        <w:tc>
          <w:tcPr>
            <w:tcW w:w="2515" w:type="dxa"/>
            <w:noWrap/>
            <w:hideMark/>
          </w:tcPr>
          <w:p w14:paraId="5F866DCC" w14:textId="79AC41FE" w:rsidR="00E761DD" w:rsidRPr="00B42187" w:rsidRDefault="00E761DD" w:rsidP="00E761DD">
            <w:pPr>
              <w:pStyle w:val="FocusbodyText"/>
            </w:pPr>
            <w:r w:rsidRPr="00B42187">
              <w:t xml:space="preserve">Goods and Services </w:t>
            </w:r>
          </w:p>
        </w:tc>
        <w:tc>
          <w:tcPr>
            <w:tcW w:w="10350" w:type="dxa"/>
            <w:noWrap/>
            <w:hideMark/>
          </w:tcPr>
          <w:p w14:paraId="432F19C7" w14:textId="5B20C475" w:rsidR="00E761DD" w:rsidRPr="00B42187" w:rsidRDefault="00E761DD" w:rsidP="00E761DD">
            <w:pPr>
              <w:pStyle w:val="FocusbodyText"/>
            </w:pPr>
            <w:r w:rsidRPr="000814C8">
              <w:t>Goods and Services are the agency average of $5,224 per direct program FTE.</w:t>
            </w:r>
          </w:p>
        </w:tc>
        <w:tc>
          <w:tcPr>
            <w:tcW w:w="1525" w:type="dxa"/>
            <w:noWrap/>
            <w:hideMark/>
          </w:tcPr>
          <w:p w14:paraId="00FCCC00" w14:textId="20F4DB47" w:rsidR="00E761DD" w:rsidRPr="00B42187" w:rsidRDefault="00E761DD" w:rsidP="005D1512">
            <w:pPr>
              <w:pStyle w:val="FocusbodyText"/>
              <w:jc w:val="right"/>
            </w:pPr>
            <w:r w:rsidRPr="00BE193B">
              <w:t>$</w:t>
            </w:r>
            <w:r w:rsidR="00C309A8">
              <w:t>7</w:t>
            </w:r>
            <w:r w:rsidRPr="00BE193B">
              <w:t>,</w:t>
            </w:r>
            <w:r w:rsidR="00C309A8">
              <w:t>314</w:t>
            </w:r>
            <w:r w:rsidRPr="00BE193B">
              <w:t xml:space="preserve"> </w:t>
            </w:r>
          </w:p>
        </w:tc>
      </w:tr>
      <w:tr w:rsidR="00E761DD" w:rsidRPr="00B42187" w14:paraId="24963206" w14:textId="77777777" w:rsidTr="00C309A8">
        <w:trPr>
          <w:trHeight w:val="360"/>
        </w:trPr>
        <w:tc>
          <w:tcPr>
            <w:tcW w:w="2515" w:type="dxa"/>
            <w:noWrap/>
            <w:hideMark/>
          </w:tcPr>
          <w:p w14:paraId="6F1E44B7" w14:textId="606CB87D" w:rsidR="00E761DD" w:rsidRPr="00B42187" w:rsidRDefault="00E761DD" w:rsidP="00E761DD">
            <w:pPr>
              <w:pStyle w:val="FocusbodyText"/>
            </w:pPr>
            <w:r w:rsidRPr="00B42187">
              <w:t xml:space="preserve">Travel </w:t>
            </w:r>
          </w:p>
        </w:tc>
        <w:tc>
          <w:tcPr>
            <w:tcW w:w="10350" w:type="dxa"/>
            <w:noWrap/>
            <w:hideMark/>
          </w:tcPr>
          <w:p w14:paraId="773F0A34" w14:textId="748A3831" w:rsidR="00E761DD" w:rsidRPr="00B42187" w:rsidRDefault="00E761DD" w:rsidP="00E761DD">
            <w:pPr>
              <w:pStyle w:val="FocusbodyText"/>
            </w:pPr>
            <w:r w:rsidRPr="000814C8">
              <w:t>Travel is the agency average of $1,563 per direct program FTE.</w:t>
            </w:r>
          </w:p>
        </w:tc>
        <w:tc>
          <w:tcPr>
            <w:tcW w:w="1525" w:type="dxa"/>
            <w:noWrap/>
            <w:hideMark/>
          </w:tcPr>
          <w:p w14:paraId="4877521E" w14:textId="7181445E" w:rsidR="00E761DD" w:rsidRPr="00B42187" w:rsidRDefault="00E761DD" w:rsidP="005D1512">
            <w:pPr>
              <w:pStyle w:val="FocusbodyText"/>
              <w:jc w:val="right"/>
            </w:pPr>
            <w:r w:rsidRPr="00BE193B">
              <w:t>$</w:t>
            </w:r>
            <w:r w:rsidR="00C309A8">
              <w:t>2</w:t>
            </w:r>
            <w:r w:rsidRPr="00BE193B">
              <w:t>,</w:t>
            </w:r>
            <w:r w:rsidR="00C309A8">
              <w:t>188</w:t>
            </w:r>
            <w:r w:rsidRPr="00BE193B">
              <w:t xml:space="preserve"> </w:t>
            </w:r>
          </w:p>
        </w:tc>
      </w:tr>
      <w:tr w:rsidR="00E761DD" w:rsidRPr="00B42187" w14:paraId="1D2C5547" w14:textId="77777777" w:rsidTr="00C309A8">
        <w:trPr>
          <w:trHeight w:val="360"/>
        </w:trPr>
        <w:tc>
          <w:tcPr>
            <w:tcW w:w="2515" w:type="dxa"/>
            <w:noWrap/>
            <w:hideMark/>
          </w:tcPr>
          <w:p w14:paraId="3109E3F3" w14:textId="45EE8022" w:rsidR="00E761DD" w:rsidRPr="00B42187" w:rsidRDefault="00E761DD" w:rsidP="00E761DD">
            <w:pPr>
              <w:pStyle w:val="FocusbodyText"/>
            </w:pPr>
            <w:r w:rsidRPr="00B42187">
              <w:t xml:space="preserve">Equipment </w:t>
            </w:r>
          </w:p>
        </w:tc>
        <w:tc>
          <w:tcPr>
            <w:tcW w:w="10350" w:type="dxa"/>
            <w:noWrap/>
            <w:hideMark/>
          </w:tcPr>
          <w:p w14:paraId="637ABDF6" w14:textId="3F9FCBE7" w:rsidR="00E761DD" w:rsidRPr="00B42187" w:rsidRDefault="00E761DD" w:rsidP="00E761DD">
            <w:pPr>
              <w:pStyle w:val="FocusbodyText"/>
            </w:pPr>
            <w:r w:rsidRPr="000814C8">
              <w:t>Equipment is the agency average of $1,031 per direct program FTE</w:t>
            </w:r>
            <w:r>
              <w:t>.</w:t>
            </w:r>
          </w:p>
        </w:tc>
        <w:tc>
          <w:tcPr>
            <w:tcW w:w="1525" w:type="dxa"/>
            <w:noWrap/>
            <w:hideMark/>
          </w:tcPr>
          <w:p w14:paraId="76D67AA7" w14:textId="54F599E0" w:rsidR="00E761DD" w:rsidRPr="00B42187" w:rsidRDefault="00E761DD" w:rsidP="005D1512">
            <w:pPr>
              <w:pStyle w:val="FocusbodyText"/>
              <w:jc w:val="right"/>
            </w:pPr>
            <w:r w:rsidRPr="00BE193B">
              <w:t>$1,</w:t>
            </w:r>
            <w:r w:rsidR="00C309A8">
              <w:t>4</w:t>
            </w:r>
            <w:r w:rsidRPr="00BE193B">
              <w:t>4</w:t>
            </w:r>
            <w:r w:rsidR="00C309A8">
              <w:t>3</w:t>
            </w:r>
            <w:r w:rsidRPr="00BE193B">
              <w:t xml:space="preserve"> </w:t>
            </w:r>
          </w:p>
        </w:tc>
      </w:tr>
      <w:tr w:rsidR="00064958" w:rsidRPr="00B42187" w14:paraId="06250BFA" w14:textId="77777777" w:rsidTr="00C309A8">
        <w:trPr>
          <w:trHeight w:val="828"/>
        </w:trPr>
        <w:tc>
          <w:tcPr>
            <w:tcW w:w="2515" w:type="dxa"/>
            <w:noWrap/>
          </w:tcPr>
          <w:p w14:paraId="3BE5DB94" w14:textId="69B66154" w:rsidR="00064958" w:rsidRPr="00B42187" w:rsidRDefault="00064958" w:rsidP="00064958">
            <w:pPr>
              <w:pStyle w:val="FocusbodyText"/>
            </w:pPr>
            <w:r w:rsidRPr="00C843CA">
              <w:t xml:space="preserve">Annual Data Purchase </w:t>
            </w:r>
          </w:p>
        </w:tc>
        <w:tc>
          <w:tcPr>
            <w:tcW w:w="10350" w:type="dxa"/>
          </w:tcPr>
          <w:p w14:paraId="7C258CC9" w14:textId="044AD16E" w:rsidR="00064958" w:rsidRPr="00B42187" w:rsidRDefault="00E617A4" w:rsidP="00064958">
            <w:pPr>
              <w:pStyle w:val="FocusbodyText"/>
            </w:pPr>
            <w:r>
              <w:t>T</w:t>
            </w:r>
            <w:r w:rsidR="00064958" w:rsidRPr="00C843CA">
              <w:t xml:space="preserve">o review requests for PCRC rate adjustments and temporary exclusions, Ecology will need to purchase data on market </w:t>
            </w:r>
            <w:r w:rsidRPr="00C843CA">
              <w:t>availability</w:t>
            </w:r>
            <w:r w:rsidR="00064958" w:rsidRPr="00C843CA">
              <w:t xml:space="preserve"> of recycled plastic resin from an independent </w:t>
            </w:r>
            <w:r w:rsidRPr="00C843CA">
              <w:t>third-party</w:t>
            </w:r>
            <w:r w:rsidR="00064958" w:rsidRPr="00C843CA">
              <w:t xml:space="preserve"> organization. Estimated annual cost for data on recycled plastic resin availability is $30,000.</w:t>
            </w:r>
          </w:p>
        </w:tc>
        <w:tc>
          <w:tcPr>
            <w:tcW w:w="1525" w:type="dxa"/>
            <w:noWrap/>
          </w:tcPr>
          <w:p w14:paraId="4796FAEC" w14:textId="4DC84896" w:rsidR="00064958" w:rsidRPr="00B42187" w:rsidRDefault="00064958" w:rsidP="005D1512">
            <w:pPr>
              <w:pStyle w:val="FocusbodyText"/>
              <w:jc w:val="right"/>
            </w:pPr>
            <w:r>
              <w:t>$30,000</w:t>
            </w:r>
          </w:p>
        </w:tc>
      </w:tr>
      <w:tr w:rsidR="00064958" w:rsidRPr="00B42187" w14:paraId="01CE8454" w14:textId="77777777" w:rsidTr="00C309A8">
        <w:trPr>
          <w:trHeight w:val="828"/>
        </w:trPr>
        <w:tc>
          <w:tcPr>
            <w:tcW w:w="2515" w:type="dxa"/>
            <w:noWrap/>
            <w:hideMark/>
          </w:tcPr>
          <w:p w14:paraId="48D03AF7" w14:textId="14C0D093" w:rsidR="00064958" w:rsidRPr="00B42187" w:rsidRDefault="00064958" w:rsidP="00064958">
            <w:pPr>
              <w:pStyle w:val="FocusbodyText"/>
            </w:pPr>
            <w:r w:rsidRPr="00C843CA">
              <w:t xml:space="preserve">Assistant Attorney General </w:t>
            </w:r>
          </w:p>
        </w:tc>
        <w:tc>
          <w:tcPr>
            <w:tcW w:w="10350" w:type="dxa"/>
            <w:hideMark/>
          </w:tcPr>
          <w:p w14:paraId="7772FC14" w14:textId="4FE35D1A" w:rsidR="00064958" w:rsidRPr="00B42187" w:rsidRDefault="00B50AFC" w:rsidP="00064958">
            <w:pPr>
              <w:pStyle w:val="FocusbodyText"/>
            </w:pPr>
            <w:r w:rsidRPr="00B50AFC">
              <w:t xml:space="preserve">This estimate is for </w:t>
            </w:r>
            <w:r w:rsidR="001C38DE">
              <w:t xml:space="preserve">the </w:t>
            </w:r>
            <w:r w:rsidRPr="00B50AFC">
              <w:t>workload in the Office of the Attorney General for Assistant Attorney General (AAG) legal counsel regarding criteria and procedures for PCRC rate adjustments and temporary exclusions, and enforcement of the PCRC requirements.</w:t>
            </w:r>
          </w:p>
        </w:tc>
        <w:tc>
          <w:tcPr>
            <w:tcW w:w="1525" w:type="dxa"/>
            <w:noWrap/>
            <w:hideMark/>
          </w:tcPr>
          <w:p w14:paraId="113D901E" w14:textId="2C8DDB04" w:rsidR="00064958" w:rsidRPr="00B42187" w:rsidRDefault="00064958" w:rsidP="005D1512">
            <w:pPr>
              <w:pStyle w:val="FocusbodyText"/>
              <w:jc w:val="right"/>
            </w:pPr>
            <w:r>
              <w:t>$3</w:t>
            </w:r>
            <w:r w:rsidR="004A3804">
              <w:t>2</w:t>
            </w:r>
            <w:r>
              <w:t>,</w:t>
            </w:r>
            <w:r w:rsidR="00C309A8">
              <w:t>382</w:t>
            </w:r>
          </w:p>
        </w:tc>
      </w:tr>
      <w:tr w:rsidR="00064958" w:rsidRPr="00B42187" w14:paraId="5C29B6F6" w14:textId="77777777" w:rsidTr="00BE2882">
        <w:trPr>
          <w:trHeight w:val="1187"/>
        </w:trPr>
        <w:tc>
          <w:tcPr>
            <w:tcW w:w="2515" w:type="dxa"/>
            <w:tcBorders>
              <w:bottom w:val="single" w:sz="4" w:space="0" w:color="auto"/>
            </w:tcBorders>
            <w:noWrap/>
            <w:hideMark/>
          </w:tcPr>
          <w:p w14:paraId="6AB72B2F" w14:textId="440E50F3" w:rsidR="00064958" w:rsidRPr="00B42187" w:rsidRDefault="00064958" w:rsidP="00064958">
            <w:pPr>
              <w:pStyle w:val="FocusbodyText"/>
            </w:pPr>
            <w:r w:rsidRPr="00C843CA">
              <w:t xml:space="preserve">Agency Administrative Overhead </w:t>
            </w:r>
          </w:p>
        </w:tc>
        <w:tc>
          <w:tcPr>
            <w:tcW w:w="10350" w:type="dxa"/>
            <w:tcBorders>
              <w:bottom w:val="single" w:sz="4" w:space="0" w:color="auto"/>
            </w:tcBorders>
            <w:hideMark/>
          </w:tcPr>
          <w:p w14:paraId="10008B69" w14:textId="71279622" w:rsidR="00064958" w:rsidRPr="00B42187" w:rsidRDefault="00064958" w:rsidP="00064958">
            <w:pPr>
              <w:pStyle w:val="FocusbodyText"/>
            </w:pPr>
            <w:r w:rsidRPr="00C843CA">
              <w:t>Agency Administrative Overhead is calculated at the federally approved agency indirect rate of 28.3% of direct program salaries and benefits. Agency Administrative Overhead FTEs are included at 0.15 FTE per direct program FTE</w:t>
            </w:r>
            <w:r w:rsidR="005D1512">
              <w:t>.</w:t>
            </w:r>
          </w:p>
        </w:tc>
        <w:tc>
          <w:tcPr>
            <w:tcW w:w="1525" w:type="dxa"/>
            <w:tcBorders>
              <w:bottom w:val="single" w:sz="4" w:space="0" w:color="auto"/>
            </w:tcBorders>
            <w:noWrap/>
            <w:hideMark/>
          </w:tcPr>
          <w:p w14:paraId="7FF103BF" w14:textId="18B70023" w:rsidR="00064958" w:rsidRPr="00B42187" w:rsidRDefault="00064958" w:rsidP="005D1512">
            <w:pPr>
              <w:pStyle w:val="FocusbodyText"/>
              <w:jc w:val="right"/>
            </w:pPr>
            <w:r>
              <w:t>$4</w:t>
            </w:r>
            <w:r w:rsidR="00C309A8">
              <w:t>5</w:t>
            </w:r>
            <w:r>
              <w:t>,</w:t>
            </w:r>
            <w:r w:rsidR="00C309A8">
              <w:t>880</w:t>
            </w:r>
          </w:p>
        </w:tc>
      </w:tr>
      <w:tr w:rsidR="00064958" w:rsidRPr="00B42187" w14:paraId="0E5D55D3" w14:textId="77777777" w:rsidTr="00BE2882">
        <w:trPr>
          <w:trHeight w:val="348"/>
        </w:trPr>
        <w:tc>
          <w:tcPr>
            <w:tcW w:w="2515" w:type="dxa"/>
            <w:tcBorders>
              <w:top w:val="single" w:sz="4" w:space="0" w:color="auto"/>
              <w:left w:val="single" w:sz="4" w:space="0" w:color="auto"/>
              <w:bottom w:val="single" w:sz="4" w:space="0" w:color="auto"/>
              <w:right w:val="nil"/>
            </w:tcBorders>
            <w:shd w:val="clear" w:color="auto" w:fill="DEEAF6" w:themeFill="accent1" w:themeFillTint="33"/>
            <w:noWrap/>
            <w:hideMark/>
          </w:tcPr>
          <w:p w14:paraId="475CEFE1" w14:textId="757C4B26" w:rsidR="00064958" w:rsidRPr="00B42187" w:rsidRDefault="00064958" w:rsidP="00CA5797">
            <w:pPr>
              <w:pStyle w:val="FocusbodyText"/>
              <w:rPr>
                <w:b/>
                <w:bCs/>
              </w:rPr>
            </w:pPr>
            <w:r w:rsidRPr="00B42187">
              <w:rPr>
                <w:b/>
                <w:bCs/>
              </w:rPr>
              <w:t xml:space="preserve"> Total Costs</w:t>
            </w:r>
          </w:p>
        </w:tc>
        <w:tc>
          <w:tcPr>
            <w:tcW w:w="10350" w:type="dxa"/>
            <w:tcBorders>
              <w:top w:val="single" w:sz="4" w:space="0" w:color="auto"/>
              <w:left w:val="nil"/>
              <w:bottom w:val="single" w:sz="4" w:space="0" w:color="auto"/>
              <w:right w:val="nil"/>
            </w:tcBorders>
            <w:shd w:val="clear" w:color="auto" w:fill="DEEAF6" w:themeFill="accent1" w:themeFillTint="33"/>
            <w:noWrap/>
            <w:hideMark/>
          </w:tcPr>
          <w:p w14:paraId="536B75E3" w14:textId="77777777" w:rsidR="00064958" w:rsidRPr="00B42187" w:rsidRDefault="00064958" w:rsidP="00CA5797">
            <w:pPr>
              <w:pStyle w:val="FocusbodyText"/>
              <w:rPr>
                <w:b/>
                <w:bCs/>
              </w:rPr>
            </w:pPr>
            <w:r w:rsidRPr="00B42187">
              <w:rPr>
                <w:b/>
                <w:bCs/>
              </w:rPr>
              <w:t> </w:t>
            </w:r>
          </w:p>
        </w:tc>
        <w:tc>
          <w:tcPr>
            <w:tcW w:w="1525"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5C965590" w14:textId="762E418F" w:rsidR="00064958" w:rsidRPr="00B42187" w:rsidRDefault="00064958" w:rsidP="005D1512">
            <w:pPr>
              <w:pStyle w:val="FocusbodyText"/>
              <w:jc w:val="right"/>
              <w:rPr>
                <w:b/>
                <w:bCs/>
              </w:rPr>
            </w:pPr>
            <w:r w:rsidRPr="00B42187">
              <w:rPr>
                <w:b/>
                <w:bCs/>
              </w:rPr>
              <w:t>$</w:t>
            </w:r>
            <w:r w:rsidR="00C309A8">
              <w:rPr>
                <w:b/>
                <w:bCs/>
              </w:rPr>
              <w:t>278</w:t>
            </w:r>
            <w:r w:rsidRPr="00B42187">
              <w:rPr>
                <w:b/>
                <w:bCs/>
              </w:rPr>
              <w:t>,</w:t>
            </w:r>
            <w:r w:rsidR="00C309A8">
              <w:rPr>
                <w:b/>
                <w:bCs/>
              </w:rPr>
              <w:t>791</w:t>
            </w:r>
            <w:r w:rsidRPr="00B42187">
              <w:rPr>
                <w:b/>
                <w:bCs/>
              </w:rPr>
              <w:t xml:space="preserve"> </w:t>
            </w:r>
          </w:p>
        </w:tc>
      </w:tr>
    </w:tbl>
    <w:p w14:paraId="322FB0BB" w14:textId="77777777" w:rsidR="00567F6B" w:rsidRDefault="00567F6B" w:rsidP="00A964F6">
      <w:pPr>
        <w:pStyle w:val="FocusbodyText"/>
      </w:pPr>
    </w:p>
    <w:p w14:paraId="46B5A402" w14:textId="0697EDAF" w:rsidR="00634D1E" w:rsidRDefault="00634D1E" w:rsidP="00431C6A">
      <w:pPr>
        <w:pStyle w:val="FocusH2"/>
      </w:pPr>
      <w:r>
        <w:t xml:space="preserve">Estimated </w:t>
      </w:r>
      <w:r w:rsidR="00FE7157">
        <w:t>c</w:t>
      </w:r>
      <w:r>
        <w:t xml:space="preserve">osts by </w:t>
      </w:r>
      <w:r w:rsidR="00FE7157">
        <w:t>p</w:t>
      </w:r>
      <w:r>
        <w:t xml:space="preserve">roduct </w:t>
      </w:r>
      <w:r w:rsidR="00FE7157">
        <w:t>c</w:t>
      </w:r>
      <w:r>
        <w:t>ategory</w:t>
      </w:r>
    </w:p>
    <w:p w14:paraId="70629CE2" w14:textId="2C7FAB20" w:rsidR="00A058BA" w:rsidRDefault="00634D1E" w:rsidP="00526951">
      <w:pPr>
        <w:pStyle w:val="FocusbodyText"/>
      </w:pPr>
      <w:r>
        <w:t xml:space="preserve">The estimated costs for each category of covered products are calculated using the latest available registration data submitted by producers in </w:t>
      </w:r>
      <w:r w:rsidR="001D35BB">
        <w:t xml:space="preserve">the </w:t>
      </w:r>
      <w:r>
        <w:t xml:space="preserve">calendar year 2022. </w:t>
      </w:r>
    </w:p>
    <w:p w14:paraId="38D4ACF0" w14:textId="77777777" w:rsidR="00103B37" w:rsidRPr="00A23091" w:rsidRDefault="00103B37" w:rsidP="00A23091"/>
    <w:p w14:paraId="17A57E81" w14:textId="74E59083" w:rsidR="00526951" w:rsidRDefault="00526951" w:rsidP="00526951">
      <w:pPr>
        <w:pStyle w:val="FocusbodyText"/>
        <w:rPr>
          <w:rStyle w:val="FocusH3Char"/>
        </w:rPr>
      </w:pPr>
      <w:r w:rsidRPr="00F441A0">
        <w:rPr>
          <w:rStyle w:val="FocusH3Char"/>
        </w:rPr>
        <w:t xml:space="preserve">Table </w:t>
      </w:r>
      <w:r>
        <w:rPr>
          <w:rStyle w:val="FocusH3Char"/>
        </w:rPr>
        <w:t>6</w:t>
      </w:r>
      <w:r w:rsidRPr="00F441A0">
        <w:rPr>
          <w:rStyle w:val="FocusH3Char"/>
        </w:rPr>
        <w:t xml:space="preserve">: </w:t>
      </w:r>
      <w:r>
        <w:rPr>
          <w:rStyle w:val="FocusH3Char"/>
        </w:rPr>
        <w:t xml:space="preserve">Estimated </w:t>
      </w:r>
      <w:r w:rsidR="009863D2">
        <w:rPr>
          <w:rStyle w:val="FocusH3Char"/>
        </w:rPr>
        <w:t>c</w:t>
      </w:r>
      <w:r w:rsidRPr="00B42187">
        <w:rPr>
          <w:rStyle w:val="FocusH3Char"/>
        </w:rPr>
        <w:t xml:space="preserve">osts by </w:t>
      </w:r>
      <w:r w:rsidR="009863D2">
        <w:rPr>
          <w:rStyle w:val="FocusH3Char"/>
        </w:rPr>
        <w:t>p</w:t>
      </w:r>
      <w:r>
        <w:rPr>
          <w:rStyle w:val="FocusH3Char"/>
        </w:rPr>
        <w:t>roduct</w:t>
      </w:r>
      <w:r w:rsidRPr="00B42187">
        <w:rPr>
          <w:rStyle w:val="FocusH3Char"/>
        </w:rPr>
        <w:t xml:space="preserve"> </w:t>
      </w:r>
      <w:r w:rsidR="009863D2">
        <w:rPr>
          <w:rStyle w:val="FocusH3Char"/>
        </w:rPr>
        <w:t>c</w:t>
      </w:r>
      <w:r w:rsidRPr="00B42187">
        <w:rPr>
          <w:rStyle w:val="FocusH3Char"/>
        </w:rPr>
        <w:t>ategory</w:t>
      </w:r>
    </w:p>
    <w:p w14:paraId="46749D83" w14:textId="482FE40C" w:rsidR="009863D2" w:rsidRDefault="009863D2" w:rsidP="00526951">
      <w:pPr>
        <w:pStyle w:val="FocusbodyText"/>
      </w:pPr>
      <w:r w:rsidRPr="005D1512">
        <w:rPr>
          <w:i/>
          <w:iCs/>
        </w:rPr>
        <w:t>Please note: the costs in the table below are estimates, based on the best data currently available. The</w:t>
      </w:r>
      <w:r>
        <w:rPr>
          <w:i/>
          <w:iCs/>
        </w:rPr>
        <w:t xml:space="preserve"> final</w:t>
      </w:r>
      <w:r w:rsidRPr="005D1512">
        <w:rPr>
          <w:i/>
          <w:iCs/>
        </w:rPr>
        <w:t xml:space="preserve"> producer fees for FY 2024 costs will be calculated using</w:t>
      </w:r>
      <w:r>
        <w:rPr>
          <w:i/>
          <w:iCs/>
        </w:rPr>
        <w:t xml:space="preserve"> data submitted by producers in April 2023.</w:t>
      </w:r>
    </w:p>
    <w:tbl>
      <w:tblPr>
        <w:tblStyle w:val="TableGrid"/>
        <w:tblW w:w="0" w:type="auto"/>
        <w:tblLayout w:type="fixed"/>
        <w:tblLook w:val="04A0" w:firstRow="1" w:lastRow="0" w:firstColumn="1" w:lastColumn="0" w:noHBand="0" w:noVBand="1"/>
        <w:tblDescription w:val="Law requires Ecology to estimate the workload analysis costs by category.  The first column lists the categories, the second lists the total plastic weight in each category, and the third column lists the plastic weight for categories subject to PCRC requirements next fiscal year.  Based on the percentages of weights, each category has an estimated cost for the Program Administration Cost and PCRC Oversight Cost, the percentages and estimated costs for which are in columns 4 through 7.  Total estimated costs are provided in the last column.  This is just an estimate based on last year's registration data.  Actual costs will be based on registration data submitted by April 1 this calendar year."/>
      </w:tblPr>
      <w:tblGrid>
        <w:gridCol w:w="2183"/>
        <w:gridCol w:w="1575"/>
        <w:gridCol w:w="1899"/>
        <w:gridCol w:w="273"/>
        <w:gridCol w:w="1442"/>
        <w:gridCol w:w="1893"/>
        <w:gridCol w:w="236"/>
        <w:gridCol w:w="1565"/>
        <w:gridCol w:w="1439"/>
        <w:gridCol w:w="271"/>
        <w:gridCol w:w="1614"/>
      </w:tblGrid>
      <w:tr w:rsidR="008D7D9E" w:rsidRPr="00526951" w14:paraId="04ACE5F7" w14:textId="77777777" w:rsidTr="001451B8">
        <w:trPr>
          <w:trHeight w:val="612"/>
        </w:trPr>
        <w:tc>
          <w:tcPr>
            <w:tcW w:w="5657" w:type="dxa"/>
            <w:gridSpan w:val="3"/>
            <w:vMerge w:val="restart"/>
            <w:shd w:val="clear" w:color="auto" w:fill="BDD6EE" w:themeFill="accent1" w:themeFillTint="66"/>
            <w:vAlign w:val="center"/>
            <w:hideMark/>
          </w:tcPr>
          <w:p w14:paraId="2D80E982" w14:textId="7D1967D5" w:rsidR="008D7D9E" w:rsidRPr="00526951" w:rsidRDefault="008D7D9E" w:rsidP="005D1512">
            <w:pPr>
              <w:pStyle w:val="FocusbodyText"/>
              <w:jc w:val="center"/>
              <w:rPr>
                <w:b/>
                <w:bCs/>
              </w:rPr>
            </w:pPr>
            <w:r w:rsidRPr="00526951">
              <w:rPr>
                <w:b/>
                <w:bCs/>
              </w:rPr>
              <w:t>Produc</w:t>
            </w:r>
            <w:r>
              <w:rPr>
                <w:b/>
                <w:bCs/>
              </w:rPr>
              <w:t>t</w:t>
            </w:r>
            <w:r w:rsidRPr="00526951">
              <w:rPr>
                <w:b/>
                <w:bCs/>
              </w:rPr>
              <w:t xml:space="preserve"> Categories and Resin Weights Reported in Calendar Year 2022 Registration</w:t>
            </w:r>
            <w:r w:rsidRPr="00526951">
              <w:rPr>
                <w:b/>
                <w:bCs/>
                <w:vertAlign w:val="superscript"/>
              </w:rPr>
              <w:t>1</w:t>
            </w:r>
          </w:p>
        </w:tc>
        <w:tc>
          <w:tcPr>
            <w:tcW w:w="273" w:type="dxa"/>
            <w:tcBorders>
              <w:bottom w:val="nil"/>
            </w:tcBorders>
            <w:shd w:val="clear" w:color="auto" w:fill="D9D9D9" w:themeFill="background1" w:themeFillShade="D9"/>
            <w:noWrap/>
            <w:vAlign w:val="center"/>
            <w:hideMark/>
          </w:tcPr>
          <w:p w14:paraId="458AEFBA" w14:textId="24A131E2" w:rsidR="008D7D9E" w:rsidRPr="00526951" w:rsidRDefault="008D7D9E" w:rsidP="005D1512">
            <w:pPr>
              <w:pStyle w:val="FocusbodyText"/>
              <w:jc w:val="center"/>
              <w:rPr>
                <w:b/>
                <w:bCs/>
              </w:rPr>
            </w:pPr>
          </w:p>
        </w:tc>
        <w:tc>
          <w:tcPr>
            <w:tcW w:w="3335" w:type="dxa"/>
            <w:gridSpan w:val="2"/>
            <w:vMerge w:val="restart"/>
            <w:shd w:val="clear" w:color="auto" w:fill="BDD6EE" w:themeFill="accent1" w:themeFillTint="66"/>
            <w:vAlign w:val="center"/>
            <w:hideMark/>
          </w:tcPr>
          <w:p w14:paraId="7E1B81B1" w14:textId="3C8355D2" w:rsidR="008D7D9E" w:rsidRPr="00526951" w:rsidRDefault="008D7D9E" w:rsidP="005D1512">
            <w:pPr>
              <w:pStyle w:val="FocusbodyText"/>
              <w:jc w:val="center"/>
              <w:rPr>
                <w:b/>
                <w:bCs/>
              </w:rPr>
            </w:pPr>
            <w:r w:rsidRPr="00526951">
              <w:rPr>
                <w:b/>
                <w:bCs/>
              </w:rPr>
              <w:t xml:space="preserve">Estimated Program Administration Costs by </w:t>
            </w:r>
            <w:r w:rsidR="000C3ED1">
              <w:rPr>
                <w:b/>
                <w:bCs/>
              </w:rPr>
              <w:t xml:space="preserve">Product </w:t>
            </w:r>
            <w:r w:rsidRPr="00526951">
              <w:rPr>
                <w:b/>
                <w:bCs/>
              </w:rPr>
              <w:t>Category</w:t>
            </w:r>
          </w:p>
        </w:tc>
        <w:tc>
          <w:tcPr>
            <w:tcW w:w="236" w:type="dxa"/>
            <w:tcBorders>
              <w:bottom w:val="nil"/>
            </w:tcBorders>
            <w:shd w:val="clear" w:color="auto" w:fill="D9D9D9" w:themeFill="background1" w:themeFillShade="D9"/>
            <w:noWrap/>
            <w:vAlign w:val="center"/>
            <w:hideMark/>
          </w:tcPr>
          <w:p w14:paraId="004B5C50" w14:textId="57036672" w:rsidR="008D7D9E" w:rsidRPr="00526951" w:rsidRDefault="008D7D9E" w:rsidP="005D1512">
            <w:pPr>
              <w:pStyle w:val="FocusbodyText"/>
              <w:jc w:val="center"/>
              <w:rPr>
                <w:b/>
                <w:bCs/>
              </w:rPr>
            </w:pPr>
          </w:p>
        </w:tc>
        <w:tc>
          <w:tcPr>
            <w:tcW w:w="3004" w:type="dxa"/>
            <w:gridSpan w:val="2"/>
            <w:vMerge w:val="restart"/>
            <w:shd w:val="clear" w:color="auto" w:fill="BDD6EE" w:themeFill="accent1" w:themeFillTint="66"/>
            <w:vAlign w:val="center"/>
            <w:hideMark/>
          </w:tcPr>
          <w:p w14:paraId="66212A06" w14:textId="7D4510EC" w:rsidR="008D7D9E" w:rsidRPr="00526951" w:rsidRDefault="008D7D9E" w:rsidP="005D1512">
            <w:pPr>
              <w:pStyle w:val="FocusbodyText"/>
              <w:jc w:val="center"/>
              <w:rPr>
                <w:b/>
                <w:bCs/>
              </w:rPr>
            </w:pPr>
            <w:r w:rsidRPr="00526951">
              <w:rPr>
                <w:b/>
                <w:bCs/>
              </w:rPr>
              <w:t>Estimated PCR</w:t>
            </w:r>
            <w:r w:rsidR="000C3ED1">
              <w:rPr>
                <w:b/>
                <w:bCs/>
              </w:rPr>
              <w:t>C</w:t>
            </w:r>
            <w:r w:rsidRPr="00526951">
              <w:rPr>
                <w:b/>
                <w:bCs/>
              </w:rPr>
              <w:t xml:space="preserve"> Oversight Costs by </w:t>
            </w:r>
            <w:r w:rsidR="000C3ED1">
              <w:rPr>
                <w:b/>
                <w:bCs/>
              </w:rPr>
              <w:t xml:space="preserve">Product </w:t>
            </w:r>
            <w:r w:rsidRPr="00526951">
              <w:rPr>
                <w:b/>
                <w:bCs/>
              </w:rPr>
              <w:t>Category</w:t>
            </w:r>
          </w:p>
        </w:tc>
        <w:tc>
          <w:tcPr>
            <w:tcW w:w="271" w:type="dxa"/>
            <w:tcBorders>
              <w:bottom w:val="nil"/>
            </w:tcBorders>
            <w:shd w:val="clear" w:color="auto" w:fill="D9D9D9" w:themeFill="background1" w:themeFillShade="D9"/>
            <w:noWrap/>
            <w:hideMark/>
          </w:tcPr>
          <w:p w14:paraId="21561488" w14:textId="77777777" w:rsidR="008D7D9E" w:rsidRPr="00526951" w:rsidRDefault="008D7D9E" w:rsidP="00526951">
            <w:pPr>
              <w:pStyle w:val="FocusbodyText"/>
              <w:rPr>
                <w:b/>
                <w:bCs/>
              </w:rPr>
            </w:pPr>
            <w:r w:rsidRPr="00526951">
              <w:rPr>
                <w:b/>
                <w:bCs/>
              </w:rPr>
              <w:t> </w:t>
            </w:r>
          </w:p>
        </w:tc>
        <w:tc>
          <w:tcPr>
            <w:tcW w:w="1614" w:type="dxa"/>
            <w:vMerge w:val="restart"/>
            <w:shd w:val="clear" w:color="auto" w:fill="BDD6EE" w:themeFill="accent1" w:themeFillTint="66"/>
            <w:vAlign w:val="center"/>
            <w:hideMark/>
          </w:tcPr>
          <w:p w14:paraId="7E5E59ED" w14:textId="6CB7204C" w:rsidR="008D7D9E" w:rsidRPr="00526951" w:rsidRDefault="008D7D9E" w:rsidP="005D1512">
            <w:pPr>
              <w:pStyle w:val="FocusbodyText"/>
              <w:jc w:val="center"/>
              <w:rPr>
                <w:b/>
                <w:bCs/>
              </w:rPr>
            </w:pPr>
            <w:r w:rsidRPr="001451B8">
              <w:rPr>
                <w:b/>
                <w:bCs/>
                <w:sz w:val="32"/>
                <w:szCs w:val="28"/>
              </w:rPr>
              <w:t>Total Estimated Costs by Product Category</w:t>
            </w:r>
          </w:p>
        </w:tc>
      </w:tr>
      <w:tr w:rsidR="008D7D9E" w:rsidRPr="00526951" w14:paraId="3AFD9F7F" w14:textId="77777777" w:rsidTr="001451B8">
        <w:trPr>
          <w:trHeight w:val="314"/>
        </w:trPr>
        <w:tc>
          <w:tcPr>
            <w:tcW w:w="5657" w:type="dxa"/>
            <w:gridSpan w:val="3"/>
            <w:vMerge/>
            <w:shd w:val="clear" w:color="auto" w:fill="BDD6EE" w:themeFill="accent1" w:themeFillTint="66"/>
            <w:vAlign w:val="center"/>
            <w:hideMark/>
          </w:tcPr>
          <w:p w14:paraId="77FEFAC9" w14:textId="77777777" w:rsidR="008D7D9E" w:rsidRPr="00526951" w:rsidRDefault="008D7D9E" w:rsidP="00526951">
            <w:pPr>
              <w:pStyle w:val="FocusbodyText"/>
              <w:rPr>
                <w:b/>
                <w:bCs/>
              </w:rPr>
            </w:pPr>
          </w:p>
        </w:tc>
        <w:tc>
          <w:tcPr>
            <w:tcW w:w="273" w:type="dxa"/>
            <w:tcBorders>
              <w:top w:val="nil"/>
              <w:bottom w:val="nil"/>
            </w:tcBorders>
            <w:shd w:val="clear" w:color="auto" w:fill="D9D9D9" w:themeFill="background1" w:themeFillShade="D9"/>
            <w:noWrap/>
            <w:vAlign w:val="center"/>
            <w:hideMark/>
          </w:tcPr>
          <w:p w14:paraId="0BE7EADB" w14:textId="77777777" w:rsidR="008D7D9E" w:rsidRPr="00526951" w:rsidRDefault="008D7D9E" w:rsidP="00526951">
            <w:pPr>
              <w:pStyle w:val="FocusbodyText"/>
              <w:rPr>
                <w:b/>
                <w:bCs/>
              </w:rPr>
            </w:pPr>
            <w:r w:rsidRPr="00526951">
              <w:rPr>
                <w:b/>
                <w:bCs/>
              </w:rPr>
              <w:t> </w:t>
            </w:r>
          </w:p>
        </w:tc>
        <w:tc>
          <w:tcPr>
            <w:tcW w:w="3335" w:type="dxa"/>
            <w:gridSpan w:val="2"/>
            <w:vMerge/>
            <w:shd w:val="clear" w:color="auto" w:fill="BDD6EE" w:themeFill="accent1" w:themeFillTint="66"/>
            <w:vAlign w:val="center"/>
            <w:hideMark/>
          </w:tcPr>
          <w:p w14:paraId="5B299485" w14:textId="77777777" w:rsidR="008D7D9E" w:rsidRPr="00526951" w:rsidRDefault="008D7D9E" w:rsidP="00526951">
            <w:pPr>
              <w:pStyle w:val="FocusbodyText"/>
              <w:rPr>
                <w:b/>
                <w:bCs/>
              </w:rPr>
            </w:pPr>
          </w:p>
        </w:tc>
        <w:tc>
          <w:tcPr>
            <w:tcW w:w="236" w:type="dxa"/>
            <w:tcBorders>
              <w:top w:val="nil"/>
              <w:bottom w:val="nil"/>
            </w:tcBorders>
            <w:shd w:val="clear" w:color="auto" w:fill="D9D9D9" w:themeFill="background1" w:themeFillShade="D9"/>
            <w:noWrap/>
            <w:vAlign w:val="center"/>
            <w:hideMark/>
          </w:tcPr>
          <w:p w14:paraId="65339EA9" w14:textId="77777777" w:rsidR="008D7D9E" w:rsidRPr="00526951" w:rsidRDefault="008D7D9E" w:rsidP="00526951">
            <w:pPr>
              <w:pStyle w:val="FocusbodyText"/>
              <w:rPr>
                <w:b/>
                <w:bCs/>
              </w:rPr>
            </w:pPr>
            <w:r w:rsidRPr="00526951">
              <w:rPr>
                <w:b/>
                <w:bCs/>
              </w:rPr>
              <w:t> </w:t>
            </w:r>
          </w:p>
        </w:tc>
        <w:tc>
          <w:tcPr>
            <w:tcW w:w="3004" w:type="dxa"/>
            <w:gridSpan w:val="2"/>
            <w:vMerge/>
            <w:shd w:val="clear" w:color="auto" w:fill="BDD6EE" w:themeFill="accent1" w:themeFillTint="66"/>
            <w:vAlign w:val="center"/>
            <w:hideMark/>
          </w:tcPr>
          <w:p w14:paraId="085AAC43" w14:textId="77777777" w:rsidR="008D7D9E" w:rsidRPr="00526951" w:rsidRDefault="008D7D9E" w:rsidP="00526951">
            <w:pPr>
              <w:pStyle w:val="FocusbodyText"/>
              <w:rPr>
                <w:b/>
                <w:bCs/>
              </w:rPr>
            </w:pPr>
          </w:p>
        </w:tc>
        <w:tc>
          <w:tcPr>
            <w:tcW w:w="271" w:type="dxa"/>
            <w:tcBorders>
              <w:top w:val="nil"/>
              <w:bottom w:val="nil"/>
            </w:tcBorders>
            <w:shd w:val="clear" w:color="auto" w:fill="D9D9D9" w:themeFill="background1" w:themeFillShade="D9"/>
            <w:noWrap/>
            <w:hideMark/>
          </w:tcPr>
          <w:p w14:paraId="198F4B47" w14:textId="77777777" w:rsidR="008D7D9E" w:rsidRPr="00526951" w:rsidRDefault="008D7D9E" w:rsidP="00526951">
            <w:pPr>
              <w:pStyle w:val="FocusbodyText"/>
              <w:rPr>
                <w:b/>
                <w:bCs/>
              </w:rPr>
            </w:pPr>
            <w:r w:rsidRPr="00526951">
              <w:rPr>
                <w:b/>
                <w:bCs/>
              </w:rPr>
              <w:t> </w:t>
            </w:r>
          </w:p>
        </w:tc>
        <w:tc>
          <w:tcPr>
            <w:tcW w:w="1614" w:type="dxa"/>
            <w:vMerge/>
            <w:shd w:val="clear" w:color="auto" w:fill="BDD6EE" w:themeFill="accent1" w:themeFillTint="66"/>
            <w:hideMark/>
          </w:tcPr>
          <w:p w14:paraId="29479A77" w14:textId="31110C65" w:rsidR="008D7D9E" w:rsidRPr="00526951" w:rsidRDefault="008D7D9E" w:rsidP="00526951">
            <w:pPr>
              <w:pStyle w:val="FocusbodyText"/>
              <w:rPr>
                <w:b/>
                <w:bCs/>
              </w:rPr>
            </w:pPr>
          </w:p>
        </w:tc>
      </w:tr>
      <w:tr w:rsidR="008D7D9E" w:rsidRPr="00526951" w14:paraId="35C6B821" w14:textId="77777777" w:rsidTr="001451B8">
        <w:trPr>
          <w:trHeight w:val="1511"/>
        </w:trPr>
        <w:tc>
          <w:tcPr>
            <w:tcW w:w="2183" w:type="dxa"/>
            <w:shd w:val="clear" w:color="auto" w:fill="F2F2F2" w:themeFill="background1" w:themeFillShade="F2"/>
            <w:vAlign w:val="center"/>
            <w:hideMark/>
          </w:tcPr>
          <w:p w14:paraId="2EDCA3EE" w14:textId="4DB1D3EE" w:rsidR="008D7D9E" w:rsidRPr="00CE6545" w:rsidRDefault="008D7D9E" w:rsidP="005D1512">
            <w:pPr>
              <w:pStyle w:val="FocusbodyText"/>
              <w:jc w:val="center"/>
              <w:rPr>
                <w:b/>
                <w:bCs/>
              </w:rPr>
            </w:pPr>
            <w:r w:rsidRPr="00CE6545">
              <w:rPr>
                <w:b/>
                <w:bCs/>
              </w:rPr>
              <w:t xml:space="preserve">Product Category </w:t>
            </w:r>
            <w:r w:rsidRPr="00CE6545">
              <w:rPr>
                <w:b/>
                <w:bCs/>
              </w:rPr>
              <w:br/>
              <w:t>(PCR</w:t>
            </w:r>
            <w:r w:rsidR="000C3ED1" w:rsidRPr="00CE6545">
              <w:rPr>
                <w:b/>
                <w:bCs/>
              </w:rPr>
              <w:t>C</w:t>
            </w:r>
            <w:r w:rsidRPr="00CE6545">
              <w:rPr>
                <w:b/>
                <w:bCs/>
              </w:rPr>
              <w:t xml:space="preserve"> Content Compliance Date)</w:t>
            </w:r>
          </w:p>
        </w:tc>
        <w:tc>
          <w:tcPr>
            <w:tcW w:w="1575" w:type="dxa"/>
            <w:shd w:val="clear" w:color="auto" w:fill="F2F2F2" w:themeFill="background1" w:themeFillShade="F2"/>
            <w:vAlign w:val="center"/>
            <w:hideMark/>
          </w:tcPr>
          <w:p w14:paraId="61899E4D" w14:textId="603EEBFA" w:rsidR="008D7D9E" w:rsidRPr="00CE6545" w:rsidRDefault="008D7D9E" w:rsidP="005D1512">
            <w:pPr>
              <w:pStyle w:val="FocusbodyText"/>
              <w:jc w:val="center"/>
              <w:rPr>
                <w:b/>
                <w:bCs/>
              </w:rPr>
            </w:pPr>
            <w:r w:rsidRPr="00CE6545">
              <w:rPr>
                <w:b/>
                <w:bCs/>
              </w:rPr>
              <w:t>Total Plastic Resin Weight</w:t>
            </w:r>
            <w:r w:rsidR="000C3ED1" w:rsidRPr="00CE6545">
              <w:rPr>
                <w:b/>
                <w:bCs/>
              </w:rPr>
              <w:t xml:space="preserve"> (</w:t>
            </w:r>
            <w:r w:rsidRPr="00CE6545">
              <w:rPr>
                <w:b/>
                <w:bCs/>
              </w:rPr>
              <w:t xml:space="preserve">in </w:t>
            </w:r>
            <w:r w:rsidR="00CB41B1" w:rsidRPr="00CE6545">
              <w:rPr>
                <w:b/>
                <w:bCs/>
              </w:rPr>
              <w:t>Lbs.</w:t>
            </w:r>
            <w:r w:rsidR="000C3ED1" w:rsidRPr="00CE6545">
              <w:rPr>
                <w:b/>
                <w:bCs/>
              </w:rPr>
              <w:t>)</w:t>
            </w:r>
          </w:p>
        </w:tc>
        <w:tc>
          <w:tcPr>
            <w:tcW w:w="1899" w:type="dxa"/>
            <w:shd w:val="clear" w:color="auto" w:fill="F2F2F2" w:themeFill="background1" w:themeFillShade="F2"/>
            <w:vAlign w:val="center"/>
            <w:hideMark/>
          </w:tcPr>
          <w:p w14:paraId="778ADCB1" w14:textId="7279D393" w:rsidR="008D7D9E" w:rsidRPr="00CE6545" w:rsidRDefault="008D7D9E" w:rsidP="005D1512">
            <w:pPr>
              <w:pStyle w:val="FocusbodyText"/>
              <w:jc w:val="center"/>
              <w:rPr>
                <w:b/>
                <w:bCs/>
              </w:rPr>
            </w:pPr>
            <w:r w:rsidRPr="00CE6545">
              <w:rPr>
                <w:b/>
                <w:bCs/>
              </w:rPr>
              <w:t>Plastic Resin Weights subject to PCR</w:t>
            </w:r>
            <w:r w:rsidR="000C3ED1" w:rsidRPr="00CE6545">
              <w:rPr>
                <w:b/>
                <w:bCs/>
              </w:rPr>
              <w:t>C</w:t>
            </w:r>
            <w:r w:rsidRPr="00CE6545">
              <w:rPr>
                <w:b/>
                <w:bCs/>
              </w:rPr>
              <w:t xml:space="preserve"> Content Requirements</w:t>
            </w:r>
            <w:r w:rsidRPr="00CE6545">
              <w:rPr>
                <w:b/>
                <w:bCs/>
                <w:vertAlign w:val="superscript"/>
              </w:rPr>
              <w:t>2</w:t>
            </w:r>
          </w:p>
        </w:tc>
        <w:tc>
          <w:tcPr>
            <w:tcW w:w="273" w:type="dxa"/>
            <w:tcBorders>
              <w:top w:val="nil"/>
              <w:bottom w:val="nil"/>
            </w:tcBorders>
            <w:shd w:val="clear" w:color="auto" w:fill="D9D9D9" w:themeFill="background1" w:themeFillShade="D9"/>
            <w:vAlign w:val="center"/>
            <w:hideMark/>
          </w:tcPr>
          <w:p w14:paraId="254161A5" w14:textId="35DAC1D7" w:rsidR="008D7D9E" w:rsidRPr="00CE6545" w:rsidRDefault="008D7D9E" w:rsidP="005D1512">
            <w:pPr>
              <w:pStyle w:val="FocusbodyText"/>
              <w:jc w:val="center"/>
              <w:rPr>
                <w:b/>
                <w:bCs/>
              </w:rPr>
            </w:pPr>
          </w:p>
        </w:tc>
        <w:tc>
          <w:tcPr>
            <w:tcW w:w="1442" w:type="dxa"/>
            <w:shd w:val="clear" w:color="auto" w:fill="F2F2F2" w:themeFill="background1" w:themeFillShade="F2"/>
            <w:vAlign w:val="center"/>
            <w:hideMark/>
          </w:tcPr>
          <w:p w14:paraId="584BCDC8" w14:textId="68AA3296" w:rsidR="008D7D9E" w:rsidRPr="00CE6545" w:rsidRDefault="00CE6545" w:rsidP="005D1512">
            <w:pPr>
              <w:pStyle w:val="FocusbodyText"/>
              <w:jc w:val="center"/>
              <w:rPr>
                <w:b/>
                <w:bCs/>
              </w:rPr>
            </w:pPr>
            <w:r w:rsidRPr="00CE6545">
              <w:rPr>
                <w:b/>
                <w:bCs/>
              </w:rPr>
              <w:t xml:space="preserve">All </w:t>
            </w:r>
            <w:r w:rsidR="008D7D9E" w:rsidRPr="00CE6545">
              <w:rPr>
                <w:b/>
                <w:bCs/>
              </w:rPr>
              <w:t>Covered Categor</w:t>
            </w:r>
            <w:r w:rsidRPr="00CE6545">
              <w:rPr>
                <w:b/>
                <w:bCs/>
              </w:rPr>
              <w:t>ies</w:t>
            </w:r>
            <w:r w:rsidR="008D7D9E" w:rsidRPr="00CE6545">
              <w:rPr>
                <w:b/>
                <w:bCs/>
              </w:rPr>
              <w:t xml:space="preserve"> % Total Plastic Resin Weight</w:t>
            </w:r>
          </w:p>
        </w:tc>
        <w:tc>
          <w:tcPr>
            <w:tcW w:w="1893" w:type="dxa"/>
            <w:shd w:val="clear" w:color="auto" w:fill="F2F2F2" w:themeFill="background1" w:themeFillShade="F2"/>
            <w:vAlign w:val="center"/>
            <w:hideMark/>
          </w:tcPr>
          <w:p w14:paraId="6F225F80" w14:textId="77777777" w:rsidR="008D7D9E" w:rsidRPr="00CE6545" w:rsidRDefault="008D7D9E" w:rsidP="005D1512">
            <w:pPr>
              <w:pStyle w:val="FocusbodyText"/>
              <w:jc w:val="center"/>
              <w:rPr>
                <w:b/>
                <w:bCs/>
              </w:rPr>
            </w:pPr>
            <w:r w:rsidRPr="00CE6545">
              <w:rPr>
                <w:b/>
                <w:bCs/>
              </w:rPr>
              <w:t>Category Share of Program Administration Costs</w:t>
            </w:r>
          </w:p>
        </w:tc>
        <w:tc>
          <w:tcPr>
            <w:tcW w:w="236" w:type="dxa"/>
            <w:tcBorders>
              <w:top w:val="nil"/>
              <w:bottom w:val="nil"/>
            </w:tcBorders>
            <w:shd w:val="clear" w:color="auto" w:fill="D9D9D9" w:themeFill="background1" w:themeFillShade="D9"/>
            <w:vAlign w:val="center"/>
            <w:hideMark/>
          </w:tcPr>
          <w:p w14:paraId="14B69648" w14:textId="244B2F79" w:rsidR="008D7D9E" w:rsidRPr="00CE6545" w:rsidRDefault="008D7D9E" w:rsidP="005D1512">
            <w:pPr>
              <w:pStyle w:val="FocusbodyText"/>
              <w:jc w:val="center"/>
              <w:rPr>
                <w:b/>
                <w:bCs/>
              </w:rPr>
            </w:pPr>
          </w:p>
        </w:tc>
        <w:tc>
          <w:tcPr>
            <w:tcW w:w="1565" w:type="dxa"/>
            <w:shd w:val="clear" w:color="auto" w:fill="F2F2F2" w:themeFill="background1" w:themeFillShade="F2"/>
            <w:vAlign w:val="center"/>
            <w:hideMark/>
          </w:tcPr>
          <w:p w14:paraId="3BB00779" w14:textId="08E36C82" w:rsidR="008D7D9E" w:rsidRPr="00CE6545" w:rsidRDefault="008D7D9E" w:rsidP="005D1512">
            <w:pPr>
              <w:pStyle w:val="FocusbodyText"/>
              <w:jc w:val="center"/>
              <w:rPr>
                <w:b/>
                <w:bCs/>
              </w:rPr>
            </w:pPr>
            <w:r w:rsidRPr="00CE6545">
              <w:rPr>
                <w:b/>
                <w:bCs/>
              </w:rPr>
              <w:t>PCRC Product Categor</w:t>
            </w:r>
            <w:r w:rsidR="00CE6545" w:rsidRPr="00CE6545">
              <w:rPr>
                <w:b/>
                <w:bCs/>
              </w:rPr>
              <w:t>ies</w:t>
            </w:r>
            <w:r w:rsidRPr="00CE6545">
              <w:rPr>
                <w:b/>
                <w:bCs/>
              </w:rPr>
              <w:t xml:space="preserve"> % Total Plastic Resin Weight</w:t>
            </w:r>
          </w:p>
        </w:tc>
        <w:tc>
          <w:tcPr>
            <w:tcW w:w="1439" w:type="dxa"/>
            <w:shd w:val="clear" w:color="auto" w:fill="F2F2F2" w:themeFill="background1" w:themeFillShade="F2"/>
            <w:vAlign w:val="center"/>
            <w:hideMark/>
          </w:tcPr>
          <w:p w14:paraId="6B1B7316" w14:textId="77777777" w:rsidR="008D7D9E" w:rsidRPr="00CE6545" w:rsidRDefault="008D7D9E" w:rsidP="005D1512">
            <w:pPr>
              <w:pStyle w:val="FocusbodyText"/>
              <w:jc w:val="center"/>
              <w:rPr>
                <w:b/>
                <w:bCs/>
              </w:rPr>
            </w:pPr>
            <w:r w:rsidRPr="00CE6545">
              <w:rPr>
                <w:b/>
                <w:bCs/>
              </w:rPr>
              <w:t>Category Share of PCRC Oversight Costs</w:t>
            </w:r>
          </w:p>
        </w:tc>
        <w:tc>
          <w:tcPr>
            <w:tcW w:w="271" w:type="dxa"/>
            <w:tcBorders>
              <w:top w:val="nil"/>
              <w:bottom w:val="nil"/>
            </w:tcBorders>
            <w:shd w:val="clear" w:color="auto" w:fill="D9D9D9" w:themeFill="background1" w:themeFillShade="D9"/>
            <w:hideMark/>
          </w:tcPr>
          <w:p w14:paraId="171B13CC" w14:textId="77777777" w:rsidR="008D7D9E" w:rsidRPr="00526951" w:rsidRDefault="008D7D9E" w:rsidP="00526951">
            <w:pPr>
              <w:pStyle w:val="FocusbodyText"/>
              <w:rPr>
                <w:b/>
                <w:bCs/>
              </w:rPr>
            </w:pPr>
            <w:r w:rsidRPr="00526951">
              <w:rPr>
                <w:b/>
                <w:bCs/>
              </w:rPr>
              <w:t> </w:t>
            </w:r>
          </w:p>
        </w:tc>
        <w:tc>
          <w:tcPr>
            <w:tcW w:w="1614" w:type="dxa"/>
            <w:vMerge/>
            <w:shd w:val="clear" w:color="auto" w:fill="BDD6EE" w:themeFill="accent1" w:themeFillTint="66"/>
            <w:hideMark/>
          </w:tcPr>
          <w:p w14:paraId="04D335E1" w14:textId="39876564" w:rsidR="008D7D9E" w:rsidRPr="00526951" w:rsidRDefault="008D7D9E" w:rsidP="00526951">
            <w:pPr>
              <w:pStyle w:val="FocusbodyText"/>
              <w:rPr>
                <w:b/>
                <w:bCs/>
              </w:rPr>
            </w:pPr>
          </w:p>
        </w:tc>
      </w:tr>
      <w:tr w:rsidR="001451B8" w:rsidRPr="00526951" w14:paraId="11DD7D22" w14:textId="77777777" w:rsidTr="001451B8">
        <w:trPr>
          <w:trHeight w:val="638"/>
        </w:trPr>
        <w:tc>
          <w:tcPr>
            <w:tcW w:w="2183" w:type="dxa"/>
            <w:hideMark/>
          </w:tcPr>
          <w:p w14:paraId="23929717" w14:textId="77777777" w:rsidR="001451B8" w:rsidRPr="00CE6545" w:rsidRDefault="001451B8" w:rsidP="001451B8">
            <w:pPr>
              <w:pStyle w:val="FocusbodyText"/>
            </w:pPr>
            <w:r w:rsidRPr="00CE6545">
              <w:t xml:space="preserve">Trash Bags </w:t>
            </w:r>
            <w:r w:rsidRPr="00CE6545">
              <w:br/>
              <w:t>(Jan 1, 2023)</w:t>
            </w:r>
          </w:p>
        </w:tc>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14:paraId="49BB23AC" w14:textId="5E4BA559" w:rsidR="001451B8" w:rsidRPr="001451B8" w:rsidRDefault="001451B8" w:rsidP="001451B8">
            <w:pPr>
              <w:pStyle w:val="FocusbodyText"/>
              <w:jc w:val="right"/>
              <w:rPr>
                <w:rFonts w:cstheme="minorHAnsi"/>
                <w:szCs w:val="24"/>
              </w:rPr>
            </w:pPr>
            <w:r w:rsidRPr="001451B8">
              <w:rPr>
                <w:rFonts w:cstheme="minorHAnsi"/>
                <w:color w:val="000000"/>
                <w:szCs w:val="24"/>
              </w:rPr>
              <w:t xml:space="preserve">56,224,069 </w:t>
            </w:r>
          </w:p>
        </w:tc>
        <w:tc>
          <w:tcPr>
            <w:tcW w:w="1899" w:type="dxa"/>
            <w:tcBorders>
              <w:top w:val="single" w:sz="4" w:space="0" w:color="auto"/>
              <w:left w:val="nil"/>
              <w:bottom w:val="single" w:sz="4" w:space="0" w:color="auto"/>
              <w:right w:val="single" w:sz="4" w:space="0" w:color="auto"/>
            </w:tcBorders>
            <w:shd w:val="clear" w:color="auto" w:fill="auto"/>
            <w:noWrap/>
            <w:hideMark/>
          </w:tcPr>
          <w:p w14:paraId="2B5460EA" w14:textId="3F5FFFFE" w:rsidR="001451B8" w:rsidRPr="001451B8" w:rsidRDefault="001451B8" w:rsidP="001451B8">
            <w:pPr>
              <w:pStyle w:val="FocusbodyText"/>
              <w:jc w:val="right"/>
              <w:rPr>
                <w:rFonts w:cstheme="minorHAnsi"/>
                <w:szCs w:val="24"/>
              </w:rPr>
            </w:pPr>
            <w:r w:rsidRPr="001451B8">
              <w:rPr>
                <w:rFonts w:cstheme="minorHAnsi"/>
                <w:color w:val="000000"/>
                <w:szCs w:val="24"/>
              </w:rPr>
              <w:t xml:space="preserve"> 56,224,069 </w:t>
            </w:r>
          </w:p>
        </w:tc>
        <w:tc>
          <w:tcPr>
            <w:tcW w:w="273" w:type="dxa"/>
            <w:tcBorders>
              <w:top w:val="nil"/>
              <w:bottom w:val="nil"/>
            </w:tcBorders>
            <w:shd w:val="clear" w:color="auto" w:fill="D9D9D9" w:themeFill="background1" w:themeFillShade="D9"/>
            <w:noWrap/>
            <w:hideMark/>
          </w:tcPr>
          <w:p w14:paraId="5F16CC45" w14:textId="68878F86" w:rsidR="001451B8" w:rsidRPr="001451B8" w:rsidRDefault="001451B8" w:rsidP="001451B8">
            <w:pPr>
              <w:pStyle w:val="FocusbodyText"/>
              <w:jc w:val="right"/>
              <w:rPr>
                <w:rFonts w:cstheme="minorHAnsi"/>
                <w:szCs w:val="24"/>
              </w:rPr>
            </w:pPr>
          </w:p>
        </w:tc>
        <w:tc>
          <w:tcPr>
            <w:tcW w:w="1442" w:type="dxa"/>
            <w:noWrap/>
            <w:hideMark/>
          </w:tcPr>
          <w:p w14:paraId="08A7560D" w14:textId="77777777" w:rsidR="001451B8" w:rsidRPr="001451B8" w:rsidRDefault="001451B8" w:rsidP="001451B8">
            <w:pPr>
              <w:pStyle w:val="FocusbodyText"/>
              <w:jc w:val="right"/>
              <w:rPr>
                <w:rFonts w:cstheme="minorHAnsi"/>
                <w:szCs w:val="24"/>
              </w:rPr>
            </w:pPr>
            <w:r w:rsidRPr="001451B8">
              <w:rPr>
                <w:rFonts w:cstheme="minorHAnsi"/>
                <w:szCs w:val="24"/>
              </w:rPr>
              <w:t>28%</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169CE22E" w14:textId="198AF367" w:rsidR="001451B8" w:rsidRPr="001451B8" w:rsidRDefault="001451B8" w:rsidP="001451B8">
            <w:pPr>
              <w:pStyle w:val="FocusbodyText"/>
              <w:jc w:val="right"/>
              <w:rPr>
                <w:rFonts w:cstheme="minorHAnsi"/>
                <w:szCs w:val="24"/>
              </w:rPr>
            </w:pPr>
            <w:r w:rsidRPr="001451B8">
              <w:rPr>
                <w:rFonts w:cstheme="minorHAnsi"/>
                <w:color w:val="000000"/>
                <w:szCs w:val="24"/>
              </w:rPr>
              <w:t>$84,260</w:t>
            </w:r>
          </w:p>
        </w:tc>
        <w:tc>
          <w:tcPr>
            <w:tcW w:w="236" w:type="dxa"/>
            <w:tcBorders>
              <w:top w:val="nil"/>
              <w:bottom w:val="nil"/>
            </w:tcBorders>
            <w:shd w:val="clear" w:color="auto" w:fill="D9D9D9" w:themeFill="background1" w:themeFillShade="D9"/>
            <w:noWrap/>
            <w:hideMark/>
          </w:tcPr>
          <w:p w14:paraId="1B9DADB2" w14:textId="3399FBBF" w:rsidR="001451B8" w:rsidRPr="001451B8" w:rsidRDefault="001451B8" w:rsidP="001451B8">
            <w:pPr>
              <w:pStyle w:val="FocusbodyText"/>
              <w:jc w:val="right"/>
              <w:rPr>
                <w:rFonts w:cstheme="minorHAnsi"/>
                <w:szCs w:val="24"/>
              </w:rPr>
            </w:pPr>
          </w:p>
        </w:tc>
        <w:tc>
          <w:tcPr>
            <w:tcW w:w="1565" w:type="dxa"/>
            <w:noWrap/>
            <w:hideMark/>
          </w:tcPr>
          <w:p w14:paraId="0B1D34DF" w14:textId="77777777" w:rsidR="001451B8" w:rsidRPr="001451B8" w:rsidRDefault="001451B8" w:rsidP="001451B8">
            <w:pPr>
              <w:pStyle w:val="FocusbodyText"/>
              <w:jc w:val="right"/>
              <w:rPr>
                <w:rFonts w:cstheme="minorHAnsi"/>
                <w:szCs w:val="24"/>
              </w:rPr>
            </w:pPr>
            <w:r w:rsidRPr="001451B8">
              <w:rPr>
                <w:rFonts w:cstheme="minorHAnsi"/>
                <w:szCs w:val="24"/>
              </w:rPr>
              <w:t>33%</w:t>
            </w:r>
          </w:p>
        </w:tc>
        <w:tc>
          <w:tcPr>
            <w:tcW w:w="1439" w:type="dxa"/>
            <w:tcBorders>
              <w:top w:val="single" w:sz="4" w:space="0" w:color="auto"/>
              <w:left w:val="single" w:sz="4" w:space="0" w:color="auto"/>
              <w:bottom w:val="single" w:sz="4" w:space="0" w:color="auto"/>
              <w:right w:val="single" w:sz="4" w:space="0" w:color="auto"/>
            </w:tcBorders>
            <w:shd w:val="clear" w:color="auto" w:fill="auto"/>
            <w:noWrap/>
            <w:hideMark/>
          </w:tcPr>
          <w:p w14:paraId="7A82131E" w14:textId="66B3401B" w:rsidR="001451B8" w:rsidRPr="001451B8" w:rsidRDefault="001451B8" w:rsidP="001451B8">
            <w:pPr>
              <w:pStyle w:val="FocusbodyText"/>
              <w:jc w:val="right"/>
              <w:rPr>
                <w:rFonts w:cstheme="minorHAnsi"/>
                <w:szCs w:val="24"/>
              </w:rPr>
            </w:pPr>
            <w:r w:rsidRPr="001451B8">
              <w:rPr>
                <w:rFonts w:cstheme="minorHAnsi"/>
                <w:color w:val="000000"/>
                <w:szCs w:val="24"/>
              </w:rPr>
              <w:t>$92,457</w:t>
            </w:r>
          </w:p>
        </w:tc>
        <w:tc>
          <w:tcPr>
            <w:tcW w:w="271" w:type="dxa"/>
            <w:tcBorders>
              <w:top w:val="nil"/>
              <w:bottom w:val="nil"/>
            </w:tcBorders>
            <w:shd w:val="clear" w:color="auto" w:fill="D9D9D9" w:themeFill="background1" w:themeFillShade="D9"/>
            <w:noWrap/>
            <w:hideMark/>
          </w:tcPr>
          <w:p w14:paraId="6B246A5F" w14:textId="355B8FBA" w:rsidR="001451B8" w:rsidRPr="001451B8" w:rsidRDefault="001451B8" w:rsidP="001451B8">
            <w:pPr>
              <w:pStyle w:val="FocusbodyText"/>
              <w:jc w:val="right"/>
              <w:rPr>
                <w:rFonts w:cstheme="minorHAnsi"/>
                <w:szCs w:val="24"/>
              </w:rPr>
            </w:pPr>
          </w:p>
        </w:tc>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14:paraId="6F119DBE" w14:textId="1BBA8240" w:rsidR="001451B8" w:rsidRPr="001451B8" w:rsidRDefault="001451B8" w:rsidP="001451B8">
            <w:pPr>
              <w:pStyle w:val="FocusbodyText"/>
              <w:jc w:val="right"/>
              <w:rPr>
                <w:rFonts w:cstheme="minorHAnsi"/>
                <w:b/>
                <w:bCs/>
                <w:szCs w:val="24"/>
              </w:rPr>
            </w:pPr>
            <w:r w:rsidRPr="001451B8">
              <w:rPr>
                <w:rFonts w:cstheme="minorHAnsi"/>
                <w:color w:val="000000"/>
                <w:szCs w:val="24"/>
              </w:rPr>
              <w:t>$176,717</w:t>
            </w:r>
          </w:p>
        </w:tc>
      </w:tr>
      <w:tr w:rsidR="001451B8" w:rsidRPr="00526951" w14:paraId="7F4DB202" w14:textId="77777777" w:rsidTr="001451B8">
        <w:trPr>
          <w:trHeight w:val="917"/>
        </w:trPr>
        <w:tc>
          <w:tcPr>
            <w:tcW w:w="2183" w:type="dxa"/>
            <w:hideMark/>
          </w:tcPr>
          <w:p w14:paraId="7916459C" w14:textId="77777777" w:rsidR="001451B8" w:rsidRPr="00CE6545" w:rsidRDefault="001451B8" w:rsidP="001451B8">
            <w:pPr>
              <w:pStyle w:val="FocusbodyText"/>
            </w:pPr>
            <w:r w:rsidRPr="00CE6545">
              <w:t>Beverage Containers</w:t>
            </w:r>
            <w:r w:rsidRPr="00CE6545">
              <w:rPr>
                <w:vertAlign w:val="superscript"/>
              </w:rPr>
              <w:t>2</w:t>
            </w:r>
            <w:r w:rsidRPr="00CE6545">
              <w:br/>
              <w:t>(Jan 1, 2023)</w:t>
            </w:r>
          </w:p>
        </w:tc>
        <w:tc>
          <w:tcPr>
            <w:tcW w:w="1575" w:type="dxa"/>
            <w:tcBorders>
              <w:top w:val="nil"/>
              <w:left w:val="single" w:sz="4" w:space="0" w:color="auto"/>
              <w:bottom w:val="single" w:sz="4" w:space="0" w:color="auto"/>
              <w:right w:val="single" w:sz="4" w:space="0" w:color="auto"/>
            </w:tcBorders>
            <w:shd w:val="clear" w:color="auto" w:fill="auto"/>
            <w:noWrap/>
            <w:hideMark/>
          </w:tcPr>
          <w:p w14:paraId="66795DB7" w14:textId="2B02AA41" w:rsidR="001451B8" w:rsidRPr="001451B8" w:rsidRDefault="001451B8" w:rsidP="001451B8">
            <w:pPr>
              <w:pStyle w:val="FocusbodyText"/>
              <w:jc w:val="right"/>
              <w:rPr>
                <w:rFonts w:cstheme="minorHAnsi"/>
                <w:szCs w:val="24"/>
              </w:rPr>
            </w:pPr>
            <w:r w:rsidRPr="001451B8">
              <w:rPr>
                <w:rFonts w:cstheme="minorHAnsi"/>
                <w:color w:val="000000"/>
                <w:szCs w:val="24"/>
              </w:rPr>
              <w:t xml:space="preserve">113,311,228 </w:t>
            </w:r>
          </w:p>
        </w:tc>
        <w:tc>
          <w:tcPr>
            <w:tcW w:w="1899" w:type="dxa"/>
            <w:tcBorders>
              <w:top w:val="nil"/>
              <w:left w:val="nil"/>
              <w:bottom w:val="single" w:sz="4" w:space="0" w:color="auto"/>
              <w:right w:val="single" w:sz="4" w:space="0" w:color="auto"/>
            </w:tcBorders>
            <w:shd w:val="clear" w:color="auto" w:fill="auto"/>
            <w:noWrap/>
            <w:hideMark/>
          </w:tcPr>
          <w:p w14:paraId="590D32FC" w14:textId="79DF75DA" w:rsidR="001451B8" w:rsidRPr="001451B8" w:rsidRDefault="001451B8" w:rsidP="001451B8">
            <w:pPr>
              <w:pStyle w:val="FocusbodyText"/>
              <w:jc w:val="right"/>
              <w:rPr>
                <w:rFonts w:cstheme="minorHAnsi"/>
                <w:szCs w:val="24"/>
              </w:rPr>
            </w:pPr>
            <w:r w:rsidRPr="001451B8">
              <w:rPr>
                <w:rFonts w:cstheme="minorHAnsi"/>
                <w:color w:val="000000"/>
                <w:szCs w:val="24"/>
              </w:rPr>
              <w:t xml:space="preserve">  113,311,228 </w:t>
            </w:r>
          </w:p>
        </w:tc>
        <w:tc>
          <w:tcPr>
            <w:tcW w:w="273" w:type="dxa"/>
            <w:tcBorders>
              <w:top w:val="nil"/>
              <w:bottom w:val="nil"/>
            </w:tcBorders>
            <w:shd w:val="clear" w:color="auto" w:fill="D9D9D9" w:themeFill="background1" w:themeFillShade="D9"/>
            <w:noWrap/>
            <w:hideMark/>
          </w:tcPr>
          <w:p w14:paraId="6A69D0E6" w14:textId="298DD44C" w:rsidR="001451B8" w:rsidRPr="001451B8" w:rsidRDefault="001451B8" w:rsidP="001451B8">
            <w:pPr>
              <w:pStyle w:val="FocusbodyText"/>
              <w:jc w:val="right"/>
              <w:rPr>
                <w:rFonts w:cstheme="minorHAnsi"/>
                <w:szCs w:val="24"/>
              </w:rPr>
            </w:pPr>
          </w:p>
        </w:tc>
        <w:tc>
          <w:tcPr>
            <w:tcW w:w="1442" w:type="dxa"/>
            <w:noWrap/>
            <w:hideMark/>
          </w:tcPr>
          <w:p w14:paraId="78800236" w14:textId="77777777" w:rsidR="001451B8" w:rsidRPr="001451B8" w:rsidRDefault="001451B8" w:rsidP="001451B8">
            <w:pPr>
              <w:pStyle w:val="FocusbodyText"/>
              <w:jc w:val="right"/>
              <w:rPr>
                <w:rFonts w:cstheme="minorHAnsi"/>
                <w:szCs w:val="24"/>
              </w:rPr>
            </w:pPr>
            <w:r w:rsidRPr="001451B8">
              <w:rPr>
                <w:rFonts w:cstheme="minorHAnsi"/>
                <w:szCs w:val="24"/>
              </w:rPr>
              <w:t>57%</w:t>
            </w:r>
          </w:p>
        </w:tc>
        <w:tc>
          <w:tcPr>
            <w:tcW w:w="1893" w:type="dxa"/>
            <w:tcBorders>
              <w:top w:val="nil"/>
              <w:left w:val="single" w:sz="4" w:space="0" w:color="auto"/>
              <w:bottom w:val="single" w:sz="4" w:space="0" w:color="auto"/>
              <w:right w:val="single" w:sz="4" w:space="0" w:color="auto"/>
            </w:tcBorders>
            <w:shd w:val="clear" w:color="auto" w:fill="auto"/>
            <w:noWrap/>
            <w:hideMark/>
          </w:tcPr>
          <w:p w14:paraId="61E1B8B7" w14:textId="116C2DF2" w:rsidR="001451B8" w:rsidRPr="001451B8" w:rsidRDefault="001451B8" w:rsidP="001451B8">
            <w:pPr>
              <w:pStyle w:val="FocusbodyText"/>
              <w:jc w:val="right"/>
              <w:rPr>
                <w:rFonts w:cstheme="minorHAnsi"/>
                <w:szCs w:val="24"/>
              </w:rPr>
            </w:pPr>
            <w:r w:rsidRPr="001451B8">
              <w:rPr>
                <w:rFonts w:cstheme="minorHAnsi"/>
                <w:color w:val="000000"/>
                <w:szCs w:val="24"/>
              </w:rPr>
              <w:t>$169,814</w:t>
            </w:r>
          </w:p>
        </w:tc>
        <w:tc>
          <w:tcPr>
            <w:tcW w:w="236" w:type="dxa"/>
            <w:tcBorders>
              <w:top w:val="nil"/>
              <w:bottom w:val="nil"/>
            </w:tcBorders>
            <w:shd w:val="clear" w:color="auto" w:fill="D9D9D9" w:themeFill="background1" w:themeFillShade="D9"/>
            <w:noWrap/>
            <w:hideMark/>
          </w:tcPr>
          <w:p w14:paraId="2B784249" w14:textId="41162367" w:rsidR="001451B8" w:rsidRPr="001451B8" w:rsidRDefault="001451B8" w:rsidP="001451B8">
            <w:pPr>
              <w:pStyle w:val="FocusbodyText"/>
              <w:jc w:val="right"/>
              <w:rPr>
                <w:rFonts w:cstheme="minorHAnsi"/>
                <w:szCs w:val="24"/>
              </w:rPr>
            </w:pPr>
          </w:p>
        </w:tc>
        <w:tc>
          <w:tcPr>
            <w:tcW w:w="1565" w:type="dxa"/>
            <w:noWrap/>
            <w:hideMark/>
          </w:tcPr>
          <w:p w14:paraId="3F93C363" w14:textId="77777777" w:rsidR="001451B8" w:rsidRPr="001451B8" w:rsidRDefault="001451B8" w:rsidP="001451B8">
            <w:pPr>
              <w:pStyle w:val="FocusbodyText"/>
              <w:jc w:val="right"/>
              <w:rPr>
                <w:rFonts w:cstheme="minorHAnsi"/>
                <w:szCs w:val="24"/>
              </w:rPr>
            </w:pPr>
            <w:r w:rsidRPr="001451B8">
              <w:rPr>
                <w:rFonts w:cstheme="minorHAnsi"/>
                <w:szCs w:val="24"/>
              </w:rPr>
              <w:t>67%</w:t>
            </w:r>
          </w:p>
        </w:tc>
        <w:tc>
          <w:tcPr>
            <w:tcW w:w="1439" w:type="dxa"/>
            <w:tcBorders>
              <w:top w:val="nil"/>
              <w:left w:val="single" w:sz="4" w:space="0" w:color="auto"/>
              <w:bottom w:val="single" w:sz="4" w:space="0" w:color="auto"/>
              <w:right w:val="single" w:sz="4" w:space="0" w:color="auto"/>
            </w:tcBorders>
            <w:shd w:val="clear" w:color="auto" w:fill="auto"/>
            <w:noWrap/>
            <w:hideMark/>
          </w:tcPr>
          <w:p w14:paraId="22BB70C7" w14:textId="2F7452BD" w:rsidR="001451B8" w:rsidRPr="001451B8" w:rsidRDefault="001451B8" w:rsidP="001451B8">
            <w:pPr>
              <w:pStyle w:val="FocusbodyText"/>
              <w:jc w:val="right"/>
              <w:rPr>
                <w:rFonts w:cstheme="minorHAnsi"/>
                <w:szCs w:val="24"/>
              </w:rPr>
            </w:pPr>
            <w:r w:rsidRPr="001451B8">
              <w:rPr>
                <w:rFonts w:cstheme="minorHAnsi"/>
                <w:color w:val="000000"/>
                <w:szCs w:val="24"/>
              </w:rPr>
              <w:t>$186,334</w:t>
            </w:r>
          </w:p>
        </w:tc>
        <w:tc>
          <w:tcPr>
            <w:tcW w:w="271" w:type="dxa"/>
            <w:tcBorders>
              <w:top w:val="nil"/>
              <w:bottom w:val="nil"/>
            </w:tcBorders>
            <w:shd w:val="clear" w:color="auto" w:fill="D9D9D9" w:themeFill="background1" w:themeFillShade="D9"/>
            <w:noWrap/>
            <w:hideMark/>
          </w:tcPr>
          <w:p w14:paraId="0BE24488" w14:textId="0958FE50" w:rsidR="001451B8" w:rsidRPr="001451B8" w:rsidRDefault="001451B8" w:rsidP="001451B8">
            <w:pPr>
              <w:pStyle w:val="FocusbodyText"/>
              <w:jc w:val="right"/>
              <w:rPr>
                <w:rFonts w:cstheme="minorHAnsi"/>
                <w:szCs w:val="24"/>
              </w:rPr>
            </w:pPr>
          </w:p>
        </w:tc>
        <w:tc>
          <w:tcPr>
            <w:tcW w:w="1614" w:type="dxa"/>
            <w:tcBorders>
              <w:top w:val="nil"/>
              <w:left w:val="single" w:sz="4" w:space="0" w:color="auto"/>
              <w:bottom w:val="single" w:sz="4" w:space="0" w:color="auto"/>
              <w:right w:val="single" w:sz="4" w:space="0" w:color="auto"/>
            </w:tcBorders>
            <w:shd w:val="clear" w:color="auto" w:fill="auto"/>
            <w:noWrap/>
            <w:hideMark/>
          </w:tcPr>
          <w:p w14:paraId="026BDEC4" w14:textId="38FD8A58" w:rsidR="001451B8" w:rsidRPr="001451B8" w:rsidRDefault="001451B8" w:rsidP="001451B8">
            <w:pPr>
              <w:pStyle w:val="FocusbodyText"/>
              <w:jc w:val="right"/>
              <w:rPr>
                <w:rFonts w:cstheme="minorHAnsi"/>
                <w:b/>
                <w:bCs/>
                <w:szCs w:val="24"/>
              </w:rPr>
            </w:pPr>
            <w:r w:rsidRPr="001451B8">
              <w:rPr>
                <w:rFonts w:cstheme="minorHAnsi"/>
                <w:color w:val="000000"/>
                <w:szCs w:val="24"/>
              </w:rPr>
              <w:t>$356,148</w:t>
            </w:r>
          </w:p>
        </w:tc>
      </w:tr>
      <w:tr w:rsidR="001451B8" w:rsidRPr="00526951" w14:paraId="37C951A9" w14:textId="77777777" w:rsidTr="001451B8">
        <w:trPr>
          <w:trHeight w:val="576"/>
        </w:trPr>
        <w:tc>
          <w:tcPr>
            <w:tcW w:w="2183" w:type="dxa"/>
            <w:hideMark/>
          </w:tcPr>
          <w:p w14:paraId="62B2E865" w14:textId="77777777" w:rsidR="001451B8" w:rsidRPr="00CE6545" w:rsidRDefault="001451B8" w:rsidP="001451B8">
            <w:pPr>
              <w:pStyle w:val="FocusbodyText"/>
            </w:pPr>
            <w:r w:rsidRPr="00CE6545">
              <w:t xml:space="preserve">Household and Personal Care  </w:t>
            </w:r>
            <w:r w:rsidRPr="00CE6545">
              <w:br/>
              <w:t>(Jan 1, 2025)</w:t>
            </w:r>
          </w:p>
        </w:tc>
        <w:tc>
          <w:tcPr>
            <w:tcW w:w="1575" w:type="dxa"/>
            <w:tcBorders>
              <w:top w:val="nil"/>
              <w:left w:val="single" w:sz="4" w:space="0" w:color="auto"/>
              <w:bottom w:val="single" w:sz="4" w:space="0" w:color="auto"/>
              <w:right w:val="single" w:sz="4" w:space="0" w:color="auto"/>
            </w:tcBorders>
            <w:shd w:val="clear" w:color="auto" w:fill="auto"/>
            <w:noWrap/>
            <w:hideMark/>
          </w:tcPr>
          <w:p w14:paraId="048A4A3B" w14:textId="7381CBDF" w:rsidR="001451B8" w:rsidRPr="001451B8" w:rsidRDefault="001451B8" w:rsidP="001451B8">
            <w:pPr>
              <w:pStyle w:val="FocusbodyText"/>
              <w:jc w:val="right"/>
              <w:rPr>
                <w:rFonts w:cstheme="minorHAnsi"/>
                <w:szCs w:val="24"/>
              </w:rPr>
            </w:pPr>
            <w:r w:rsidRPr="001451B8">
              <w:rPr>
                <w:rFonts w:cstheme="minorHAnsi"/>
                <w:color w:val="000000"/>
                <w:szCs w:val="24"/>
              </w:rPr>
              <w:t xml:space="preserve">30,300,424 </w:t>
            </w:r>
          </w:p>
        </w:tc>
        <w:tc>
          <w:tcPr>
            <w:tcW w:w="1899" w:type="dxa"/>
            <w:tcBorders>
              <w:top w:val="nil"/>
              <w:left w:val="nil"/>
              <w:bottom w:val="single" w:sz="4" w:space="0" w:color="auto"/>
              <w:right w:val="single" w:sz="4" w:space="0" w:color="auto"/>
            </w:tcBorders>
            <w:shd w:val="clear" w:color="auto" w:fill="auto"/>
            <w:noWrap/>
            <w:hideMark/>
          </w:tcPr>
          <w:p w14:paraId="484E5D40" w14:textId="704C855C" w:rsidR="001451B8" w:rsidRPr="001451B8" w:rsidRDefault="001451B8" w:rsidP="001451B8">
            <w:pPr>
              <w:pStyle w:val="FocusbodyText"/>
              <w:jc w:val="right"/>
              <w:rPr>
                <w:rFonts w:cstheme="minorHAnsi"/>
                <w:szCs w:val="24"/>
              </w:rPr>
            </w:pPr>
            <w:r w:rsidRPr="001451B8">
              <w:rPr>
                <w:rFonts w:cstheme="minorHAnsi"/>
                <w:color w:val="000000"/>
                <w:szCs w:val="24"/>
              </w:rPr>
              <w:t>-</w:t>
            </w:r>
            <w:r w:rsidRPr="001451B8" w:rsidDel="009863D2">
              <w:rPr>
                <w:rFonts w:cstheme="minorHAnsi"/>
                <w:color w:val="000000"/>
                <w:szCs w:val="24"/>
              </w:rPr>
              <w:t xml:space="preserve"> </w:t>
            </w:r>
          </w:p>
        </w:tc>
        <w:tc>
          <w:tcPr>
            <w:tcW w:w="273" w:type="dxa"/>
            <w:tcBorders>
              <w:top w:val="nil"/>
              <w:bottom w:val="nil"/>
            </w:tcBorders>
            <w:shd w:val="clear" w:color="auto" w:fill="D9D9D9" w:themeFill="background1" w:themeFillShade="D9"/>
            <w:noWrap/>
            <w:hideMark/>
          </w:tcPr>
          <w:p w14:paraId="015C335A" w14:textId="756ADE89" w:rsidR="001451B8" w:rsidRPr="001451B8" w:rsidRDefault="001451B8" w:rsidP="001451B8">
            <w:pPr>
              <w:pStyle w:val="FocusbodyText"/>
              <w:jc w:val="right"/>
              <w:rPr>
                <w:rFonts w:cstheme="minorHAnsi"/>
                <w:szCs w:val="24"/>
              </w:rPr>
            </w:pPr>
          </w:p>
        </w:tc>
        <w:tc>
          <w:tcPr>
            <w:tcW w:w="1442" w:type="dxa"/>
            <w:noWrap/>
            <w:hideMark/>
          </w:tcPr>
          <w:p w14:paraId="492AA1AB" w14:textId="77777777" w:rsidR="001451B8" w:rsidRPr="001451B8" w:rsidRDefault="001451B8" w:rsidP="001451B8">
            <w:pPr>
              <w:pStyle w:val="FocusbodyText"/>
              <w:jc w:val="right"/>
              <w:rPr>
                <w:rFonts w:cstheme="minorHAnsi"/>
                <w:szCs w:val="24"/>
              </w:rPr>
            </w:pPr>
            <w:r w:rsidRPr="001451B8">
              <w:rPr>
                <w:rFonts w:cstheme="minorHAnsi"/>
                <w:szCs w:val="24"/>
              </w:rPr>
              <w:t>15%</w:t>
            </w:r>
          </w:p>
        </w:tc>
        <w:tc>
          <w:tcPr>
            <w:tcW w:w="1893" w:type="dxa"/>
            <w:tcBorders>
              <w:top w:val="nil"/>
              <w:left w:val="single" w:sz="4" w:space="0" w:color="auto"/>
              <w:bottom w:val="single" w:sz="4" w:space="0" w:color="auto"/>
              <w:right w:val="single" w:sz="4" w:space="0" w:color="auto"/>
            </w:tcBorders>
            <w:shd w:val="clear" w:color="auto" w:fill="auto"/>
            <w:noWrap/>
            <w:hideMark/>
          </w:tcPr>
          <w:p w14:paraId="0388E9C7" w14:textId="5EEE928B" w:rsidR="001451B8" w:rsidRPr="001451B8" w:rsidRDefault="001451B8" w:rsidP="001451B8">
            <w:pPr>
              <w:pStyle w:val="FocusbodyText"/>
              <w:jc w:val="right"/>
              <w:rPr>
                <w:rFonts w:cstheme="minorHAnsi"/>
                <w:szCs w:val="24"/>
              </w:rPr>
            </w:pPr>
            <w:r w:rsidRPr="001451B8">
              <w:rPr>
                <w:rFonts w:cstheme="minorHAnsi"/>
                <w:color w:val="000000"/>
                <w:szCs w:val="24"/>
              </w:rPr>
              <w:t>$45,410</w:t>
            </w:r>
          </w:p>
        </w:tc>
        <w:tc>
          <w:tcPr>
            <w:tcW w:w="236" w:type="dxa"/>
            <w:tcBorders>
              <w:top w:val="nil"/>
              <w:bottom w:val="nil"/>
            </w:tcBorders>
            <w:shd w:val="clear" w:color="auto" w:fill="D9D9D9" w:themeFill="background1" w:themeFillShade="D9"/>
            <w:noWrap/>
            <w:hideMark/>
          </w:tcPr>
          <w:p w14:paraId="367D2F44" w14:textId="1FE82AAD" w:rsidR="001451B8" w:rsidRPr="001451B8" w:rsidRDefault="001451B8" w:rsidP="001451B8">
            <w:pPr>
              <w:pStyle w:val="FocusbodyText"/>
              <w:jc w:val="right"/>
              <w:rPr>
                <w:rFonts w:cstheme="minorHAnsi"/>
                <w:szCs w:val="24"/>
              </w:rPr>
            </w:pPr>
          </w:p>
        </w:tc>
        <w:tc>
          <w:tcPr>
            <w:tcW w:w="1565" w:type="dxa"/>
            <w:noWrap/>
            <w:hideMark/>
          </w:tcPr>
          <w:p w14:paraId="7B8B117A" w14:textId="77777777" w:rsidR="001451B8" w:rsidRPr="001451B8" w:rsidRDefault="001451B8" w:rsidP="001451B8">
            <w:pPr>
              <w:pStyle w:val="FocusbodyText"/>
              <w:jc w:val="right"/>
              <w:rPr>
                <w:rFonts w:cstheme="minorHAnsi"/>
                <w:szCs w:val="24"/>
              </w:rPr>
            </w:pPr>
            <w:r w:rsidRPr="001451B8">
              <w:rPr>
                <w:rFonts w:cstheme="minorHAnsi"/>
                <w:szCs w:val="24"/>
              </w:rPr>
              <w:t>0%</w:t>
            </w:r>
          </w:p>
        </w:tc>
        <w:tc>
          <w:tcPr>
            <w:tcW w:w="1439" w:type="dxa"/>
            <w:tcBorders>
              <w:top w:val="nil"/>
              <w:left w:val="single" w:sz="4" w:space="0" w:color="auto"/>
              <w:bottom w:val="single" w:sz="4" w:space="0" w:color="auto"/>
              <w:right w:val="single" w:sz="4" w:space="0" w:color="auto"/>
            </w:tcBorders>
            <w:shd w:val="clear" w:color="auto" w:fill="auto"/>
            <w:noWrap/>
            <w:hideMark/>
          </w:tcPr>
          <w:p w14:paraId="212A63FE" w14:textId="66058379" w:rsidR="001451B8" w:rsidRPr="001451B8" w:rsidRDefault="001451B8" w:rsidP="001451B8">
            <w:pPr>
              <w:pStyle w:val="FocusbodyText"/>
              <w:jc w:val="right"/>
              <w:rPr>
                <w:rFonts w:cstheme="minorHAnsi"/>
                <w:szCs w:val="24"/>
              </w:rPr>
            </w:pPr>
            <w:r w:rsidRPr="001451B8">
              <w:rPr>
                <w:rFonts w:cstheme="minorHAnsi"/>
                <w:color w:val="000000"/>
                <w:szCs w:val="24"/>
              </w:rPr>
              <w:t>$0</w:t>
            </w:r>
          </w:p>
        </w:tc>
        <w:tc>
          <w:tcPr>
            <w:tcW w:w="271" w:type="dxa"/>
            <w:tcBorders>
              <w:top w:val="nil"/>
              <w:bottom w:val="nil"/>
            </w:tcBorders>
            <w:shd w:val="clear" w:color="auto" w:fill="D9D9D9" w:themeFill="background1" w:themeFillShade="D9"/>
            <w:noWrap/>
            <w:hideMark/>
          </w:tcPr>
          <w:p w14:paraId="724AC5B0" w14:textId="28BA00E5" w:rsidR="001451B8" w:rsidRPr="001451B8" w:rsidRDefault="001451B8" w:rsidP="001451B8">
            <w:pPr>
              <w:pStyle w:val="FocusbodyText"/>
              <w:jc w:val="right"/>
              <w:rPr>
                <w:rFonts w:cstheme="minorHAnsi"/>
                <w:szCs w:val="24"/>
              </w:rPr>
            </w:pPr>
          </w:p>
        </w:tc>
        <w:tc>
          <w:tcPr>
            <w:tcW w:w="1614" w:type="dxa"/>
            <w:tcBorders>
              <w:top w:val="nil"/>
              <w:left w:val="single" w:sz="4" w:space="0" w:color="auto"/>
              <w:bottom w:val="single" w:sz="4" w:space="0" w:color="auto"/>
              <w:right w:val="single" w:sz="4" w:space="0" w:color="auto"/>
            </w:tcBorders>
            <w:shd w:val="clear" w:color="auto" w:fill="auto"/>
            <w:noWrap/>
            <w:hideMark/>
          </w:tcPr>
          <w:p w14:paraId="398ED68A" w14:textId="32DF4D69" w:rsidR="001451B8" w:rsidRPr="001451B8" w:rsidRDefault="001451B8" w:rsidP="001451B8">
            <w:pPr>
              <w:pStyle w:val="FocusbodyText"/>
              <w:jc w:val="right"/>
              <w:rPr>
                <w:rFonts w:cstheme="minorHAnsi"/>
                <w:b/>
                <w:bCs/>
                <w:szCs w:val="24"/>
              </w:rPr>
            </w:pPr>
            <w:r w:rsidRPr="001451B8">
              <w:rPr>
                <w:rFonts w:cstheme="minorHAnsi"/>
                <w:color w:val="000000"/>
                <w:szCs w:val="24"/>
              </w:rPr>
              <w:t>$45,410</w:t>
            </w:r>
          </w:p>
        </w:tc>
      </w:tr>
      <w:tr w:rsidR="00683585" w:rsidRPr="00526951" w14:paraId="0E102122" w14:textId="77777777" w:rsidTr="00683585">
        <w:trPr>
          <w:trHeight w:val="612"/>
        </w:trPr>
        <w:tc>
          <w:tcPr>
            <w:tcW w:w="2183" w:type="dxa"/>
            <w:tcBorders>
              <w:bottom w:val="single" w:sz="4" w:space="0" w:color="auto"/>
            </w:tcBorders>
            <w:hideMark/>
          </w:tcPr>
          <w:p w14:paraId="414E9EF4" w14:textId="77777777" w:rsidR="00683585" w:rsidRPr="00CE6545" w:rsidRDefault="00683585" w:rsidP="00683585">
            <w:pPr>
              <w:pStyle w:val="FocusbodyText"/>
            </w:pPr>
            <w:r w:rsidRPr="00CE6545">
              <w:t>Delayed Beverage Containers</w:t>
            </w:r>
            <w:r w:rsidRPr="00CE6545">
              <w:rPr>
                <w:vertAlign w:val="superscript"/>
              </w:rPr>
              <w:t>2</w:t>
            </w:r>
            <w:r w:rsidRPr="00CE6545">
              <w:br/>
              <w:t>(Jan 1, 2028)</w:t>
            </w:r>
          </w:p>
        </w:tc>
        <w:tc>
          <w:tcPr>
            <w:tcW w:w="1575" w:type="dxa"/>
            <w:tcBorders>
              <w:top w:val="nil"/>
              <w:left w:val="single" w:sz="4" w:space="0" w:color="auto"/>
              <w:bottom w:val="single" w:sz="4" w:space="0" w:color="auto"/>
              <w:right w:val="single" w:sz="4" w:space="0" w:color="auto"/>
            </w:tcBorders>
            <w:shd w:val="clear" w:color="auto" w:fill="auto"/>
            <w:noWrap/>
            <w:hideMark/>
          </w:tcPr>
          <w:p w14:paraId="0034D953" w14:textId="42A514EE" w:rsidR="00683585" w:rsidRPr="001451B8" w:rsidRDefault="009863D2" w:rsidP="00683585">
            <w:pPr>
              <w:pStyle w:val="FocusbodyText"/>
              <w:jc w:val="right"/>
              <w:rPr>
                <w:rFonts w:cstheme="minorHAnsi"/>
                <w:szCs w:val="24"/>
              </w:rPr>
            </w:pPr>
            <w:r w:rsidRPr="001451B8">
              <w:rPr>
                <w:rFonts w:cstheme="minorHAnsi"/>
                <w:color w:val="000000"/>
                <w:szCs w:val="24"/>
              </w:rPr>
              <w:t xml:space="preserve">   </w:t>
            </w:r>
          </w:p>
        </w:tc>
        <w:tc>
          <w:tcPr>
            <w:tcW w:w="1899" w:type="dxa"/>
            <w:tcBorders>
              <w:top w:val="nil"/>
              <w:left w:val="nil"/>
              <w:bottom w:val="single" w:sz="4" w:space="0" w:color="auto"/>
              <w:right w:val="single" w:sz="4" w:space="0" w:color="auto"/>
            </w:tcBorders>
            <w:shd w:val="clear" w:color="auto" w:fill="auto"/>
            <w:noWrap/>
            <w:hideMark/>
          </w:tcPr>
          <w:p w14:paraId="06820119" w14:textId="02B2BE0A" w:rsidR="00683585" w:rsidRPr="001451B8" w:rsidRDefault="00683585" w:rsidP="00683585">
            <w:pPr>
              <w:pStyle w:val="FocusbodyText"/>
              <w:jc w:val="right"/>
              <w:rPr>
                <w:rFonts w:cstheme="minorHAnsi"/>
                <w:szCs w:val="24"/>
              </w:rPr>
            </w:pPr>
            <w:r w:rsidRPr="001451B8">
              <w:rPr>
                <w:rFonts w:cstheme="minorHAnsi"/>
                <w:color w:val="000000"/>
                <w:szCs w:val="24"/>
              </w:rPr>
              <w:t xml:space="preserve">- </w:t>
            </w:r>
          </w:p>
        </w:tc>
        <w:tc>
          <w:tcPr>
            <w:tcW w:w="273" w:type="dxa"/>
            <w:tcBorders>
              <w:top w:val="nil"/>
              <w:bottom w:val="nil"/>
            </w:tcBorders>
            <w:shd w:val="clear" w:color="auto" w:fill="D9D9D9" w:themeFill="background1" w:themeFillShade="D9"/>
            <w:noWrap/>
            <w:hideMark/>
          </w:tcPr>
          <w:p w14:paraId="4470DB8C" w14:textId="617E89F8" w:rsidR="00683585" w:rsidRPr="001451B8" w:rsidRDefault="00683585" w:rsidP="00683585">
            <w:pPr>
              <w:pStyle w:val="FocusbodyText"/>
              <w:jc w:val="right"/>
              <w:rPr>
                <w:rFonts w:cstheme="minorHAnsi"/>
                <w:szCs w:val="24"/>
              </w:rPr>
            </w:pPr>
          </w:p>
        </w:tc>
        <w:tc>
          <w:tcPr>
            <w:tcW w:w="1442" w:type="dxa"/>
            <w:tcBorders>
              <w:bottom w:val="single" w:sz="4" w:space="0" w:color="auto"/>
            </w:tcBorders>
            <w:noWrap/>
            <w:hideMark/>
          </w:tcPr>
          <w:p w14:paraId="38A36C4D" w14:textId="77777777" w:rsidR="00683585" w:rsidRPr="001451B8" w:rsidRDefault="00683585" w:rsidP="00683585">
            <w:pPr>
              <w:pStyle w:val="FocusbodyText"/>
              <w:jc w:val="right"/>
              <w:rPr>
                <w:rFonts w:cstheme="minorHAnsi"/>
                <w:szCs w:val="24"/>
              </w:rPr>
            </w:pPr>
            <w:r w:rsidRPr="001451B8">
              <w:rPr>
                <w:rFonts w:cstheme="minorHAnsi"/>
                <w:szCs w:val="24"/>
              </w:rPr>
              <w:t>0%</w:t>
            </w:r>
          </w:p>
        </w:tc>
        <w:tc>
          <w:tcPr>
            <w:tcW w:w="1893" w:type="dxa"/>
            <w:tcBorders>
              <w:top w:val="nil"/>
              <w:left w:val="single" w:sz="4" w:space="0" w:color="auto"/>
              <w:bottom w:val="single" w:sz="4" w:space="0" w:color="auto"/>
              <w:right w:val="single" w:sz="4" w:space="0" w:color="auto"/>
            </w:tcBorders>
            <w:shd w:val="clear" w:color="auto" w:fill="auto"/>
            <w:noWrap/>
            <w:hideMark/>
          </w:tcPr>
          <w:p w14:paraId="707EA2E2" w14:textId="135ADDD8" w:rsidR="00683585" w:rsidRPr="001451B8" w:rsidRDefault="00683585" w:rsidP="00683585">
            <w:pPr>
              <w:pStyle w:val="FocusbodyText"/>
              <w:jc w:val="right"/>
              <w:rPr>
                <w:rFonts w:cstheme="minorHAnsi"/>
                <w:szCs w:val="24"/>
              </w:rPr>
            </w:pPr>
            <w:r w:rsidRPr="001451B8">
              <w:rPr>
                <w:rFonts w:cstheme="minorHAnsi"/>
                <w:color w:val="000000"/>
                <w:szCs w:val="24"/>
              </w:rPr>
              <w:t>$0</w:t>
            </w:r>
          </w:p>
        </w:tc>
        <w:tc>
          <w:tcPr>
            <w:tcW w:w="236" w:type="dxa"/>
            <w:tcBorders>
              <w:top w:val="nil"/>
              <w:bottom w:val="nil"/>
            </w:tcBorders>
            <w:shd w:val="clear" w:color="auto" w:fill="D9D9D9" w:themeFill="background1" w:themeFillShade="D9"/>
            <w:noWrap/>
            <w:hideMark/>
          </w:tcPr>
          <w:p w14:paraId="453B9AEF" w14:textId="4E7FCDE1" w:rsidR="00683585" w:rsidRPr="001451B8" w:rsidRDefault="00683585" w:rsidP="00683585">
            <w:pPr>
              <w:pStyle w:val="FocusbodyText"/>
              <w:jc w:val="right"/>
              <w:rPr>
                <w:rFonts w:cstheme="minorHAnsi"/>
                <w:szCs w:val="24"/>
              </w:rPr>
            </w:pPr>
          </w:p>
        </w:tc>
        <w:tc>
          <w:tcPr>
            <w:tcW w:w="1565" w:type="dxa"/>
            <w:tcBorders>
              <w:bottom w:val="single" w:sz="4" w:space="0" w:color="auto"/>
            </w:tcBorders>
            <w:noWrap/>
            <w:hideMark/>
          </w:tcPr>
          <w:p w14:paraId="1AB38CC8" w14:textId="77777777" w:rsidR="00683585" w:rsidRPr="001451B8" w:rsidRDefault="00683585" w:rsidP="00683585">
            <w:pPr>
              <w:pStyle w:val="FocusbodyText"/>
              <w:jc w:val="right"/>
              <w:rPr>
                <w:rFonts w:cstheme="minorHAnsi"/>
                <w:szCs w:val="24"/>
              </w:rPr>
            </w:pPr>
            <w:r w:rsidRPr="001451B8">
              <w:rPr>
                <w:rFonts w:cstheme="minorHAnsi"/>
                <w:szCs w:val="24"/>
              </w:rPr>
              <w:t>0%</w:t>
            </w:r>
          </w:p>
        </w:tc>
        <w:tc>
          <w:tcPr>
            <w:tcW w:w="1439" w:type="dxa"/>
            <w:tcBorders>
              <w:top w:val="nil"/>
              <w:left w:val="single" w:sz="4" w:space="0" w:color="auto"/>
              <w:bottom w:val="single" w:sz="4" w:space="0" w:color="auto"/>
              <w:right w:val="single" w:sz="4" w:space="0" w:color="auto"/>
            </w:tcBorders>
            <w:shd w:val="clear" w:color="auto" w:fill="auto"/>
            <w:noWrap/>
            <w:hideMark/>
          </w:tcPr>
          <w:p w14:paraId="752C92D8" w14:textId="79FB33C9" w:rsidR="00683585" w:rsidRPr="001451B8" w:rsidRDefault="00683585" w:rsidP="00683585">
            <w:pPr>
              <w:pStyle w:val="FocusbodyText"/>
              <w:jc w:val="right"/>
              <w:rPr>
                <w:rFonts w:cstheme="minorHAnsi"/>
                <w:szCs w:val="24"/>
              </w:rPr>
            </w:pPr>
            <w:r w:rsidRPr="001451B8">
              <w:rPr>
                <w:rFonts w:cstheme="minorHAnsi"/>
                <w:color w:val="000000"/>
                <w:szCs w:val="24"/>
              </w:rPr>
              <w:t>$0</w:t>
            </w:r>
          </w:p>
        </w:tc>
        <w:tc>
          <w:tcPr>
            <w:tcW w:w="271" w:type="dxa"/>
            <w:tcBorders>
              <w:top w:val="nil"/>
              <w:bottom w:val="nil"/>
            </w:tcBorders>
            <w:shd w:val="clear" w:color="auto" w:fill="D9D9D9" w:themeFill="background1" w:themeFillShade="D9"/>
            <w:noWrap/>
            <w:hideMark/>
          </w:tcPr>
          <w:p w14:paraId="4A0A5F88" w14:textId="180A01F7" w:rsidR="00683585" w:rsidRPr="001451B8" w:rsidRDefault="00683585" w:rsidP="00683585">
            <w:pPr>
              <w:pStyle w:val="FocusbodyText"/>
              <w:jc w:val="right"/>
              <w:rPr>
                <w:rFonts w:cstheme="minorHAnsi"/>
                <w:szCs w:val="24"/>
              </w:rPr>
            </w:pPr>
          </w:p>
        </w:tc>
        <w:tc>
          <w:tcPr>
            <w:tcW w:w="1614" w:type="dxa"/>
            <w:tcBorders>
              <w:top w:val="nil"/>
              <w:left w:val="single" w:sz="4" w:space="0" w:color="auto"/>
              <w:bottom w:val="single" w:sz="4" w:space="0" w:color="auto"/>
              <w:right w:val="single" w:sz="4" w:space="0" w:color="auto"/>
            </w:tcBorders>
            <w:shd w:val="clear" w:color="auto" w:fill="auto"/>
            <w:noWrap/>
            <w:hideMark/>
          </w:tcPr>
          <w:p w14:paraId="0AFFB003" w14:textId="7038C9BD" w:rsidR="00683585" w:rsidRPr="001451B8" w:rsidRDefault="00683585" w:rsidP="00683585">
            <w:pPr>
              <w:pStyle w:val="FocusbodyText"/>
              <w:jc w:val="right"/>
              <w:rPr>
                <w:rFonts w:cstheme="minorHAnsi"/>
                <w:b/>
                <w:bCs/>
                <w:szCs w:val="24"/>
              </w:rPr>
            </w:pPr>
            <w:r w:rsidRPr="001451B8">
              <w:rPr>
                <w:rFonts w:cstheme="minorHAnsi"/>
                <w:color w:val="000000"/>
                <w:szCs w:val="24"/>
              </w:rPr>
              <w:t>$0</w:t>
            </w:r>
          </w:p>
        </w:tc>
      </w:tr>
      <w:tr w:rsidR="00683585" w:rsidRPr="00526951" w14:paraId="177DE2DF" w14:textId="77777777" w:rsidTr="00CC3CD2">
        <w:trPr>
          <w:trHeight w:val="288"/>
        </w:trPr>
        <w:tc>
          <w:tcPr>
            <w:tcW w:w="2183" w:type="dxa"/>
            <w:tcBorders>
              <w:top w:val="single" w:sz="4" w:space="0" w:color="auto"/>
              <w:bottom w:val="single" w:sz="4" w:space="0" w:color="auto"/>
              <w:right w:val="single" w:sz="4" w:space="0" w:color="auto"/>
            </w:tcBorders>
            <w:shd w:val="clear" w:color="000000" w:fill="D9E2F3" w:themeFill="accent5" w:themeFillTint="33"/>
            <w:noWrap/>
            <w:hideMark/>
          </w:tcPr>
          <w:p w14:paraId="1BD3D81D" w14:textId="428CB1AE" w:rsidR="00683585" w:rsidRPr="00526951" w:rsidRDefault="00683585" w:rsidP="00683585">
            <w:pPr>
              <w:pStyle w:val="FocusbodyText"/>
              <w:rPr>
                <w:b/>
                <w:bCs/>
              </w:rPr>
            </w:pPr>
            <w:r w:rsidRPr="00526951">
              <w:rPr>
                <w:b/>
                <w:bCs/>
              </w:rPr>
              <w:t>Total</w:t>
            </w:r>
          </w:p>
        </w:tc>
        <w:tc>
          <w:tcPr>
            <w:tcW w:w="1575"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hideMark/>
          </w:tcPr>
          <w:p w14:paraId="2916A44F" w14:textId="1A68CDED" w:rsidR="00683585" w:rsidRPr="001451B8" w:rsidRDefault="00683585" w:rsidP="00683585">
            <w:pPr>
              <w:pStyle w:val="FocusbodyText"/>
              <w:jc w:val="center"/>
              <w:rPr>
                <w:rFonts w:cstheme="minorHAnsi"/>
                <w:b/>
                <w:bCs/>
                <w:szCs w:val="24"/>
              </w:rPr>
            </w:pPr>
            <w:r w:rsidRPr="001451B8">
              <w:rPr>
                <w:rFonts w:cstheme="minorHAnsi"/>
                <w:b/>
                <w:bCs/>
                <w:color w:val="000000"/>
                <w:szCs w:val="24"/>
              </w:rPr>
              <w:t xml:space="preserve">199,835,720 </w:t>
            </w:r>
          </w:p>
        </w:tc>
        <w:tc>
          <w:tcPr>
            <w:tcW w:w="1899"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hideMark/>
          </w:tcPr>
          <w:p w14:paraId="64AA2105" w14:textId="587D0F6D" w:rsidR="00683585" w:rsidRPr="001451B8" w:rsidRDefault="00683585" w:rsidP="00683585">
            <w:pPr>
              <w:pStyle w:val="FocusbodyText"/>
              <w:jc w:val="center"/>
              <w:rPr>
                <w:rFonts w:cstheme="minorHAnsi"/>
                <w:b/>
                <w:bCs/>
                <w:szCs w:val="24"/>
              </w:rPr>
            </w:pPr>
            <w:r w:rsidRPr="001451B8">
              <w:rPr>
                <w:rFonts w:cstheme="minorHAnsi"/>
                <w:b/>
                <w:bCs/>
                <w:color w:val="000000"/>
                <w:szCs w:val="24"/>
              </w:rPr>
              <w:t xml:space="preserve"> 169,535,296 </w:t>
            </w:r>
          </w:p>
        </w:tc>
        <w:tc>
          <w:tcPr>
            <w:tcW w:w="273" w:type="dxa"/>
            <w:tcBorders>
              <w:top w:val="nil"/>
              <w:bottom w:val="nil"/>
            </w:tcBorders>
            <w:shd w:val="clear" w:color="auto" w:fill="D9D9D9" w:themeFill="background1" w:themeFillShade="D9"/>
            <w:noWrap/>
          </w:tcPr>
          <w:p w14:paraId="6DC1B11A" w14:textId="3D1461C8" w:rsidR="00683585" w:rsidRPr="001451B8" w:rsidRDefault="00683585" w:rsidP="00683585">
            <w:pPr>
              <w:pStyle w:val="FocusbodyText"/>
              <w:jc w:val="center"/>
              <w:rPr>
                <w:rFonts w:cstheme="minorHAnsi"/>
                <w:b/>
                <w:bCs/>
                <w:szCs w:val="24"/>
              </w:rPr>
            </w:pPr>
          </w:p>
        </w:tc>
        <w:tc>
          <w:tcPr>
            <w:tcW w:w="1442" w:type="dxa"/>
            <w:tcBorders>
              <w:top w:val="single" w:sz="4" w:space="0" w:color="auto"/>
              <w:bottom w:val="single" w:sz="4" w:space="0" w:color="auto"/>
              <w:right w:val="single" w:sz="4" w:space="0" w:color="auto"/>
            </w:tcBorders>
            <w:shd w:val="clear" w:color="000000" w:fill="D9E2F3" w:themeFill="accent5" w:themeFillTint="33"/>
            <w:noWrap/>
            <w:hideMark/>
          </w:tcPr>
          <w:p w14:paraId="3AB42F0D" w14:textId="77777777" w:rsidR="00683585" w:rsidRPr="001451B8" w:rsidRDefault="00683585" w:rsidP="00683585">
            <w:pPr>
              <w:pStyle w:val="FocusbodyText"/>
              <w:jc w:val="center"/>
              <w:rPr>
                <w:rFonts w:cstheme="minorHAnsi"/>
                <w:b/>
                <w:bCs/>
                <w:szCs w:val="24"/>
              </w:rPr>
            </w:pPr>
            <w:r w:rsidRPr="001451B8">
              <w:rPr>
                <w:rFonts w:cstheme="minorHAnsi"/>
                <w:b/>
                <w:bCs/>
                <w:szCs w:val="24"/>
              </w:rPr>
              <w:t>100%</w:t>
            </w:r>
          </w:p>
        </w:tc>
        <w:tc>
          <w:tcPr>
            <w:tcW w:w="1893"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hideMark/>
          </w:tcPr>
          <w:p w14:paraId="2D7DE243" w14:textId="54F01A96" w:rsidR="00683585" w:rsidRPr="001451B8" w:rsidRDefault="00683585" w:rsidP="00683585">
            <w:pPr>
              <w:pStyle w:val="FocusbodyText"/>
              <w:jc w:val="center"/>
              <w:rPr>
                <w:rFonts w:cstheme="minorHAnsi"/>
                <w:b/>
                <w:bCs/>
                <w:szCs w:val="24"/>
              </w:rPr>
            </w:pPr>
            <w:r w:rsidRPr="001451B8">
              <w:rPr>
                <w:rFonts w:cstheme="minorHAnsi"/>
                <w:b/>
                <w:bCs/>
                <w:color w:val="000000"/>
                <w:szCs w:val="24"/>
              </w:rPr>
              <w:t>$299,484</w:t>
            </w:r>
          </w:p>
        </w:tc>
        <w:tc>
          <w:tcPr>
            <w:tcW w:w="236" w:type="dxa"/>
            <w:tcBorders>
              <w:top w:val="nil"/>
              <w:bottom w:val="nil"/>
            </w:tcBorders>
            <w:shd w:val="clear" w:color="auto" w:fill="D9D9D9" w:themeFill="background1" w:themeFillShade="D9"/>
            <w:noWrap/>
            <w:hideMark/>
          </w:tcPr>
          <w:p w14:paraId="515DE454" w14:textId="51F7FEEF" w:rsidR="00683585" w:rsidRPr="001451B8" w:rsidRDefault="00683585" w:rsidP="00683585">
            <w:pPr>
              <w:pStyle w:val="FocusbodyText"/>
              <w:jc w:val="center"/>
              <w:rPr>
                <w:rFonts w:cstheme="minorHAnsi"/>
                <w:b/>
                <w:bCs/>
                <w:szCs w:val="24"/>
              </w:rPr>
            </w:pPr>
          </w:p>
        </w:tc>
        <w:tc>
          <w:tcPr>
            <w:tcW w:w="1565" w:type="dxa"/>
            <w:tcBorders>
              <w:top w:val="single" w:sz="4" w:space="0" w:color="auto"/>
              <w:bottom w:val="single" w:sz="4" w:space="0" w:color="auto"/>
              <w:right w:val="single" w:sz="4" w:space="0" w:color="auto"/>
            </w:tcBorders>
            <w:shd w:val="clear" w:color="000000" w:fill="D9E2F3" w:themeFill="accent5" w:themeFillTint="33"/>
            <w:noWrap/>
            <w:hideMark/>
          </w:tcPr>
          <w:p w14:paraId="1A0D4901" w14:textId="77777777" w:rsidR="00683585" w:rsidRPr="001451B8" w:rsidRDefault="00683585" w:rsidP="00683585">
            <w:pPr>
              <w:pStyle w:val="FocusbodyText"/>
              <w:jc w:val="center"/>
              <w:rPr>
                <w:rFonts w:cstheme="minorHAnsi"/>
                <w:b/>
                <w:bCs/>
                <w:szCs w:val="24"/>
              </w:rPr>
            </w:pPr>
            <w:r w:rsidRPr="001451B8">
              <w:rPr>
                <w:rFonts w:cstheme="minorHAnsi"/>
                <w:b/>
                <w:bCs/>
                <w:szCs w:val="24"/>
              </w:rPr>
              <w:t>100%</w:t>
            </w:r>
          </w:p>
        </w:tc>
        <w:tc>
          <w:tcPr>
            <w:tcW w:w="1439"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hideMark/>
          </w:tcPr>
          <w:p w14:paraId="0AB660B7" w14:textId="24C6524A" w:rsidR="00683585" w:rsidRPr="001451B8" w:rsidRDefault="00683585" w:rsidP="00683585">
            <w:pPr>
              <w:pStyle w:val="FocusbodyText"/>
              <w:jc w:val="center"/>
              <w:rPr>
                <w:rFonts w:cstheme="minorHAnsi"/>
                <w:b/>
                <w:bCs/>
                <w:szCs w:val="24"/>
              </w:rPr>
            </w:pPr>
            <w:r w:rsidRPr="001451B8">
              <w:rPr>
                <w:rFonts w:cstheme="minorHAnsi"/>
                <w:b/>
                <w:bCs/>
                <w:color w:val="000000"/>
                <w:szCs w:val="24"/>
              </w:rPr>
              <w:t>$278,791</w:t>
            </w:r>
          </w:p>
        </w:tc>
        <w:tc>
          <w:tcPr>
            <w:tcW w:w="271" w:type="dxa"/>
            <w:tcBorders>
              <w:top w:val="nil"/>
              <w:bottom w:val="nil"/>
            </w:tcBorders>
            <w:shd w:val="clear" w:color="auto" w:fill="D9D9D9" w:themeFill="background1" w:themeFillShade="D9"/>
            <w:noWrap/>
            <w:hideMark/>
          </w:tcPr>
          <w:p w14:paraId="11A90C8C" w14:textId="31FC0964" w:rsidR="00683585" w:rsidRPr="001451B8" w:rsidRDefault="00683585" w:rsidP="00683585">
            <w:pPr>
              <w:pStyle w:val="FocusbodyText"/>
              <w:jc w:val="center"/>
              <w:rPr>
                <w:rFonts w:cstheme="minorHAnsi"/>
                <w:b/>
                <w:bCs/>
                <w:szCs w:val="24"/>
              </w:rPr>
            </w:pPr>
          </w:p>
        </w:tc>
        <w:tc>
          <w:tcPr>
            <w:tcW w:w="1614" w:type="dxa"/>
            <w:tcBorders>
              <w:top w:val="single" w:sz="4" w:space="0" w:color="auto"/>
              <w:left w:val="single" w:sz="4" w:space="0" w:color="auto"/>
              <w:bottom w:val="single" w:sz="4" w:space="0" w:color="auto"/>
              <w:right w:val="single" w:sz="4" w:space="0" w:color="auto"/>
            </w:tcBorders>
            <w:shd w:val="clear" w:color="000000" w:fill="D9E2F3" w:themeFill="accent5" w:themeFillTint="33"/>
            <w:noWrap/>
            <w:hideMark/>
          </w:tcPr>
          <w:p w14:paraId="1D5315F4" w14:textId="178BF6BF" w:rsidR="00683585" w:rsidRPr="001451B8" w:rsidRDefault="00683585" w:rsidP="00683585">
            <w:pPr>
              <w:pStyle w:val="FocusbodyText"/>
              <w:jc w:val="center"/>
              <w:rPr>
                <w:rFonts w:cstheme="minorHAnsi"/>
                <w:b/>
                <w:bCs/>
                <w:szCs w:val="24"/>
              </w:rPr>
            </w:pPr>
            <w:r w:rsidRPr="001451B8">
              <w:rPr>
                <w:rFonts w:cstheme="minorHAnsi"/>
                <w:b/>
                <w:bCs/>
                <w:color w:val="000000"/>
                <w:szCs w:val="24"/>
              </w:rPr>
              <w:t>$578,275</w:t>
            </w:r>
          </w:p>
        </w:tc>
      </w:tr>
    </w:tbl>
    <w:p w14:paraId="78F26676" w14:textId="0D52176F" w:rsidR="008D7D9E" w:rsidRDefault="008D7D9E" w:rsidP="008D7D9E">
      <w:pPr>
        <w:pStyle w:val="FocusbodyText"/>
      </w:pPr>
      <w:r w:rsidRPr="008D7D9E">
        <w:rPr>
          <w:vertAlign w:val="superscript"/>
        </w:rPr>
        <w:t>1</w:t>
      </w:r>
      <w:r>
        <w:t>The weights listed are based on data submitted by producers for</w:t>
      </w:r>
      <w:r w:rsidR="005D1512">
        <w:t xml:space="preserve"> the </w:t>
      </w:r>
      <w:r>
        <w:t>CY 2022 registration</w:t>
      </w:r>
      <w:r w:rsidR="005D1512">
        <w:t xml:space="preserve"> period</w:t>
      </w:r>
      <w:r>
        <w:t xml:space="preserve">. </w:t>
      </w:r>
      <w:r w:rsidR="009E68F2">
        <w:t>Final</w:t>
      </w:r>
      <w:r w:rsidR="009E68F2" w:rsidDel="001D35BB">
        <w:t xml:space="preserve"> </w:t>
      </w:r>
      <w:r w:rsidR="009E68F2">
        <w:t xml:space="preserve">individual producer </w:t>
      </w:r>
      <w:r>
        <w:t xml:space="preserve">fees will be calculated using registration data submitted by April 1, </w:t>
      </w:r>
      <w:r w:rsidR="00C309A8">
        <w:t>2023,</w:t>
      </w:r>
      <w:r w:rsidR="005D1512">
        <w:t xml:space="preserve"> for the CY 2023 registration period</w:t>
      </w:r>
      <w:r w:rsidR="009863D2">
        <w:t>.</w:t>
      </w:r>
      <w:r w:rsidR="00A058BA">
        <w:t xml:space="preserve"> </w:t>
      </w:r>
      <w:r w:rsidR="005D1512" w:rsidDel="009863D2">
        <w:t xml:space="preserve"> </w:t>
      </w:r>
      <w:r w:rsidR="009863D2">
        <w:t xml:space="preserve">During registration </w:t>
      </w:r>
      <w:r w:rsidR="005D1512">
        <w:t xml:space="preserve">producers submit plastic resin weights </w:t>
      </w:r>
      <w:r w:rsidR="005D1512">
        <w:lastRenderedPageBreak/>
        <w:t xml:space="preserve">sold or brought into Washington State in </w:t>
      </w:r>
      <w:r w:rsidR="001D35BB">
        <w:t xml:space="preserve">the </w:t>
      </w:r>
      <w:r w:rsidR="005D1512">
        <w:t>calendar year 2022</w:t>
      </w:r>
      <w:r>
        <w:t xml:space="preserve">. The costs by </w:t>
      </w:r>
      <w:r w:rsidR="00BA2F68">
        <w:t xml:space="preserve">product </w:t>
      </w:r>
      <w:r>
        <w:t>category in this table provide proportionate cost estimates, based on the data currently available.</w:t>
      </w:r>
    </w:p>
    <w:p w14:paraId="76A444E2" w14:textId="66F1D909" w:rsidR="00526951" w:rsidRDefault="008D7D9E" w:rsidP="000F3B91">
      <w:pPr>
        <w:pStyle w:val="FocusbodyText"/>
      </w:pPr>
      <w:r w:rsidRPr="008D7D9E">
        <w:rPr>
          <w:vertAlign w:val="superscript"/>
        </w:rPr>
        <w:t>2</w:t>
      </w:r>
      <w:r>
        <w:t>At the time of registration during CY 2022, Ecology did not require beverage</w:t>
      </w:r>
      <w:r w:rsidR="00BA2F68">
        <w:t xml:space="preserve"> container</w:t>
      </w:r>
      <w:r>
        <w:t xml:space="preserve"> producers to </w:t>
      </w:r>
      <w:r w:rsidR="005D1512">
        <w:t>specify which portions of their</w:t>
      </w:r>
      <w:r>
        <w:t xml:space="preserve"> plastic resin</w:t>
      </w:r>
      <w:r w:rsidR="00E14A88">
        <w:t xml:space="preserve"> weight</w:t>
      </w:r>
      <w:r>
        <w:t xml:space="preserve"> data </w:t>
      </w:r>
      <w:r w:rsidR="005D1512">
        <w:t>were related to</w:t>
      </w:r>
      <w:r>
        <w:t xml:space="preserve"> the subsets of beverage containers that wouldn't be required to meet PCRC requirements until CY 2028 (187 mL wine bottles and dairy milk containers). The amount of plastic resin </w:t>
      </w:r>
      <w:r w:rsidR="00CE6545">
        <w:t>attributed to dairy milk containers and 187 mL plastic wine bottles</w:t>
      </w:r>
      <w:r>
        <w:t xml:space="preserve"> is unknown</w:t>
      </w:r>
      <w:r w:rsidR="00CE6545">
        <w:t>.</w:t>
      </w:r>
      <w:r>
        <w:t xml:space="preserve"> </w:t>
      </w:r>
      <w:r w:rsidR="00CE6545">
        <w:t>When this plastic weight is provided separately during registration in CY 2023,</w:t>
      </w:r>
      <w:r>
        <w:t xml:space="preserve"> it will reduce the amount of plastic resin in the beverage containers category</w:t>
      </w:r>
      <w:r w:rsidR="00CE6545">
        <w:t>, compared to the current data.</w:t>
      </w:r>
      <w:r>
        <w:t xml:space="preserve"> Fees will be calculated based on the registration data submitted by April 1, </w:t>
      </w:r>
      <w:r w:rsidR="00BA2F68">
        <w:t>2023.</w:t>
      </w:r>
    </w:p>
    <w:p w14:paraId="7DB586C1" w14:textId="3C378E16" w:rsidR="006332D8" w:rsidRDefault="00D05007" w:rsidP="00431C6A">
      <w:pPr>
        <w:pStyle w:val="FocusH2"/>
      </w:pPr>
      <w:r>
        <w:t>Plastic Producer Annual Fee</w:t>
      </w:r>
      <w:r w:rsidR="00390DD0">
        <w:t>s</w:t>
      </w:r>
    </w:p>
    <w:p w14:paraId="69A81FB0" w14:textId="10EF36ED" w:rsidR="00D05007" w:rsidRDefault="006332D8" w:rsidP="00431C6A">
      <w:pPr>
        <w:pStyle w:val="FocusH3"/>
      </w:pPr>
      <w:r>
        <w:t>T</w:t>
      </w:r>
      <w:r w:rsidR="00D05007">
        <w:t xml:space="preserve">he </w:t>
      </w:r>
      <w:r w:rsidR="00390DD0">
        <w:t>f</w:t>
      </w:r>
      <w:r w:rsidR="00D05007">
        <w:t xml:space="preserve">ee </w:t>
      </w:r>
      <w:r w:rsidR="00390DD0">
        <w:t>c</w:t>
      </w:r>
      <w:r w:rsidR="00D05007">
        <w:t>alculation</w:t>
      </w:r>
    </w:p>
    <w:p w14:paraId="1DCA1C1E" w14:textId="154B09C6" w:rsidR="00A37853" w:rsidRDefault="006332D8" w:rsidP="009F6765">
      <w:pPr>
        <w:pStyle w:val="FocusbodyText"/>
      </w:pPr>
      <w:r w:rsidRPr="006332D8">
        <w:t xml:space="preserve">The law requires producers to pay a fee to cover the costs </w:t>
      </w:r>
      <w:r>
        <w:t>estimated in the pages</w:t>
      </w:r>
      <w:r w:rsidRPr="006332D8">
        <w:t xml:space="preserve"> above. </w:t>
      </w:r>
      <w:r w:rsidR="0075327A">
        <w:t xml:space="preserve">Ecology is required to determine the </w:t>
      </w:r>
      <w:r w:rsidRPr="006332D8">
        <w:t xml:space="preserve">fair distribution of these costs </w:t>
      </w:r>
      <w:r w:rsidR="00A87281">
        <w:t>through rulemaking, and the</w:t>
      </w:r>
      <w:r w:rsidR="00A37853">
        <w:t xml:space="preserve"> draft</w:t>
      </w:r>
      <w:r w:rsidR="00A87281">
        <w:t xml:space="preserve"> rule (WAC 173-975) is planned for adoption </w:t>
      </w:r>
      <w:r w:rsidR="00E75BBE">
        <w:t xml:space="preserve">in </w:t>
      </w:r>
      <w:r w:rsidR="00A87281">
        <w:t xml:space="preserve">late calendar year 2023. </w:t>
      </w:r>
      <w:r w:rsidR="00A37853">
        <w:t xml:space="preserve">For more information on rulemaking, visit </w:t>
      </w:r>
      <w:r w:rsidR="004A386E">
        <w:t>our</w:t>
      </w:r>
      <w:r w:rsidR="002E5DB0">
        <w:t xml:space="preserve"> </w:t>
      </w:r>
      <w:hyperlink r:id="rId12" w:history="1">
        <w:r w:rsidR="002E5DB0" w:rsidRPr="002E5DB0">
          <w:rPr>
            <w:rStyle w:val="Hyperlink"/>
          </w:rPr>
          <w:t>rulemaking webpage</w:t>
        </w:r>
      </w:hyperlink>
      <w:r w:rsidR="004A386E">
        <w:t>.</w:t>
      </w:r>
    </w:p>
    <w:p w14:paraId="4CEAD579" w14:textId="6DBF1ED1" w:rsidR="00723FE7" w:rsidRDefault="006332D8" w:rsidP="00723FE7">
      <w:pPr>
        <w:pStyle w:val="FocusbodyText"/>
        <w:spacing w:after="0"/>
      </w:pPr>
      <w:r w:rsidRPr="006332D8">
        <w:t>FY 202</w:t>
      </w:r>
      <w:r w:rsidR="007D1D7A">
        <w:t>4</w:t>
      </w:r>
      <w:r w:rsidR="00723FE7" w:rsidRPr="00AF6CD9">
        <w:t xml:space="preserve"> Producer fees </w:t>
      </w:r>
      <w:r w:rsidR="00A058BA">
        <w:t>are</w:t>
      </w:r>
      <w:r w:rsidR="00E64020">
        <w:t xml:space="preserve"> </w:t>
      </w:r>
      <w:r w:rsidR="00723FE7">
        <w:t>calculated</w:t>
      </w:r>
      <w:r w:rsidR="00723FE7" w:rsidRPr="00AF6CD9">
        <w:t xml:space="preserve"> based on the producer</w:t>
      </w:r>
      <w:r w:rsidR="00723FE7">
        <w:t>’s</w:t>
      </w:r>
      <w:r w:rsidR="00723FE7" w:rsidRPr="00AF6CD9" w:rsidDel="00F34D15">
        <w:t xml:space="preserve"> </w:t>
      </w:r>
      <w:r w:rsidR="00723FE7" w:rsidRPr="00AF6CD9">
        <w:t xml:space="preserve">reported total </w:t>
      </w:r>
      <w:r w:rsidR="00723FE7">
        <w:t xml:space="preserve">pounds of covered product plastic </w:t>
      </w:r>
      <w:r w:rsidR="00723FE7" w:rsidRPr="00AF6CD9">
        <w:t xml:space="preserve">resin data submitted during </w:t>
      </w:r>
      <w:r w:rsidR="00BA2F68">
        <w:t xml:space="preserve">the </w:t>
      </w:r>
      <w:r w:rsidR="00723FE7" w:rsidRPr="00AF6CD9">
        <w:t>annual registration</w:t>
      </w:r>
      <w:r w:rsidR="00723FE7">
        <w:t xml:space="preserve"> </w:t>
      </w:r>
      <w:r w:rsidR="00723FE7" w:rsidRPr="00AF6CD9">
        <w:t>or reporting</w:t>
      </w:r>
      <w:r w:rsidR="00BA2F68">
        <w:t xml:space="preserve"> period</w:t>
      </w:r>
      <w:r w:rsidR="00723FE7">
        <w:t xml:space="preserve"> by April 1, 2023, as shown </w:t>
      </w:r>
      <w:r w:rsidR="00723FE7" w:rsidRPr="00AB1739">
        <w:t>in the calculation formulas below.</w:t>
      </w:r>
      <w:r w:rsidR="00723FE7">
        <w:t xml:space="preserve"> </w:t>
      </w:r>
      <w:r w:rsidR="00392311">
        <w:t>The values for the Program Administration Cost and the PCRC Oversight Cost will be the total estimates summarized above in the workload analysis.</w:t>
      </w:r>
    </w:p>
    <w:p w14:paraId="0071056A" w14:textId="03600A02" w:rsidR="000F3B91" w:rsidRDefault="000F3B91" w:rsidP="00723FE7">
      <w:pPr>
        <w:shd w:val="clear" w:color="auto" w:fill="FFFFFF" w:themeFill="background1"/>
        <w:spacing w:after="0" w:line="240" w:lineRule="auto"/>
      </w:pPr>
      <w:r>
        <w:br w:type="page"/>
      </w:r>
    </w:p>
    <w:p w14:paraId="680C6064" w14:textId="2C694BB7" w:rsidR="00723FE7" w:rsidRPr="00AB1739" w:rsidRDefault="00723FE7" w:rsidP="00723FE7">
      <w:pPr>
        <w:shd w:val="clear" w:color="auto" w:fill="FFFFFF" w:themeFill="background1"/>
        <w:spacing w:after="0" w:line="240" w:lineRule="auto"/>
      </w:pPr>
      <w:r>
        <w:lastRenderedPageBreak/>
        <w:t xml:space="preserve">1a. </w:t>
      </w:r>
      <w:r w:rsidRPr="00AB1739">
        <w:t xml:space="preserve">Ecology </w:t>
      </w:r>
      <w:r w:rsidRPr="00AB1739" w:rsidDel="00B2795F">
        <w:t xml:space="preserve">Program Administration </w:t>
      </w:r>
      <w:r w:rsidRPr="00AB1739">
        <w:t>costs</w:t>
      </w:r>
      <w:r w:rsidRPr="00AB1739" w:rsidDel="00B2795F">
        <w:t xml:space="preserve"> </w:t>
      </w:r>
      <w:r w:rsidRPr="00AB1739">
        <w:t>are allocated to each producer based on the producer’s share of the total pounds of all covered product resin (virgin and PCRC) sold in or offered for sale in Washington during the prior calendar year as illustrated in equation 1(a) below.</w:t>
      </w:r>
    </w:p>
    <w:p w14:paraId="46B766FF" w14:textId="77777777" w:rsidR="00C309A8" w:rsidRPr="00AB1739" w:rsidRDefault="00C309A8" w:rsidP="00723FE7">
      <w:pPr>
        <w:shd w:val="clear" w:color="auto" w:fill="FFFFFF" w:themeFill="background1"/>
        <w:spacing w:after="0" w:line="240" w:lineRule="auto"/>
      </w:pPr>
    </w:p>
    <w:p w14:paraId="0D73DFCD"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b/>
        </w:rPr>
      </w:pPr>
      <w:r w:rsidRPr="00AB1739">
        <w:rPr>
          <w:b/>
          <w:bCs/>
        </w:rPr>
        <w:t>Equation 1(a), Program Administration Fee</w:t>
      </w:r>
    </w:p>
    <w:p w14:paraId="315D7552"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 xml:space="preserve">Program Administration Fee = </w:t>
      </w:r>
      <w:r>
        <w:t xml:space="preserve">Ecology </w:t>
      </w:r>
      <w:r w:rsidRPr="00AB1739">
        <w:t xml:space="preserve">Program Administration Cost x </w:t>
      </w:r>
    </w:p>
    <w:p w14:paraId="696A86F4"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[(Individual Producer Resins, Covered Products)/</w:t>
      </w:r>
    </w:p>
    <w:p w14:paraId="36C83960"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(Washington Resin Totals, Covered Products)]</w:t>
      </w:r>
    </w:p>
    <w:p w14:paraId="3A4DDF95"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p>
    <w:p w14:paraId="58872A73"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sidRPr="00AB1739">
        <w:rPr>
          <w:i/>
          <w:iCs/>
          <w:u w:val="single"/>
        </w:rPr>
        <w:t xml:space="preserve">Program Administration Fee </w:t>
      </w:r>
      <w:r w:rsidRPr="00AB1739">
        <w:t>= Fee for all producers registered for covered product categories, excluding de minimis producers.</w:t>
      </w:r>
    </w:p>
    <w:p w14:paraId="54745704"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pPr>
    </w:p>
    <w:p w14:paraId="0E3B1B1C"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Pr>
          <w:i/>
          <w:iCs/>
          <w:u w:val="single"/>
        </w:rPr>
        <w:t xml:space="preserve">Ecology </w:t>
      </w:r>
      <w:r w:rsidRPr="00AB1739">
        <w:rPr>
          <w:i/>
          <w:iCs/>
          <w:u w:val="single"/>
        </w:rPr>
        <w:t>Program Administration Cost</w:t>
      </w:r>
      <w:r w:rsidRPr="00AB1739">
        <w:t xml:space="preserve"> = Estimated annual workload cost for the department to administer the program as a whole, such as producer registration, management and maintenance of the registration database and department website, preparation of the annual workload analysis and fee calculation, rule and guideline updates, and any requirements that would apply to all producers of covered products.</w:t>
      </w:r>
    </w:p>
    <w:p w14:paraId="0C8BAECF"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rPr>
          <w:i/>
          <w:u w:val="single"/>
        </w:rPr>
      </w:pPr>
    </w:p>
    <w:p w14:paraId="65BDE010"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i/>
          <w:u w:val="single"/>
        </w:rPr>
      </w:pPr>
      <w:r w:rsidRPr="00AB1739">
        <w:rPr>
          <w:i/>
          <w:iCs/>
          <w:u w:val="single"/>
        </w:rPr>
        <w:t>Individual Producer Resins, Covered Products</w:t>
      </w:r>
      <w:r w:rsidRPr="00AB1739">
        <w:t xml:space="preserve"> = One registered producer’s total pounds of all plastic resins (PCRC and virgin) used in all covered products sold or offered for sale in Washington State during the previous calendar year.</w:t>
      </w:r>
    </w:p>
    <w:p w14:paraId="4049ADBD"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rPr>
          <w:i/>
          <w:u w:val="single"/>
        </w:rPr>
      </w:pPr>
    </w:p>
    <w:p w14:paraId="659B0306"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sidRPr="00AB1739">
        <w:rPr>
          <w:i/>
          <w:iCs/>
          <w:u w:val="single"/>
        </w:rPr>
        <w:t>Washington Resin Totals, Covered Products</w:t>
      </w:r>
      <w:r w:rsidRPr="00AB1739">
        <w:t xml:space="preserve"> = Total pounds of all plastic resins (PCRC and virgin) used in all covered products sold or offered for sale in Washington State for the prior calendar year.</w:t>
      </w:r>
    </w:p>
    <w:p w14:paraId="06BC0083" w14:textId="77777777" w:rsidR="000F3B91" w:rsidRDefault="000F3B91" w:rsidP="00723FE7">
      <w:pPr>
        <w:shd w:val="clear" w:color="auto" w:fill="FFFFFF" w:themeFill="background1"/>
        <w:spacing w:after="0" w:line="240" w:lineRule="auto"/>
      </w:pPr>
      <w:r>
        <w:br w:type="page"/>
      </w:r>
    </w:p>
    <w:p w14:paraId="2303E676" w14:textId="77777777" w:rsidR="00C309A8" w:rsidRDefault="00C309A8" w:rsidP="00723FE7">
      <w:pPr>
        <w:shd w:val="clear" w:color="auto" w:fill="FFFFFF" w:themeFill="background1"/>
        <w:spacing w:after="0" w:line="240" w:lineRule="auto"/>
      </w:pPr>
    </w:p>
    <w:p w14:paraId="0A2A006A" w14:textId="5BAFEA4A" w:rsidR="00723FE7" w:rsidRPr="00AB1739" w:rsidRDefault="00723FE7" w:rsidP="00723FE7">
      <w:pPr>
        <w:shd w:val="clear" w:color="auto" w:fill="FFFFFF" w:themeFill="background1"/>
        <w:spacing w:after="0" w:line="240" w:lineRule="auto"/>
      </w:pPr>
      <w:r>
        <w:t>1b.</w:t>
      </w:r>
      <w:r w:rsidRPr="00AB1739" w:rsidDel="00B2795F">
        <w:t xml:space="preserve"> </w:t>
      </w:r>
      <w:r w:rsidRPr="00AB1739">
        <w:t xml:space="preserve">Ecology PCRC Product </w:t>
      </w:r>
      <w:r w:rsidRPr="00AB1739" w:rsidDel="00B2795F">
        <w:t xml:space="preserve">Oversight </w:t>
      </w:r>
      <w:r w:rsidRPr="00AB1739">
        <w:t>costs are allocated based on each producer’s share of the total pounds of all plastic resins (PCR</w:t>
      </w:r>
      <w:r w:rsidR="00001BA0">
        <w:t>C</w:t>
      </w:r>
      <w:r w:rsidRPr="00AB1739">
        <w:t xml:space="preserve"> and virgin) used in the PCRC product categories sold </w:t>
      </w:r>
      <w:r w:rsidRPr="00AB1739" w:rsidDel="00DD6961">
        <w:t>in</w:t>
      </w:r>
      <w:r w:rsidRPr="00AB1739">
        <w:t xml:space="preserve"> or offered for sale in</w:t>
      </w:r>
      <w:r w:rsidRPr="00AB1739" w:rsidDel="00DD6961">
        <w:t>to</w:t>
      </w:r>
      <w:r w:rsidRPr="00AB1739">
        <w:t xml:space="preserve"> Washington State in the prior calendar year, as illustrated in equation 1 (b) below.</w:t>
      </w:r>
    </w:p>
    <w:p w14:paraId="085E891A" w14:textId="77777777" w:rsidR="00723FE7" w:rsidRPr="00AB1739" w:rsidRDefault="00723FE7" w:rsidP="00723FE7">
      <w:pPr>
        <w:shd w:val="clear" w:color="auto" w:fill="FFFFFF" w:themeFill="background1"/>
        <w:spacing w:after="0" w:line="240" w:lineRule="auto"/>
      </w:pPr>
    </w:p>
    <w:p w14:paraId="2DBE4C77"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b/>
        </w:rPr>
      </w:pPr>
      <w:r w:rsidRPr="00AB1739">
        <w:rPr>
          <w:b/>
          <w:bCs/>
        </w:rPr>
        <w:t>Equation 1(b), PCRC Oversight Fee</w:t>
      </w:r>
    </w:p>
    <w:p w14:paraId="78883689"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 xml:space="preserve">PCRC Oversight Fee = Ecology PCRC Oversight Cost x </w:t>
      </w:r>
    </w:p>
    <w:p w14:paraId="1CA126A6"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[(Individual Producer Resins, PCRC Products)/</w:t>
      </w:r>
    </w:p>
    <w:p w14:paraId="6D5471F6"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(Washington Resin Totals, PCRC Products)]</w:t>
      </w:r>
    </w:p>
    <w:p w14:paraId="5BA4EB64"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jc w:val="center"/>
      </w:pPr>
    </w:p>
    <w:p w14:paraId="60E75370"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i/>
          <w:u w:val="single"/>
        </w:rPr>
      </w:pPr>
      <w:r w:rsidRPr="00AB1739">
        <w:rPr>
          <w:i/>
          <w:iCs/>
          <w:u w:val="single"/>
        </w:rPr>
        <w:t>PCRC Oversight Fee</w:t>
      </w:r>
      <w:r w:rsidRPr="00AB1739">
        <w:t xml:space="preserve"> = fee for producers submitting PCRC reports for PCRC products.</w:t>
      </w:r>
    </w:p>
    <w:p w14:paraId="2578D00C"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rPr>
          <w:i/>
          <w:u w:val="single"/>
        </w:rPr>
      </w:pPr>
    </w:p>
    <w:p w14:paraId="26D22677" w14:textId="10E58416"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sidRPr="00AB1739">
        <w:rPr>
          <w:i/>
          <w:iCs/>
          <w:u w:val="single"/>
        </w:rPr>
        <w:t>Ecology PCRC Oversight Cost</w:t>
      </w:r>
      <w:r w:rsidRPr="00AB1739">
        <w:t xml:space="preserve"> = Estimated annual workload for the department’s costs to provide compliance monitoring and technical assistance to producers submitting PCRC reports for PCRC products.</w:t>
      </w:r>
    </w:p>
    <w:p w14:paraId="671A6F5B"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pPr>
    </w:p>
    <w:p w14:paraId="7C2EE4E0"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i/>
          <w:u w:val="single"/>
        </w:rPr>
      </w:pPr>
      <w:r w:rsidRPr="00AB1739">
        <w:rPr>
          <w:i/>
          <w:iCs/>
          <w:u w:val="single"/>
        </w:rPr>
        <w:t>Individual Producer Resins, PCRC Products</w:t>
      </w:r>
      <w:r w:rsidRPr="00AB1739">
        <w:t xml:space="preserve"> = One registered and reporting producer’s total pounds of all plastic resins (PCRC and virgin) used in all PCRC products sold or offered for sale in Washington State during the previous calendar year.</w:t>
      </w:r>
    </w:p>
    <w:p w14:paraId="2E0F5804"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i/>
          <w:u w:val="single"/>
        </w:rPr>
      </w:pPr>
      <w:r w:rsidRPr="00AB1739">
        <w:t xml:space="preserve"> </w:t>
      </w:r>
    </w:p>
    <w:p w14:paraId="1DB067FF"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sidRPr="00AB1739">
        <w:rPr>
          <w:i/>
          <w:iCs/>
          <w:u w:val="single"/>
        </w:rPr>
        <w:t>Washington Resin Totals, PCRC Products</w:t>
      </w:r>
      <w:r w:rsidRPr="00AB1739">
        <w:t xml:space="preserve"> = total pounds of all plastic resins (PCRC and virgin) used in all PCRC products sold or offered for sale in Washington State for the prior calendar year.</w:t>
      </w:r>
    </w:p>
    <w:p w14:paraId="7469F692" w14:textId="77777777" w:rsidR="00723FE7" w:rsidRPr="00AB1739" w:rsidRDefault="00723FE7" w:rsidP="00723FE7">
      <w:pPr>
        <w:shd w:val="clear" w:color="auto" w:fill="FFFFFF" w:themeFill="background1"/>
        <w:spacing w:after="0" w:line="240" w:lineRule="auto"/>
      </w:pPr>
    </w:p>
    <w:p w14:paraId="20252325" w14:textId="0BB7242A" w:rsidR="00723FE7" w:rsidRPr="00AB1739" w:rsidRDefault="00723FE7" w:rsidP="00723FE7">
      <w:pPr>
        <w:shd w:val="clear" w:color="auto" w:fill="FFFFFF" w:themeFill="background1"/>
        <w:spacing w:after="0" w:line="240" w:lineRule="auto"/>
      </w:pPr>
      <w:r>
        <w:t xml:space="preserve">1c. </w:t>
      </w:r>
      <w:r w:rsidRPr="00AB1739">
        <w:t xml:space="preserve">Each producer will be invoiced a </w:t>
      </w:r>
      <w:r w:rsidRPr="00AB1739">
        <w:rPr>
          <w:b/>
        </w:rPr>
        <w:t>Total Producer Fee</w:t>
      </w:r>
      <w:r w:rsidRPr="00AB1739">
        <w:t xml:space="preserve">, based on the sum of the producer’s </w:t>
      </w:r>
      <w:r w:rsidRPr="00AB1739">
        <w:rPr>
          <w:b/>
        </w:rPr>
        <w:t>Program Administration Fee</w:t>
      </w:r>
      <w:r w:rsidRPr="00AB1739">
        <w:t xml:space="preserve"> and </w:t>
      </w:r>
      <w:r w:rsidRPr="00AB1739">
        <w:rPr>
          <w:b/>
        </w:rPr>
        <w:t>PCRC Oversight Fee</w:t>
      </w:r>
      <w:r w:rsidRPr="00AB1739">
        <w:t>, as shown in equation 1(c).</w:t>
      </w:r>
    </w:p>
    <w:p w14:paraId="4BC20FB1" w14:textId="77777777" w:rsidR="00723FE7" w:rsidRPr="00AB1739" w:rsidRDefault="00723FE7" w:rsidP="00723FE7">
      <w:pPr>
        <w:shd w:val="clear" w:color="auto" w:fill="FFFFFF"/>
        <w:spacing w:after="0" w:line="240" w:lineRule="auto"/>
        <w:jc w:val="center"/>
      </w:pPr>
    </w:p>
    <w:p w14:paraId="6EE0DD8D"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b/>
        </w:rPr>
      </w:pPr>
      <w:r w:rsidRPr="00AB1739">
        <w:rPr>
          <w:b/>
          <w:bCs/>
        </w:rPr>
        <w:t>Equation 1(c) Total Producer Fee</w:t>
      </w:r>
    </w:p>
    <w:p w14:paraId="43A06BC6"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pPr>
      <w:r w:rsidRPr="00AB1739">
        <w:t>Total Producer Fee = Program Administration Fee (Equation 1(a)) + PCRC Oversight Fee (Equation 1(b))</w:t>
      </w:r>
    </w:p>
    <w:p w14:paraId="7C536703" w14:textId="77777777" w:rsidR="00723FE7" w:rsidRPr="00AB1739" w:rsidRDefault="00723FE7" w:rsidP="00723FE7">
      <w:pPr>
        <w:pBdr>
          <w:top w:val="single" w:sz="4" w:space="1" w:color="auto"/>
          <w:left w:val="single" w:sz="4" w:space="4" w:color="auto"/>
          <w:bottom w:val="single" w:sz="4" w:space="1" w:color="auto"/>
          <w:right w:val="single" w:sz="4" w:space="4" w:color="auto"/>
        </w:pBdr>
        <w:shd w:val="clear" w:color="auto" w:fill="FFFFFF"/>
        <w:spacing w:after="0" w:line="240" w:lineRule="auto"/>
        <w:rPr>
          <w:i/>
          <w:u w:val="single"/>
        </w:rPr>
      </w:pPr>
    </w:p>
    <w:p w14:paraId="26A3E75C" w14:textId="77777777" w:rsidR="00723FE7" w:rsidRPr="006E0BE2" w:rsidRDefault="00723FE7" w:rsidP="00723FE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i/>
          <w:u w:val="single"/>
        </w:rPr>
      </w:pPr>
      <w:r w:rsidRPr="00AB1739">
        <w:rPr>
          <w:i/>
          <w:iCs/>
          <w:u w:val="single"/>
        </w:rPr>
        <w:t>Total Producer Fee</w:t>
      </w:r>
      <w:r w:rsidRPr="00AB1739">
        <w:t xml:space="preserve"> = fee for all producers submitting annual registration and reporting data for covered products. For producers of covered product categories not yet required to submit PCRC reports, the PCRC Oversight Fee amount is zero, and only the Program Administration Fee amount applies.</w:t>
      </w:r>
    </w:p>
    <w:p w14:paraId="78EF8544" w14:textId="77777777" w:rsidR="00723FE7" w:rsidRPr="00AF6CD9" w:rsidRDefault="00723FE7" w:rsidP="00723FE7">
      <w:pPr>
        <w:shd w:val="clear" w:color="auto" w:fill="FFFFFF"/>
        <w:spacing w:after="0" w:line="240" w:lineRule="auto"/>
      </w:pPr>
    </w:p>
    <w:p w14:paraId="593BD102" w14:textId="77777777" w:rsidR="00C309A8" w:rsidRDefault="00C309A8" w:rsidP="00723FE7">
      <w:pPr>
        <w:shd w:val="clear" w:color="auto" w:fill="FFFFFF" w:themeFill="background1"/>
        <w:spacing w:after="0" w:line="240" w:lineRule="auto"/>
      </w:pPr>
    </w:p>
    <w:p w14:paraId="17D88189" w14:textId="66CE2698" w:rsidR="00723FE7" w:rsidRPr="00AF6CD9" w:rsidRDefault="00723FE7" w:rsidP="00723FE7">
      <w:pPr>
        <w:shd w:val="clear" w:color="auto" w:fill="FFFFFF" w:themeFill="background1"/>
        <w:spacing w:after="0" w:line="240" w:lineRule="auto"/>
      </w:pPr>
      <w:r w:rsidRPr="00AB1739">
        <w:t>De minimis producers are not required to pay annual fees, and resin data submitted by de minimis producers in their annual de minimis notification is not included in the calculations described above.</w:t>
      </w:r>
    </w:p>
    <w:p w14:paraId="2D939A9A" w14:textId="33B00BD8" w:rsidR="009F6765" w:rsidRDefault="009F6765" w:rsidP="00723FE7">
      <w:pPr>
        <w:pStyle w:val="FocusbodyText"/>
        <w:spacing w:after="0"/>
      </w:pPr>
    </w:p>
    <w:p w14:paraId="2A73741D" w14:textId="5DD9B865" w:rsidR="00634D1E" w:rsidRDefault="00634D1E" w:rsidP="00634D1E">
      <w:pPr>
        <w:pStyle w:val="FocusH3"/>
      </w:pPr>
      <w:r>
        <w:t>Fee “</w:t>
      </w:r>
      <w:r w:rsidR="007277CF">
        <w:t>r</w:t>
      </w:r>
      <w:r>
        <w:t>ate” per total pound of plastic resin</w:t>
      </w:r>
    </w:p>
    <w:p w14:paraId="78F70CEE" w14:textId="6BAC7E3B" w:rsidR="00E64020" w:rsidRDefault="0075327A" w:rsidP="00634D1E">
      <w:pPr>
        <w:pStyle w:val="FocusbodyText"/>
      </w:pPr>
      <w:r>
        <w:t xml:space="preserve">Based on the current estimated costs for FY 2024, and the total calendar year 2021 plastic resin weight submitted during </w:t>
      </w:r>
      <w:r w:rsidR="00E64020">
        <w:t xml:space="preserve">the </w:t>
      </w:r>
      <w:r>
        <w:t>calendar year 2022 registration, the following are the estimated fee “rates” per total pound of plastic in covered products. These rates are provided so producers can estimate their FY 2024 fees, based on their knowledge of their covered products’ total plastic resin weights.</w:t>
      </w:r>
    </w:p>
    <w:p w14:paraId="7B2B4EF8" w14:textId="4208EE58" w:rsidR="00634D1E" w:rsidRDefault="0075327A" w:rsidP="00634D1E">
      <w:pPr>
        <w:pStyle w:val="FocusbodyText"/>
      </w:pPr>
      <w:r>
        <w:t xml:space="preserve">As noted above, actual </w:t>
      </w:r>
      <w:r w:rsidR="00B919DE">
        <w:t xml:space="preserve">FY 2024 </w:t>
      </w:r>
      <w:r>
        <w:t xml:space="preserve">fees will be based on </w:t>
      </w:r>
      <w:r w:rsidR="00E64020">
        <w:t xml:space="preserve">the </w:t>
      </w:r>
      <w:r>
        <w:t xml:space="preserve">calendar year 2022 plastic resin weight data submitted by April 1, 2023. The total </w:t>
      </w:r>
      <w:r w:rsidR="00B919DE">
        <w:t xml:space="preserve">estimated </w:t>
      </w:r>
      <w:r>
        <w:t>cost will not change, but the weights of plastic resin may change. If we see early indications of a substantial change in the cost per pound of plastic from the estimates provided below, we will notify producers, so that they can plan accordingly. Fees will be calculated promptly after registration closes at the end of April 1, 2023, and invoices will be sent to producers by mid</w:t>
      </w:r>
      <w:r w:rsidR="00390DD0">
        <w:t>-</w:t>
      </w:r>
      <w:r>
        <w:t>May 2023, with fee payments due by mid</w:t>
      </w:r>
      <w:r w:rsidR="00390DD0">
        <w:t>-</w:t>
      </w:r>
      <w:r>
        <w:t>June 2023.</w:t>
      </w:r>
    </w:p>
    <w:p w14:paraId="4EECEC4E" w14:textId="5008E9BA" w:rsidR="00634D1E" w:rsidRPr="00634D1E" w:rsidRDefault="00EE43D3" w:rsidP="00634D1E">
      <w:pPr>
        <w:pStyle w:val="FocusbodyText"/>
      </w:pPr>
      <w:r w:rsidRPr="008151FF">
        <w:rPr>
          <w:b/>
          <w:bCs/>
        </w:rPr>
        <w:t xml:space="preserve">Estimated Program Administration Cost per total pound of </w:t>
      </w:r>
      <w:r w:rsidR="008151FF" w:rsidRPr="008151FF">
        <w:rPr>
          <w:b/>
          <w:bCs/>
        </w:rPr>
        <w:t>plastic resin:</w:t>
      </w:r>
      <w:r w:rsidR="008151FF">
        <w:t xml:space="preserve"> $0.0015/lb.</w:t>
      </w:r>
    </w:p>
    <w:p w14:paraId="14CAAA33" w14:textId="27DFBB34" w:rsidR="008151FF" w:rsidRPr="00634D1E" w:rsidRDefault="008151FF" w:rsidP="008151FF">
      <w:pPr>
        <w:pStyle w:val="FocusbodyText"/>
      </w:pPr>
      <w:r w:rsidRPr="008151FF">
        <w:rPr>
          <w:b/>
          <w:bCs/>
        </w:rPr>
        <w:t xml:space="preserve">Estimated </w:t>
      </w:r>
      <w:r>
        <w:rPr>
          <w:b/>
          <w:bCs/>
        </w:rPr>
        <w:t>PCRC Oversight</w:t>
      </w:r>
      <w:r w:rsidRPr="008151FF">
        <w:rPr>
          <w:b/>
          <w:bCs/>
        </w:rPr>
        <w:t xml:space="preserve"> Cost per total pound of plastic resin:</w:t>
      </w:r>
      <w:r>
        <w:t xml:space="preserve"> $0.001</w:t>
      </w:r>
      <w:r w:rsidR="00683585">
        <w:t>6</w:t>
      </w:r>
      <w:r>
        <w:t xml:space="preserve">/lb. </w:t>
      </w:r>
    </w:p>
    <w:p w14:paraId="5AB0DD8E" w14:textId="3A610BDF" w:rsidR="00431C6A" w:rsidRPr="00431C6A" w:rsidRDefault="00A058BA" w:rsidP="00CC3CD2">
      <w:r>
        <w:rPr>
          <w:noProof/>
        </w:rPr>
        <mc:AlternateContent>
          <mc:Choice Requires="wps">
            <w:drawing>
              <wp:anchor distT="0" distB="0" distL="114300" distR="114300" simplePos="0" relativeHeight="251658240" behindDoc="1" locked="0" layoutInCell="1" allowOverlap="1" wp14:anchorId="7C060CC2" wp14:editId="1D730446">
                <wp:simplePos x="0" y="0"/>
                <wp:positionH relativeFrom="column">
                  <wp:posOffset>-85060</wp:posOffset>
                </wp:positionH>
                <wp:positionV relativeFrom="paragraph">
                  <wp:posOffset>262505</wp:posOffset>
                </wp:positionV>
                <wp:extent cx="9359900" cy="2679405"/>
                <wp:effectExtent l="0" t="0" r="12700" b="2603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59900" cy="2679405"/>
                        </a:xfrm>
                        <a:prstGeom prst="rect">
                          <a:avLst/>
                        </a:prstGeom>
                        <a:solidFill>
                          <a:srgbClr val="80A8CD">
                            <a:alpha val="29804"/>
                          </a:srgbClr>
                        </a:solidFill>
                        <a:ln w="25400">
                          <a:solidFill>
                            <a:srgbClr val="4468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D796B" id="Rectangle 1" o:spid="_x0000_s1026" alt="&quot;&quot;" style="position:absolute;margin-left:-6.7pt;margin-top:20.65pt;width:737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JGmwIAALQFAAAOAAAAZHJzL2Uyb0RvYy54bWysVE1v2zAMvQ/YfxB0X+1kTpcEdYogRYYB&#10;RVusHXpWZCk2IIuapHzt14+SbKfrih6G5aBQIvlIPpO8uj62iuyFdQ3oko4uckqE5lA1elvSH0/r&#10;T1NKnGe6Ygq0KOlJOHq9+Pjh6mDmYgw1qEpYgiDazQ+mpLX3Zp5ljteiZe4CjNColGBb5vFqt1ll&#10;2QHRW5WN8/wyO4CtjAUunMPXm6Ski4gvpeD+XkonPFElxdx8PG08N+HMFldsvrXM1A3v0mD/kEXL&#10;Go1BB6gb5hnZ2eYvqLbhFhxIf8GhzUDKhotYA1Yzyl9V81gzI2ItSI4zA03u/8Hyu/2jebBIw8G4&#10;uUMxVHGUtg3/mB85RrJOA1ni6AnHx9nnyWyWI6ccdePLL7MinwQ6s7O7sc5/FdCSIJTU4teIJLH9&#10;rfPJtDcJ0Ryoplo3SsWL3W5WypI9wy83zZfT1U3yVaZm6XU8m+ZFF9Il8xj+DxylyQHzmxSY6vtB&#10;iuJyOl33eOdcsCClEfhMUJT8SYkAqPR3IUlTISXjFCH0rhhyZ5wL7UdJVbNKpOQnOf76YL1HTD8C&#10;BmSJVAzYHUBvmUB67MRlZx9cRWz9wbkr/T3nwSNGBu0H57bRYN+qTGFVXeRk35OUqAksbaA6PVhi&#10;IQ2eM3zdYC/cMucfmMVJw/7B7eHv8ZAK8EtBJ1FSg/311nuwxwFALSUHnNySup87ZgUl6pvG0ZiN&#10;iiKMerwUky9jvNiXms1Ljd61K8AWG+GeMjyKwd6rXpQW2mdcMssQFVVMc4xdUu5tf1n5tFFwTXGx&#10;XEYzHG/D/K1+NDyAB1ZDrz8dn5k13UB4nKU76KeczV/NRbINnhqWOw+yiUNz5rXjG1dDbJxujYXd&#10;8/Ierc7LdvEbAAD//wMAUEsDBBQABgAIAAAAIQBlmrY64gAAAAsBAAAPAAAAZHJzL2Rvd25yZXYu&#10;eG1sTI/BTsMwDIbvSLxDZCRuW1pSVag0ndAEEhc01g2xY9aYttA4Jcm28vZkJ3a0/en395eLyQzs&#10;iM73liSk8wQYUmN1T62E7eZ5dg/MB0VaDZZQwi96WFTXV6UqtD3RGo91aFkMIV8oCV0IY8G5bzo0&#10;ys/tiBRvn9YZFeLoWq6dOsVwM/C7JMm5UT3FD50acdlh810fjIT33Wa5WrmP7K1O2/XPi3h63X1t&#10;pby9mR4fgAWcwj8MZ/2oDlV02tsDac8GCbNUZBGVkKUC2BnI8iQHto+bXAjgVckvO1R/AAAA//8D&#10;AFBLAQItABQABgAIAAAAIQC2gziS/gAAAOEBAAATAAAAAAAAAAAAAAAAAAAAAABbQ29udGVudF9U&#10;eXBlc10ueG1sUEsBAi0AFAAGAAgAAAAhADj9If/WAAAAlAEAAAsAAAAAAAAAAAAAAAAALwEAAF9y&#10;ZWxzLy5yZWxzUEsBAi0AFAAGAAgAAAAhAGMjYkabAgAAtAUAAA4AAAAAAAAAAAAAAAAALgIAAGRy&#10;cy9lMm9Eb2MueG1sUEsBAi0AFAAGAAgAAAAhAGWatjriAAAACwEAAA8AAAAAAAAAAAAAAAAA9QQA&#10;AGRycy9kb3ducmV2LnhtbFBLBQYAAAAABAAEAPMAAAAEBgAAAAA=&#10;" fillcolor="#80a8cd" strokecolor="#44688f" strokeweight="2pt">
                <v:fill opacity="19532f"/>
              </v:rect>
            </w:pict>
          </mc:Fallback>
        </mc:AlternateContent>
      </w:r>
    </w:p>
    <w:p w14:paraId="3B16766B" w14:textId="674BFE29" w:rsidR="004B4A8D" w:rsidRPr="00CC3CD2" w:rsidRDefault="004B4A8D" w:rsidP="00CC3CD2">
      <w:pPr>
        <w:pStyle w:val="FocusSidebar"/>
        <w:spacing w:before="240" w:after="40"/>
        <w:ind w:left="144"/>
        <w:rPr>
          <w:color w:val="44688F"/>
          <w:sz w:val="36"/>
          <w:szCs w:val="36"/>
        </w:rPr>
      </w:pPr>
      <w:r w:rsidRPr="00CC3CD2">
        <w:rPr>
          <w:color w:val="44688F"/>
          <w:sz w:val="36"/>
          <w:szCs w:val="36"/>
        </w:rPr>
        <w:t xml:space="preserve">More </w:t>
      </w:r>
      <w:r w:rsidRPr="00CC3CD2">
        <w:rPr>
          <w:rStyle w:val="FocusSidebarChar"/>
          <w:color w:val="44688F"/>
          <w:sz w:val="36"/>
          <w:szCs w:val="36"/>
        </w:rPr>
        <w:t>information</w:t>
      </w:r>
    </w:p>
    <w:p w14:paraId="333898D9" w14:textId="369603D8" w:rsidR="00A058BA" w:rsidRPr="00CC3CD2" w:rsidRDefault="004B4A8D" w:rsidP="00CC3CD2">
      <w:pPr>
        <w:pStyle w:val="FocusbodyText"/>
        <w:ind w:left="144"/>
        <w:rPr>
          <w:sz w:val="28"/>
          <w:szCs w:val="28"/>
        </w:rPr>
      </w:pPr>
      <w:r w:rsidRPr="00CC3CD2">
        <w:rPr>
          <w:sz w:val="28"/>
          <w:szCs w:val="28"/>
        </w:rPr>
        <w:t xml:space="preserve">Public Comments on this document are open until </w:t>
      </w:r>
      <w:r w:rsidR="00B2473D" w:rsidRPr="00CC3CD2">
        <w:rPr>
          <w:sz w:val="28"/>
          <w:szCs w:val="28"/>
        </w:rPr>
        <w:t xml:space="preserve">March </w:t>
      </w:r>
      <w:r w:rsidR="00C309A8" w:rsidRPr="00CC3CD2">
        <w:rPr>
          <w:sz w:val="28"/>
          <w:szCs w:val="28"/>
        </w:rPr>
        <w:t>3, 2023</w:t>
      </w:r>
      <w:r w:rsidR="00431C6A" w:rsidRPr="00CC3CD2">
        <w:rPr>
          <w:sz w:val="28"/>
          <w:szCs w:val="28"/>
        </w:rPr>
        <w:t xml:space="preserve">. </w:t>
      </w:r>
      <w:r w:rsidRPr="00CC3CD2">
        <w:rPr>
          <w:sz w:val="28"/>
          <w:szCs w:val="28"/>
        </w:rPr>
        <w:t>To provide comments, visit</w:t>
      </w:r>
      <w:r w:rsidR="00B2473D" w:rsidRPr="00CC3CD2">
        <w:rPr>
          <w:sz w:val="28"/>
          <w:szCs w:val="28"/>
        </w:rPr>
        <w:t xml:space="preserve"> our </w:t>
      </w:r>
      <w:hyperlink r:id="rId13" w:history="1">
        <w:r w:rsidR="0053523E" w:rsidRPr="00CC3CD2">
          <w:rPr>
            <w:rStyle w:val="Hyperlink"/>
            <w:sz w:val="28"/>
            <w:szCs w:val="28"/>
          </w:rPr>
          <w:t>comments webpage</w:t>
        </w:r>
      </w:hyperlink>
      <w:r w:rsidR="00B2473D" w:rsidRPr="00CC3CD2">
        <w:rPr>
          <w:sz w:val="28"/>
          <w:szCs w:val="28"/>
        </w:rPr>
        <w:t>.</w:t>
      </w:r>
    </w:p>
    <w:p w14:paraId="4306CB60" w14:textId="50ADB654" w:rsidR="004B4A8D" w:rsidRPr="00CC3CD2" w:rsidRDefault="004B4A8D" w:rsidP="00CC3CD2">
      <w:pPr>
        <w:pStyle w:val="FocusbodyText"/>
        <w:spacing w:before="240" w:after="40"/>
        <w:ind w:left="144"/>
        <w:rPr>
          <w:rFonts w:ascii="Franklin Gothic Medium" w:eastAsiaTheme="majorEastAsia" w:hAnsi="Franklin Gothic Medium" w:cstheme="majorBidi"/>
          <w:color w:val="44688F"/>
          <w:sz w:val="36"/>
          <w:szCs w:val="36"/>
        </w:rPr>
      </w:pPr>
      <w:r w:rsidRPr="00CC3CD2">
        <w:rPr>
          <w:rFonts w:ascii="Franklin Gothic Medium" w:eastAsiaTheme="majorEastAsia" w:hAnsi="Franklin Gothic Medium" w:cstheme="majorBidi"/>
          <w:color w:val="44688F"/>
          <w:sz w:val="36"/>
          <w:szCs w:val="36"/>
        </w:rPr>
        <w:t>Contact information</w:t>
      </w:r>
    </w:p>
    <w:p w14:paraId="76B4EF46" w14:textId="77777777" w:rsidR="004B4A8D" w:rsidRPr="00CC3CD2" w:rsidRDefault="004B4A8D" w:rsidP="00CC3CD2">
      <w:pPr>
        <w:pStyle w:val="FocusbodyText"/>
        <w:spacing w:after="0"/>
        <w:ind w:left="144"/>
        <w:rPr>
          <w:sz w:val="28"/>
          <w:szCs w:val="28"/>
        </w:rPr>
      </w:pPr>
      <w:r w:rsidRPr="00CC3CD2">
        <w:rPr>
          <w:sz w:val="28"/>
          <w:szCs w:val="28"/>
        </w:rPr>
        <w:t>Lori Peterson</w:t>
      </w:r>
    </w:p>
    <w:p w14:paraId="164C42A0" w14:textId="77777777" w:rsidR="004B4A8D" w:rsidRPr="00CC3CD2" w:rsidRDefault="004B4A8D" w:rsidP="00CC3CD2">
      <w:pPr>
        <w:pStyle w:val="FocusbodyText"/>
        <w:spacing w:after="0"/>
        <w:ind w:left="144"/>
        <w:rPr>
          <w:sz w:val="28"/>
          <w:szCs w:val="28"/>
        </w:rPr>
      </w:pPr>
      <w:r w:rsidRPr="00CC3CD2">
        <w:rPr>
          <w:sz w:val="28"/>
          <w:szCs w:val="28"/>
        </w:rPr>
        <w:t>360-280-3325</w:t>
      </w:r>
    </w:p>
    <w:p w14:paraId="06A4A0B6" w14:textId="77777777" w:rsidR="004B4A8D" w:rsidRPr="00EB7F70" w:rsidRDefault="004B4A8D" w:rsidP="00CC3CD2">
      <w:pPr>
        <w:pStyle w:val="FocusbodyText"/>
        <w:spacing w:after="0"/>
        <w:ind w:left="144"/>
      </w:pPr>
      <w:r w:rsidRPr="00CC3CD2">
        <w:rPr>
          <w:sz w:val="28"/>
          <w:szCs w:val="28"/>
        </w:rPr>
        <w:t>Lori.Peterson@ecy.wa.gov</w:t>
      </w:r>
    </w:p>
    <w:p w14:paraId="74B61C83" w14:textId="77777777" w:rsidR="004B4A8D" w:rsidRPr="00CC3CD2" w:rsidRDefault="004B4A8D" w:rsidP="00CC3CD2">
      <w:pPr>
        <w:pStyle w:val="FocusSidebar"/>
        <w:spacing w:before="240" w:after="40"/>
        <w:ind w:left="144"/>
        <w:rPr>
          <w:color w:val="44688F"/>
          <w:sz w:val="36"/>
          <w:szCs w:val="36"/>
        </w:rPr>
      </w:pPr>
      <w:r w:rsidRPr="00CC3CD2">
        <w:rPr>
          <w:color w:val="44688F"/>
          <w:sz w:val="36"/>
          <w:szCs w:val="36"/>
        </w:rPr>
        <w:t>ADA Accessibility</w:t>
      </w:r>
    </w:p>
    <w:p w14:paraId="3A7C08BE" w14:textId="7F48A2F9" w:rsidR="009F3861" w:rsidRPr="00CC3CD2" w:rsidRDefault="004B4A8D" w:rsidP="00CC3CD2">
      <w:pPr>
        <w:pStyle w:val="FocusbodyText"/>
        <w:ind w:left="144"/>
        <w:rPr>
          <w:sz w:val="28"/>
          <w:szCs w:val="28"/>
        </w:rPr>
      </w:pPr>
      <w:r w:rsidRPr="00CC3CD2">
        <w:rPr>
          <w:sz w:val="28"/>
          <w:szCs w:val="28"/>
        </w:rPr>
        <w:t xml:space="preserve">To request an ADA accommodation, contact Ecology by phone at </w:t>
      </w:r>
      <w:r w:rsidR="00706104" w:rsidRPr="00CC3CD2">
        <w:rPr>
          <w:sz w:val="28"/>
          <w:szCs w:val="28"/>
        </w:rPr>
        <w:t>360-407</w:t>
      </w:r>
      <w:r w:rsidRPr="00CC3CD2">
        <w:rPr>
          <w:sz w:val="28"/>
          <w:szCs w:val="28"/>
        </w:rPr>
        <w:t>-</w:t>
      </w:r>
      <w:r w:rsidR="00431C6A" w:rsidRPr="00CC3CD2">
        <w:rPr>
          <w:sz w:val="28"/>
          <w:szCs w:val="28"/>
        </w:rPr>
        <w:t>6900</w:t>
      </w:r>
      <w:r w:rsidRPr="00CC3CD2">
        <w:rPr>
          <w:sz w:val="28"/>
          <w:szCs w:val="28"/>
        </w:rPr>
        <w:t xml:space="preserve"> or email at </w:t>
      </w:r>
      <w:r w:rsidR="00431C6A" w:rsidRPr="00CC3CD2">
        <w:rPr>
          <w:sz w:val="28"/>
          <w:szCs w:val="28"/>
        </w:rPr>
        <w:t>SWMpublications</w:t>
      </w:r>
      <w:r w:rsidRPr="00CC3CD2">
        <w:rPr>
          <w:sz w:val="28"/>
          <w:szCs w:val="28"/>
        </w:rPr>
        <w:t>@ecy.wa.gov, or visit https://ecology.wa.gov/accessibility. For Relay Service or TTY call 711 or 877-833-6341.</w:t>
      </w:r>
    </w:p>
    <w:sectPr w:rsidR="009F3861" w:rsidRPr="00CC3CD2" w:rsidSect="00CC3CD2">
      <w:headerReference w:type="default"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7C" w14:textId="77777777" w:rsidR="00786309" w:rsidRDefault="00786309" w:rsidP="00916389">
      <w:pPr>
        <w:spacing w:after="0" w:line="240" w:lineRule="auto"/>
      </w:pPr>
      <w:r>
        <w:separator/>
      </w:r>
    </w:p>
  </w:endnote>
  <w:endnote w:type="continuationSeparator" w:id="0">
    <w:p w14:paraId="2B72F84E" w14:textId="77777777" w:rsidR="00786309" w:rsidRDefault="00786309" w:rsidP="00916389">
      <w:pPr>
        <w:spacing w:after="0" w:line="240" w:lineRule="auto"/>
      </w:pPr>
      <w:r>
        <w:continuationSeparator/>
      </w:r>
    </w:p>
  </w:endnote>
  <w:endnote w:type="continuationNotice" w:id="1">
    <w:p w14:paraId="56D13750" w14:textId="77777777" w:rsidR="00266976" w:rsidRDefault="00266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olBoran">
    <w:charset w:val="00"/>
    <w:family w:val="swiss"/>
    <w:pitch w:val="variable"/>
    <w:sig w:usb0="80000003" w:usb1="00000000" w:usb2="0001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1A90" w14:textId="77777777" w:rsidR="00BC5C65" w:rsidRDefault="00616867" w:rsidP="006D5997">
    <w:pPr>
      <w:pStyle w:val="Footer"/>
      <w:rPr>
        <w:rFonts w:ascii="Cambria" w:hAnsi="Cambria"/>
      </w:rPr>
    </w:pPr>
    <w:r w:rsidRPr="00083F92">
      <w:rPr>
        <w:rFonts w:ascii="Cambria" w:hAnsi="Cambria"/>
        <w:noProof/>
      </w:rPr>
      <mc:AlternateContent>
        <mc:Choice Requires="wps">
          <w:drawing>
            <wp:inline distT="0" distB="0" distL="0" distR="0" wp14:anchorId="3441A7DB" wp14:editId="383CD6F2">
              <wp:extent cx="9246476" cy="0"/>
              <wp:effectExtent l="0" t="19050" r="31115" b="1905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24647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27E491" id="Straight Connector 9"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72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nqrwEAAK8DAAAOAAAAZHJzL2Uyb0RvYy54bWysU02P0zAQvSPxHyzfqdNqt7tETfewK7gg&#10;WPF19zrjxpK/ZJsm/feMJ20WAUICcbEce96b954nu7vJWXaElE3wHV+vGs7Aq9Abf+j4l89vXt1y&#10;lov0vbTBQ8dPkPnd/uWL3Rhb2IQh2B4SQxKf2zF2fCgltkJkNYCTeRUieLzUITlZ8DMdRJ/kiOzO&#10;ik3TbMUYUh9TUJAznj7Ml3xP/FqDKh+0zlCY7ThqK7QmWp/qKvY72R6SjINRZxnyH1Q4aTw2Xage&#10;ZJHsWzK/UDmjUshBl5UKTgStjQLygG7WzU9uPg0yAnnBcHJcYsr/j1a9P977x4QxjDG3OT6m6mLS&#10;yTFtTfyKb0q+UCmbKLbTEhtMhSk8fL252l7dbDlTlzsxU1SqmHJ5C8Gxuum4Nb46kq08vssF22Lp&#10;paQeW8/Gjm9ur2+u69uIZ1W0KycLc9lH0Mz02H3WRwMD9zaxo8SnlkqBL2uiqKRYXWHaWLsAG9Lx&#10;R+C5vkKBhulvwAuCOgdfFrAzPqTfdS/TRbKe6y8JzL5rBE+hP9F7UTQ4FRTheYLr2P34TfDn/2z/&#10;HQAA//8DAFBLAwQUAAYACAAAACEAucszHNoAAAADAQAADwAAAGRycy9kb3ducmV2LnhtbEyPQUvD&#10;QBCF74L/YZmCF7GbFBskZlOKIHoQwbYevE2yYxKanQ3ZTbv669140cuDxxve+6bYBNOLE42us6wg&#10;XSYgiGurO24UHPaPN3cgnEfW2FsmBV/kYFNeXhSYa3vmNzrtfCNiCbscFbTeD7mUrm7JoFvagThm&#10;n3Y06KMdG6lHPMdy08tVkmTSYMdxocWBHlqqj7vJKGim7LuqzNNWvq5ent+vOXyk66DU1SJs70F4&#10;Cv7vGGb8iA5lZKrsxNqJXkF8xP/qnN2usxRENXtZFvI/e/kDAAD//wMAUEsBAi0AFAAGAAgAAAAh&#10;ALaDOJL+AAAA4QEAABMAAAAAAAAAAAAAAAAAAAAAAFtDb250ZW50X1R5cGVzXS54bWxQSwECLQAU&#10;AAYACAAAACEAOP0h/9YAAACUAQAACwAAAAAAAAAAAAAAAAAvAQAAX3JlbHMvLnJlbHNQSwECLQAU&#10;AAYACAAAACEAKrGZ6q8BAACvAwAADgAAAAAAAAAAAAAAAAAuAgAAZHJzL2Uyb0RvYy54bWxQSwEC&#10;LQAUAAYACAAAACEAucszHNoAAAADAQAADwAAAAAAAAAAAAAAAAAJBAAAZHJzL2Rvd25yZXYueG1s&#10;UEsFBgAAAAAEAAQA8wAAABAFAAAAAA==&#10;" strokecolor="#5b9bd5 [3204]" strokeweight="2.25pt">
              <v:stroke joinstyle="miter"/>
              <w10:anchorlock/>
            </v:line>
          </w:pict>
        </mc:Fallback>
      </mc:AlternateContent>
    </w:r>
  </w:p>
  <w:p w14:paraId="3159543D" w14:textId="23CB46DC" w:rsidR="006F7743" w:rsidRPr="0054117E" w:rsidRDefault="006D5997" w:rsidP="006D5997">
    <w:pPr>
      <w:pStyle w:val="Footer"/>
      <w:rPr>
        <w:rFonts w:cstheme="minorHAnsi"/>
      </w:rPr>
    </w:pPr>
    <w:r w:rsidRPr="0054117E">
      <w:rPr>
        <w:rFonts w:cstheme="minorHAnsi"/>
      </w:rPr>
      <w:t xml:space="preserve">Publication </w:t>
    </w:r>
    <w:r w:rsidR="00A06F92" w:rsidRPr="0054117E">
      <w:rPr>
        <w:rFonts w:cstheme="minorHAnsi"/>
      </w:rPr>
      <w:t>2</w:t>
    </w:r>
    <w:r w:rsidR="00F14CBD" w:rsidRPr="0054117E">
      <w:rPr>
        <w:rFonts w:cstheme="minorHAnsi"/>
      </w:rPr>
      <w:t>3</w:t>
    </w:r>
    <w:r w:rsidRPr="0054117E">
      <w:rPr>
        <w:rFonts w:cstheme="minorHAnsi"/>
      </w:rPr>
      <w:t>-</w:t>
    </w:r>
    <w:r w:rsidR="00B42F69" w:rsidRPr="0054117E">
      <w:rPr>
        <w:rFonts w:cstheme="minorHAnsi"/>
      </w:rPr>
      <w:t>07</w:t>
    </w:r>
    <w:r w:rsidRPr="0054117E">
      <w:rPr>
        <w:rFonts w:cstheme="minorHAnsi"/>
      </w:rPr>
      <w:t>-</w:t>
    </w:r>
    <w:r w:rsidR="00B42F69" w:rsidRPr="0054117E">
      <w:rPr>
        <w:rFonts w:cstheme="minorHAnsi"/>
      </w:rPr>
      <w:t>001</w:t>
    </w:r>
    <w:r w:rsidRPr="0054117E">
      <w:rPr>
        <w:rFonts w:cstheme="minorHAnsi"/>
      </w:rPr>
      <w:ptab w:relativeTo="margin" w:alignment="center" w:leader="none"/>
    </w:r>
    <w:r w:rsidR="00A06F92" w:rsidRPr="0054117E">
      <w:rPr>
        <w:rFonts w:cstheme="minorHAnsi"/>
      </w:rPr>
      <w:t>January</w:t>
    </w:r>
    <w:r w:rsidRPr="0054117E">
      <w:rPr>
        <w:rFonts w:cstheme="minorHAnsi"/>
      </w:rPr>
      <w:t xml:space="preserve"> </w:t>
    </w:r>
    <w:r w:rsidR="00A06F92" w:rsidRPr="0054117E">
      <w:rPr>
        <w:rFonts w:cstheme="minorHAnsi"/>
      </w:rPr>
      <w:t>202</w:t>
    </w:r>
    <w:r w:rsidR="00F14CBD" w:rsidRPr="0054117E">
      <w:rPr>
        <w:rFonts w:cstheme="minorHAnsi"/>
      </w:rPr>
      <w:t>3</w:t>
    </w:r>
    <w:r w:rsidRPr="0054117E">
      <w:rPr>
        <w:rFonts w:cstheme="minorHAnsi"/>
      </w:rPr>
      <w:ptab w:relativeTo="margin" w:alignment="right" w:leader="none"/>
    </w:r>
    <w:r w:rsidRPr="0054117E">
      <w:rPr>
        <w:rFonts w:cstheme="minorHAnsi"/>
      </w:rPr>
      <w:t xml:space="preserve">Page </w:t>
    </w:r>
    <w:r w:rsidRPr="0054117E">
      <w:rPr>
        <w:rFonts w:cstheme="minorHAnsi"/>
      </w:rPr>
      <w:fldChar w:fldCharType="begin"/>
    </w:r>
    <w:r w:rsidRPr="0054117E">
      <w:rPr>
        <w:rFonts w:cstheme="minorHAnsi"/>
      </w:rPr>
      <w:instrText xml:space="preserve"> PAGE   \* MERGEFORMAT </w:instrText>
    </w:r>
    <w:r w:rsidRPr="0054117E">
      <w:rPr>
        <w:rFonts w:cstheme="minorHAnsi"/>
      </w:rPr>
      <w:fldChar w:fldCharType="separate"/>
    </w:r>
    <w:r w:rsidR="000A4AAA" w:rsidRPr="0054117E">
      <w:rPr>
        <w:rFonts w:cstheme="minorHAnsi"/>
        <w:noProof/>
      </w:rPr>
      <w:t>4</w:t>
    </w:r>
    <w:r w:rsidRPr="0054117E">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B636" w14:textId="77777777" w:rsidR="00993349" w:rsidRPr="003A3177" w:rsidRDefault="00993349" w:rsidP="00307015">
    <w:pPr>
      <w:pStyle w:val="Footer"/>
      <w:tabs>
        <w:tab w:val="clear" w:pos="9360"/>
        <w:tab w:val="right" w:pos="9270"/>
      </w:tabs>
      <w:rPr>
        <w:rFonts w:ascii="Cambria" w:hAnsi="Cambria"/>
      </w:rPr>
    </w:pPr>
    <w:r w:rsidRPr="003A3177">
      <w:rPr>
        <w:rFonts w:ascii="Cambria" w:hAnsi="Cambria"/>
        <w:noProof/>
      </w:rPr>
      <mc:AlternateContent>
        <mc:Choice Requires="wps">
          <w:drawing>
            <wp:inline distT="0" distB="0" distL="0" distR="0" wp14:anchorId="6FC613CB" wp14:editId="034A9EB1">
              <wp:extent cx="6848475" cy="0"/>
              <wp:effectExtent l="0" t="19050" r="28575" b="1905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671073" id="Straight Connector 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RurwEAAK8DAAAOAAAAZHJzL2Uyb0RvYy54bWysU8tu2zAQvBfoPxC8x5KNPAzBcg4J0kvR&#10;Bk3bO00tLQIklyBZS/77LilbCdqiQIJcCIrcmZ0Zrja3ozXsACFqdC1fLmrOwEnstNu3/Mf3h4s1&#10;ZzEJ1wmDDlp+hMhvtx8/bAbfwAp7NB0ERiQuNoNveZ+Sb6oqyh6siAv04OhSYbAi0WfYV10QA7Fb&#10;U63q+roaMHQ+oIQY6fR+uuTbwq8UyPRVqQiJmZaTtlTWUNZdXqvtRjT7IHyv5UmGeIMKK7SjpjPV&#10;vUiC/Qr6LyqrZcCIKi0k2gqV0hKKB3KzrP9w89QLD8ULhRP9HFN8P1r55XDnHgPFMPjYRP8YsotR&#10;BcuU0f4nvWnxRUrZWGI7zrHBmJikw+v15fry5oozeb6rJopM5UNMnwAty5uWG+2yI9GIw+eYqC2V&#10;nkvysXFsaPlqfUV8+fZZVdmlo4Gp7BsopjvqPukrAwN3JrCDoKcWUoJLy0KRSak6w5Q2ZgbWRcd/&#10;gaf6DIUyTK8Bz4jSGV2awVY7DP/qnsazZDXVnxOYfOcIdtgdy3uVaGgqSoSnCc5j9/K7wJ//s+1v&#10;AAAA//8DAFBLAwQUAAYACAAAACEAubO2VtsAAAADAQAADwAAAGRycy9kb3ducmV2LnhtbEyPQUvD&#10;QBCF70L/wzIFL9JuWmgtMZtSCqIHEax66G2SHZPQ7GzIbtrVX+/GS708eLzhvW+ybTCtOFPvGssK&#10;FvMEBHFpdcOVgo/3x9kGhPPIGlvLpOCbHGzzyU2GqbYXfqPzwVcilrBLUUHtfZdK6cqaDLq57Yhj&#10;9mV7gz7avpK6x0ssN61cJslaGmw4LtTY0b6m8nQYjIJqWP8UhXnaydfly/PnHYfjYhWUup2G3QMI&#10;T8Ffj2HEj+iQR6bCDqydaBXER/yfjllyv1mBKEYv80z+Z89/AQAA//8DAFBLAQItABQABgAIAAAA&#10;IQC2gziS/gAAAOEBAAATAAAAAAAAAAAAAAAAAAAAAABbQ29udGVudF9UeXBlc10ueG1sUEsBAi0A&#10;FAAGAAgAAAAhADj9If/WAAAAlAEAAAsAAAAAAAAAAAAAAAAALwEAAF9yZWxzLy5yZWxzUEsBAi0A&#10;FAAGAAgAAAAhANoddG6vAQAArwMAAA4AAAAAAAAAAAAAAAAALgIAAGRycy9lMm9Eb2MueG1sUEsB&#10;Ai0AFAAGAAgAAAAhALmztlbbAAAAAwEAAA8AAAAAAAAAAAAAAAAACQQAAGRycy9kb3ducmV2Lnht&#10;bFBLBQYAAAAABAAEAPMAAAARBQAAAAA=&#10;" strokecolor="#5b9bd5 [3204]" strokeweight="2.25pt">
              <v:stroke joinstyle="miter"/>
              <w10:anchorlock/>
            </v:line>
          </w:pict>
        </mc:Fallback>
      </mc:AlternateContent>
    </w:r>
    <w:r w:rsidR="00A1519D">
      <w:rPr>
        <w:rFonts w:ascii="Cambria" w:hAnsi="Cambria"/>
      </w:rPr>
      <w:t>Publication</w:t>
    </w:r>
    <w:r w:rsidR="00307015">
      <w:rPr>
        <w:rFonts w:ascii="Cambria" w:hAnsi="Cambria"/>
      </w:rPr>
      <w:t xml:space="preserve"> xx-xx-xxx </w:t>
    </w:r>
    <w:r w:rsidR="00307015">
      <w:rPr>
        <w:rFonts w:ascii="Cambria" w:hAnsi="Cambria"/>
      </w:rPr>
      <w:tab/>
      <w:t>Month Year</w:t>
    </w:r>
    <w:r w:rsidR="00307015">
      <w:rPr>
        <w:rFonts w:ascii="Cambria" w:hAnsi="Cambria"/>
      </w:rPr>
      <w:tab/>
    </w:r>
    <w:r w:rsidR="00307015">
      <w:rPr>
        <w:rFonts w:ascii="Cambria" w:hAnsi="Cambria"/>
      </w:rPr>
      <w:tab/>
    </w:r>
    <w:r w:rsidR="00307015">
      <w:rPr>
        <w:rFonts w:ascii="Cambria" w:hAnsi="Cambria"/>
      </w:rPr>
      <w:tab/>
    </w:r>
    <w:r w:rsidRPr="003A3177">
      <w:rPr>
        <w:rFonts w:ascii="Cambria" w:hAnsi="Cambria"/>
      </w:rPr>
      <w:t xml:space="preserve">Page </w:t>
    </w:r>
    <w:sdt>
      <w:sdtPr>
        <w:rPr>
          <w:rFonts w:ascii="Cambria" w:hAnsi="Cambria"/>
        </w:rPr>
        <w:id w:val="-305163100"/>
        <w:docPartObj>
          <w:docPartGallery w:val="Page Numbers (Bottom of Page)"/>
          <w:docPartUnique/>
        </w:docPartObj>
      </w:sdtPr>
      <w:sdtEndPr>
        <w:rPr>
          <w:noProof/>
        </w:rPr>
      </w:sdtEndPr>
      <w:sdtContent>
        <w:r w:rsidRPr="003A3177">
          <w:rPr>
            <w:rFonts w:ascii="Cambria" w:hAnsi="Cambria"/>
          </w:rPr>
          <w:fldChar w:fldCharType="begin"/>
        </w:r>
        <w:r w:rsidRPr="003A3177">
          <w:rPr>
            <w:rFonts w:ascii="Cambria" w:hAnsi="Cambria"/>
          </w:rPr>
          <w:instrText xml:space="preserve"> PAGE   \* MERGEFORMAT </w:instrText>
        </w:r>
        <w:r w:rsidRPr="003A3177">
          <w:rPr>
            <w:rFonts w:ascii="Cambria" w:hAnsi="Cambria"/>
          </w:rPr>
          <w:fldChar w:fldCharType="separate"/>
        </w:r>
        <w:r w:rsidR="000C27A3">
          <w:rPr>
            <w:rFonts w:ascii="Cambria" w:hAnsi="Cambria"/>
            <w:noProof/>
          </w:rPr>
          <w:t>2</w:t>
        </w:r>
        <w:r w:rsidRPr="003A3177">
          <w:rPr>
            <w:rFonts w:ascii="Cambria" w:hAnsi="Cambr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A42E" w14:textId="77777777" w:rsidR="00786309" w:rsidRDefault="00786309" w:rsidP="00916389">
      <w:pPr>
        <w:spacing w:after="0" w:line="240" w:lineRule="auto"/>
      </w:pPr>
      <w:r>
        <w:separator/>
      </w:r>
    </w:p>
  </w:footnote>
  <w:footnote w:type="continuationSeparator" w:id="0">
    <w:p w14:paraId="77F5D3A7" w14:textId="77777777" w:rsidR="00786309" w:rsidRDefault="00786309" w:rsidP="00916389">
      <w:pPr>
        <w:spacing w:after="0" w:line="240" w:lineRule="auto"/>
      </w:pPr>
      <w:r>
        <w:continuationSeparator/>
      </w:r>
    </w:p>
  </w:footnote>
  <w:footnote w:type="continuationNotice" w:id="1">
    <w:p w14:paraId="3F879D3D" w14:textId="77777777" w:rsidR="00266976" w:rsidRDefault="00266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45EE" w14:textId="00CDEB75" w:rsidR="009766AD" w:rsidRPr="0054117E" w:rsidRDefault="000F175C" w:rsidP="00431C6A">
    <w:pPr>
      <w:tabs>
        <w:tab w:val="left" w:pos="3600"/>
        <w:tab w:val="left" w:pos="8964"/>
      </w:tabs>
      <w:spacing w:before="120" w:after="120"/>
      <w:rPr>
        <w:rFonts w:cstheme="minorHAnsi"/>
        <w:sz w:val="28"/>
        <w:szCs w:val="28"/>
      </w:rPr>
    </w:pPr>
    <w:r w:rsidRPr="0054117E">
      <w:rPr>
        <w:rFonts w:cstheme="minorHAnsi"/>
        <w:noProof/>
        <w:sz w:val="28"/>
        <w:szCs w:val="28"/>
      </w:rPr>
      <w:drawing>
        <wp:anchor distT="0" distB="0" distL="114300" distR="114300" simplePos="0" relativeHeight="251658241" behindDoc="1" locked="0" layoutInCell="1" allowOverlap="1" wp14:anchorId="33D6FAB6" wp14:editId="5AB77479">
          <wp:simplePos x="0" y="0"/>
          <wp:positionH relativeFrom="margin">
            <wp:align>right</wp:align>
          </wp:positionH>
          <wp:positionV relativeFrom="page">
            <wp:posOffset>256540</wp:posOffset>
          </wp:positionV>
          <wp:extent cx="1592519" cy="55753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19" cy="557530"/>
                  </a:xfrm>
                  <a:prstGeom prst="rect">
                    <a:avLst/>
                  </a:prstGeom>
                </pic:spPr>
              </pic:pic>
            </a:graphicData>
          </a:graphic>
          <wp14:sizeRelH relativeFrom="page">
            <wp14:pctWidth>0</wp14:pctWidth>
          </wp14:sizeRelH>
          <wp14:sizeRelV relativeFrom="page">
            <wp14:pctHeight>0</wp14:pctHeight>
          </wp14:sizeRelV>
        </wp:anchor>
      </w:drawing>
    </w:r>
    <w:r w:rsidR="00A06F92" w:rsidRPr="0054117E">
      <w:rPr>
        <w:rFonts w:cstheme="minorHAnsi"/>
        <w:noProof/>
      </w:rPr>
      <w:t>Solid Waste Management</w:t>
    </w:r>
    <w:r w:rsidR="00083F92" w:rsidRPr="0054117E">
      <w:rPr>
        <w:rFonts w:cstheme="minorHAnsi"/>
        <w:noProof/>
      </w:rPr>
      <w:t xml:space="preserve"> Program</w:t>
    </w:r>
    <w:r w:rsidR="009766AD" w:rsidRPr="0054117E">
      <w:rPr>
        <w:rFonts w:cstheme="minorHAnsi"/>
        <w:noProof/>
      </w:rPr>
      <mc:AlternateContent>
        <mc:Choice Requires="wps">
          <w:drawing>
            <wp:inline distT="0" distB="0" distL="0" distR="0" wp14:anchorId="5AC437D1" wp14:editId="03DFB559">
              <wp:extent cx="9310181" cy="0"/>
              <wp:effectExtent l="0" t="19050" r="24765"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31018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B543D6" id="Straight Connector 3"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7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firwEAAK8DAAAOAAAAZHJzL2Uyb0RvYy54bWysU8tu2zAQvAfIPxC8x5RcpHEEyzkkaC5F&#10;E+TRO0MtLQJ8gWQt+e+zpGylSIsCCXohKHJndma4Wl+NRpMdhKicbWm9qCgBK1yn7Lalz0/fzlaU&#10;xMRtx7Wz0NI9RHq1OT1ZD76Bpeud7iAQJLGxGXxL+5R8w1gUPRgeF86DxUvpguEJP8OWdYEPyG40&#10;W1bVVza40PngBMSIpzfTJd0UfilBpDspIySiW4raUllDWV/yyjZr3mwD970SBxn8EyoMVxabzlQ3&#10;PHHyK6g/qIwSwUUn00I4w5yUSkDxgG7q6p2bx557KF4wnOjnmOL/oxU/dtf2PmAMg49N9Pchuxhl&#10;MERq5X/imxZfqJSMJbb9HBuMiQg8vPxSV/WqpkQc79hEkal8iOkWnCF501KtbHbEG777HhO2xdJj&#10;ST7WlgwtXa7OL87z27A3VWWX9hqmsgeQRHXYfdJXBgaudSA7jk/NhQCb6kKRSbE6w6TSegZWRcc/&#10;gYf6DIUyTB8Bz4jS2dk0g42yLvytexqPkuVUf0xg8p0jeHHdvrxXiQanokR4mOA8dr9/F/jbf7Z5&#10;BQAA//8DAFBLAwQUAAYACAAAACEAKVBKmtoAAAADAQAADwAAAGRycy9kb3ducmV2LnhtbEyPQUvD&#10;QBCF70L/wzIFL2I3DRokZlNKoehBBKsevE2yYxLMzobspl399W681MuDxxve+6bYBNOLI42us6xg&#10;vUpAENdWd9woeHvdX9+BcB5ZY2+ZFHyTg025uCgw1/bEL3Q8+EbEEnY5Kmi9H3IpXd2SQbeyA3HM&#10;Pu1o0Ec7NlKPeIrlppdpkmTSYMdxocWBdi3VX4fJKGim7KeqzMNWPqdPj+9XHD7Wt0Gpy2XY3oPw&#10;FPz5GGb8iA5lZKrsxNqJXkF8xP/pnN1kWQqimr0sC/mfvfwFAAD//wMAUEsBAi0AFAAGAAgAAAAh&#10;ALaDOJL+AAAA4QEAABMAAAAAAAAAAAAAAAAAAAAAAFtDb250ZW50X1R5cGVzXS54bWxQSwECLQAU&#10;AAYACAAAACEAOP0h/9YAAACUAQAACwAAAAAAAAAAAAAAAAAvAQAAX3JlbHMvLnJlbHNQSwECLQAU&#10;AAYACAAAACEA+JDX4q8BAACvAwAADgAAAAAAAAAAAAAAAAAuAgAAZHJzL2Uyb0RvYy54bWxQSwEC&#10;LQAUAAYACAAAACEAKVBKmtoAAAADAQAADwAAAAAAAAAAAAAAAAAJBAAAZHJzL2Rvd25yZXYueG1s&#10;UEsFBgAAAAAEAAQA8wAAABAFAAAAAA==&#10;" strokecolor="#5b9bd5 [3204]" strokeweight="2.25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B49" w14:textId="2A960E57" w:rsidR="00CE78B2" w:rsidRPr="003A3177" w:rsidRDefault="00CE78B2" w:rsidP="00EB7F70">
    <w:pPr>
      <w:tabs>
        <w:tab w:val="left" w:pos="8964"/>
      </w:tabs>
      <w:spacing w:before="120" w:after="120"/>
      <w:rPr>
        <w:rFonts w:ascii="Cambria" w:hAnsi="Cambria"/>
        <w:sz w:val="28"/>
        <w:szCs w:val="28"/>
      </w:rPr>
    </w:pPr>
    <w:r w:rsidRPr="003A3177">
      <w:rPr>
        <w:rFonts w:ascii="Cambria" w:hAnsi="Cambria"/>
        <w:noProof/>
        <w:sz w:val="28"/>
        <w:szCs w:val="28"/>
      </w:rPr>
      <w:drawing>
        <wp:anchor distT="0" distB="0" distL="114300" distR="114300" simplePos="0" relativeHeight="251658240" behindDoc="1" locked="0" layoutInCell="1" allowOverlap="1" wp14:anchorId="5A28E185" wp14:editId="4AFC287D">
          <wp:simplePos x="0" y="0"/>
          <wp:positionH relativeFrom="margin">
            <wp:align>right</wp:align>
          </wp:positionH>
          <wp:positionV relativeFrom="page">
            <wp:posOffset>256540</wp:posOffset>
          </wp:positionV>
          <wp:extent cx="1593215" cy="557530"/>
          <wp:effectExtent l="0" t="0" r="698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14:sizeRelH relativeFrom="page">
            <wp14:pctWidth>0</wp14:pctWidth>
          </wp14:sizeRelH>
          <wp14:sizeRelV relativeFrom="page">
            <wp14:pctHeight>0</wp14:pctHeight>
          </wp14:sizeRelV>
        </wp:anchor>
      </w:drawing>
    </w:r>
    <w:r w:rsidR="004F199F">
      <w:rPr>
        <w:rFonts w:ascii="Cambria" w:hAnsi="Cambria"/>
        <w:sz w:val="28"/>
        <w:szCs w:val="28"/>
      </w:rPr>
      <w:t>Solid Waste Management</w:t>
    </w:r>
    <w:r w:rsidRPr="003A3177">
      <w:rPr>
        <w:rFonts w:ascii="Cambria" w:hAnsi="Cambria"/>
        <w:sz w:val="28"/>
        <w:szCs w:val="28"/>
      </w:rPr>
      <w:t xml:space="preserve"> Program</w:t>
    </w:r>
    <w:r w:rsidR="00EB7F70" w:rsidRPr="003A3177">
      <w:rPr>
        <w:rFonts w:ascii="Cambria" w:hAnsi="Cambria"/>
        <w:noProof/>
      </w:rPr>
      <mc:AlternateContent>
        <mc:Choice Requires="wps">
          <w:drawing>
            <wp:inline distT="0" distB="0" distL="0" distR="0" wp14:anchorId="2C904DCE" wp14:editId="110EE3EC">
              <wp:extent cx="6840855" cy="0"/>
              <wp:effectExtent l="0" t="19050" r="36195" b="190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08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8B5389" id="Straight Connector 1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gEAAK8DAAAOAAAAZHJzL2Uyb0RvYy54bWysU02P0zAQvSPxHyzfqdOKLlXUdA+7gguC&#10;FbDcvc64seQvjU2T/nvGTptFgJBAXCzHnvfmvefJ/nZylp0Akwm+4+tVwxl4FXrjjx1//PL21Y6z&#10;lKXvpQ0eOn6GxG8PL1/sx9jCJgzB9oCMSHxqx9jxIefYCpHUAE6mVYjg6VIHdDLTJx5Fj3IkdmfF&#10;pmluxBiwjxgUpESn9/MlP1R+rUHlj1onyMx2nLTlumJdn8oqDnvZHlHGwaiLDPkPKpw0npouVPcy&#10;S/YNzS9UzigMKei8UsGJoLVRUD2Qm3Xzk5vPg4xQvVA4KS4xpf9Hqz6c7vwDUgxjTG2KD1hcTBod&#10;09bEr/Sm1RcpZVON7bzEBlNmig5vdq+b3XbLmbreiZmiUEVM+R0Ex8qm49b44ki28vQ+ZWpLpdeS&#10;cmw9Gzu+2W3fbMvbiGdVdZfPFuayT6CZ6an7rK8ODNxZZCdJTy2VAp/XlaKQUnWBaWPtAmyqjj8C&#10;L/UFCnWY/ga8IGrn4PMCdsYH/F33PF0l67n+msDsu0TwFPpzfa8aDU1FjfAywWXsfvyu8Of/7PAd&#10;AAD//wMAUEsDBBQABgAIAAAAIQCFiYew2wAAAAMBAAAPAAAAZHJzL2Rvd25yZXYueG1sTI9PS8NA&#10;EMXvgt9hGcGLtJtWbCVmU4ogehCh/w7eJtkxCWZnQ3bTrn56N17ay4PHG977TbYKphVH6l1jWcFs&#10;moAgLq1uuFKw371MHkE4j6yxtUwKfsjBKr++yjDV9sQbOm59JWIJuxQV1N53qZSurMmgm9qOOGZf&#10;tjfoo+0rqXs8xXLTynmSLKTBhuNCjR0911R+bwejoBoWv0VhXtfyY/7+drjj8Dl7CErd3oT1EwhP&#10;wZ+PYcSP6JBHpsIOrJ1oFcRH/L+OWbJc3oMoRi/zTF6y538AAAD//wMAUEsBAi0AFAAGAAgAAAAh&#10;ALaDOJL+AAAA4QEAABMAAAAAAAAAAAAAAAAAAAAAAFtDb250ZW50X1R5cGVzXS54bWxQSwECLQAU&#10;AAYACAAAACEAOP0h/9YAAACUAQAACwAAAAAAAAAAAAAAAAAvAQAAX3JlbHMvLnJlbHNQSwECLQAU&#10;AAYACAAAACEAYvv8hK4BAACvAwAADgAAAAAAAAAAAAAAAAAuAgAAZHJzL2Uyb0RvYy54bWxQSwEC&#10;LQAUAAYACAAAACEAhYmHsNsAAAADAQAADwAAAAAAAAAAAAAAAAAIBAAAZHJzL2Rvd25yZXYueG1s&#10;UEsFBgAAAAAEAAQA8wAAABAFAAAAAA==&#10;" strokecolor="#5b9bd5 [3204]" strokeweight="2.2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5C0D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67C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70AE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2693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E4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AB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52C4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82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989F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24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360A6"/>
    <w:multiLevelType w:val="hybridMultilevel"/>
    <w:tmpl w:val="3A4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650D"/>
    <w:multiLevelType w:val="hybridMultilevel"/>
    <w:tmpl w:val="E01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D7856"/>
    <w:multiLevelType w:val="hybridMultilevel"/>
    <w:tmpl w:val="ADB0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568"/>
    <w:multiLevelType w:val="hybridMultilevel"/>
    <w:tmpl w:val="C35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804FA"/>
    <w:multiLevelType w:val="hybridMultilevel"/>
    <w:tmpl w:val="115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B44F0"/>
    <w:multiLevelType w:val="hybridMultilevel"/>
    <w:tmpl w:val="011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C67D1"/>
    <w:multiLevelType w:val="hybridMultilevel"/>
    <w:tmpl w:val="A54272EC"/>
    <w:lvl w:ilvl="0" w:tplc="A3C8B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B24A0"/>
    <w:multiLevelType w:val="hybridMultilevel"/>
    <w:tmpl w:val="94A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90FC6"/>
    <w:multiLevelType w:val="hybridMultilevel"/>
    <w:tmpl w:val="F836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941610">
    <w:abstractNumId w:val="9"/>
  </w:num>
  <w:num w:numId="2" w16cid:durableId="1142042952">
    <w:abstractNumId w:val="7"/>
  </w:num>
  <w:num w:numId="3" w16cid:durableId="1959986665">
    <w:abstractNumId w:val="6"/>
  </w:num>
  <w:num w:numId="4" w16cid:durableId="1801000128">
    <w:abstractNumId w:val="5"/>
  </w:num>
  <w:num w:numId="5" w16cid:durableId="382291834">
    <w:abstractNumId w:val="4"/>
  </w:num>
  <w:num w:numId="6" w16cid:durableId="862743088">
    <w:abstractNumId w:val="8"/>
  </w:num>
  <w:num w:numId="7" w16cid:durableId="651829736">
    <w:abstractNumId w:val="3"/>
  </w:num>
  <w:num w:numId="8" w16cid:durableId="420494300">
    <w:abstractNumId w:val="2"/>
  </w:num>
  <w:num w:numId="9" w16cid:durableId="1243370770">
    <w:abstractNumId w:val="1"/>
  </w:num>
  <w:num w:numId="10" w16cid:durableId="1635257802">
    <w:abstractNumId w:val="0"/>
  </w:num>
  <w:num w:numId="11" w16cid:durableId="1534541617">
    <w:abstractNumId w:val="12"/>
  </w:num>
  <w:num w:numId="12" w16cid:durableId="494954737">
    <w:abstractNumId w:val="10"/>
  </w:num>
  <w:num w:numId="13" w16cid:durableId="316302878">
    <w:abstractNumId w:val="18"/>
  </w:num>
  <w:num w:numId="14" w16cid:durableId="473760887">
    <w:abstractNumId w:val="16"/>
  </w:num>
  <w:num w:numId="15" w16cid:durableId="1696417467">
    <w:abstractNumId w:val="20"/>
  </w:num>
  <w:num w:numId="16" w16cid:durableId="1002972070">
    <w:abstractNumId w:val="11"/>
  </w:num>
  <w:num w:numId="17" w16cid:durableId="502277309">
    <w:abstractNumId w:val="13"/>
  </w:num>
  <w:num w:numId="18" w16cid:durableId="1092897244">
    <w:abstractNumId w:val="14"/>
  </w:num>
  <w:num w:numId="19" w16cid:durableId="929318939">
    <w:abstractNumId w:val="19"/>
  </w:num>
  <w:num w:numId="20" w16cid:durableId="134446176">
    <w:abstractNumId w:val="17"/>
  </w:num>
  <w:num w:numId="21" w16cid:durableId="15371629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LIwtTAwNTAwMDFW0lEKTi0uzszPAykwrwUAl7FpfSwAAAA="/>
  </w:docVars>
  <w:rsids>
    <w:rsidRoot w:val="00BD530D"/>
    <w:rsid w:val="00001B49"/>
    <w:rsid w:val="00001BA0"/>
    <w:rsid w:val="00007A97"/>
    <w:rsid w:val="000201A0"/>
    <w:rsid w:val="0002233B"/>
    <w:rsid w:val="00046EA2"/>
    <w:rsid w:val="0005594C"/>
    <w:rsid w:val="000565C0"/>
    <w:rsid w:val="000616FB"/>
    <w:rsid w:val="00062C3B"/>
    <w:rsid w:val="00064958"/>
    <w:rsid w:val="00067295"/>
    <w:rsid w:val="00070A50"/>
    <w:rsid w:val="00071E35"/>
    <w:rsid w:val="00072313"/>
    <w:rsid w:val="00083F92"/>
    <w:rsid w:val="000929CB"/>
    <w:rsid w:val="0009560F"/>
    <w:rsid w:val="0009775E"/>
    <w:rsid w:val="000A38C3"/>
    <w:rsid w:val="000A4AAA"/>
    <w:rsid w:val="000C2461"/>
    <w:rsid w:val="000C27A3"/>
    <w:rsid w:val="000C3ED1"/>
    <w:rsid w:val="000D23D1"/>
    <w:rsid w:val="000E6F1C"/>
    <w:rsid w:val="000F175C"/>
    <w:rsid w:val="000F3B91"/>
    <w:rsid w:val="000F7857"/>
    <w:rsid w:val="000F7FB5"/>
    <w:rsid w:val="00103B37"/>
    <w:rsid w:val="001219C1"/>
    <w:rsid w:val="0013303A"/>
    <w:rsid w:val="00134826"/>
    <w:rsid w:val="001451B8"/>
    <w:rsid w:val="00154F92"/>
    <w:rsid w:val="00155C5F"/>
    <w:rsid w:val="001844F7"/>
    <w:rsid w:val="00190B88"/>
    <w:rsid w:val="001960F5"/>
    <w:rsid w:val="00196D0D"/>
    <w:rsid w:val="001A1D11"/>
    <w:rsid w:val="001B4170"/>
    <w:rsid w:val="001C2BEE"/>
    <w:rsid w:val="001C38DE"/>
    <w:rsid w:val="001D0942"/>
    <w:rsid w:val="001D35BB"/>
    <w:rsid w:val="001D4266"/>
    <w:rsid w:val="001E185E"/>
    <w:rsid w:val="001E51A9"/>
    <w:rsid w:val="001E6292"/>
    <w:rsid w:val="001F173A"/>
    <w:rsid w:val="001F3BF4"/>
    <w:rsid w:val="002120FB"/>
    <w:rsid w:val="0021599B"/>
    <w:rsid w:val="002200BD"/>
    <w:rsid w:val="0022550B"/>
    <w:rsid w:val="002302C2"/>
    <w:rsid w:val="00240E49"/>
    <w:rsid w:val="00245622"/>
    <w:rsid w:val="00245888"/>
    <w:rsid w:val="00257429"/>
    <w:rsid w:val="00266976"/>
    <w:rsid w:val="002736F6"/>
    <w:rsid w:val="002750BB"/>
    <w:rsid w:val="00277ECA"/>
    <w:rsid w:val="002916F3"/>
    <w:rsid w:val="002944A3"/>
    <w:rsid w:val="002957F4"/>
    <w:rsid w:val="002B2859"/>
    <w:rsid w:val="002C04E1"/>
    <w:rsid w:val="002C19DD"/>
    <w:rsid w:val="002C645C"/>
    <w:rsid w:val="002D4BDE"/>
    <w:rsid w:val="002E2223"/>
    <w:rsid w:val="002E5DB0"/>
    <w:rsid w:val="002F1D5E"/>
    <w:rsid w:val="00307015"/>
    <w:rsid w:val="0032432A"/>
    <w:rsid w:val="00330946"/>
    <w:rsid w:val="003344B4"/>
    <w:rsid w:val="003626F5"/>
    <w:rsid w:val="00366E8C"/>
    <w:rsid w:val="0037340F"/>
    <w:rsid w:val="003752F5"/>
    <w:rsid w:val="00390DD0"/>
    <w:rsid w:val="00392311"/>
    <w:rsid w:val="003A3177"/>
    <w:rsid w:val="003A31B7"/>
    <w:rsid w:val="003A7647"/>
    <w:rsid w:val="003B2D16"/>
    <w:rsid w:val="003C4926"/>
    <w:rsid w:val="003D0CCC"/>
    <w:rsid w:val="003D6B60"/>
    <w:rsid w:val="003F14E9"/>
    <w:rsid w:val="0041172D"/>
    <w:rsid w:val="004129CE"/>
    <w:rsid w:val="004130A8"/>
    <w:rsid w:val="0042756B"/>
    <w:rsid w:val="00431C6A"/>
    <w:rsid w:val="004330D8"/>
    <w:rsid w:val="004358C7"/>
    <w:rsid w:val="004479DB"/>
    <w:rsid w:val="00461F9B"/>
    <w:rsid w:val="00471401"/>
    <w:rsid w:val="00485912"/>
    <w:rsid w:val="00490CB6"/>
    <w:rsid w:val="00492DBF"/>
    <w:rsid w:val="0049732A"/>
    <w:rsid w:val="004A30B4"/>
    <w:rsid w:val="004A3804"/>
    <w:rsid w:val="004A386E"/>
    <w:rsid w:val="004A50ED"/>
    <w:rsid w:val="004A530C"/>
    <w:rsid w:val="004B0300"/>
    <w:rsid w:val="004B4A8D"/>
    <w:rsid w:val="004C1272"/>
    <w:rsid w:val="004E72E4"/>
    <w:rsid w:val="004F199F"/>
    <w:rsid w:val="004F4534"/>
    <w:rsid w:val="00501DF1"/>
    <w:rsid w:val="005035F9"/>
    <w:rsid w:val="00525690"/>
    <w:rsid w:val="00526951"/>
    <w:rsid w:val="00530290"/>
    <w:rsid w:val="0053523E"/>
    <w:rsid w:val="0054117E"/>
    <w:rsid w:val="005451B7"/>
    <w:rsid w:val="0055000B"/>
    <w:rsid w:val="005526E2"/>
    <w:rsid w:val="005614F4"/>
    <w:rsid w:val="00567F6B"/>
    <w:rsid w:val="00576C10"/>
    <w:rsid w:val="0059128A"/>
    <w:rsid w:val="00592B23"/>
    <w:rsid w:val="005A1F52"/>
    <w:rsid w:val="005D1512"/>
    <w:rsid w:val="005D638F"/>
    <w:rsid w:val="005D691D"/>
    <w:rsid w:val="005E1372"/>
    <w:rsid w:val="00606B09"/>
    <w:rsid w:val="00613432"/>
    <w:rsid w:val="00616867"/>
    <w:rsid w:val="006332D8"/>
    <w:rsid w:val="00634D1E"/>
    <w:rsid w:val="006571CE"/>
    <w:rsid w:val="00664A38"/>
    <w:rsid w:val="00683585"/>
    <w:rsid w:val="00683F47"/>
    <w:rsid w:val="00690C02"/>
    <w:rsid w:val="006A3B2D"/>
    <w:rsid w:val="006A4BCB"/>
    <w:rsid w:val="006D167C"/>
    <w:rsid w:val="006D267C"/>
    <w:rsid w:val="006D5997"/>
    <w:rsid w:val="006D5F73"/>
    <w:rsid w:val="006F7743"/>
    <w:rsid w:val="00702970"/>
    <w:rsid w:val="00703B7F"/>
    <w:rsid w:val="00706104"/>
    <w:rsid w:val="00707398"/>
    <w:rsid w:val="00707F5B"/>
    <w:rsid w:val="007108C3"/>
    <w:rsid w:val="00723FE7"/>
    <w:rsid w:val="0072613B"/>
    <w:rsid w:val="007277CF"/>
    <w:rsid w:val="00736285"/>
    <w:rsid w:val="007416EE"/>
    <w:rsid w:val="00744EF5"/>
    <w:rsid w:val="007515A8"/>
    <w:rsid w:val="00751B64"/>
    <w:rsid w:val="0075327A"/>
    <w:rsid w:val="007554E4"/>
    <w:rsid w:val="007615AC"/>
    <w:rsid w:val="00761A41"/>
    <w:rsid w:val="00761F65"/>
    <w:rsid w:val="00763A7F"/>
    <w:rsid w:val="00770808"/>
    <w:rsid w:val="007713B0"/>
    <w:rsid w:val="00783E8F"/>
    <w:rsid w:val="00786309"/>
    <w:rsid w:val="00791CFF"/>
    <w:rsid w:val="007B28E8"/>
    <w:rsid w:val="007C4F22"/>
    <w:rsid w:val="007C6C9C"/>
    <w:rsid w:val="007D0061"/>
    <w:rsid w:val="007D10C7"/>
    <w:rsid w:val="007D1D7A"/>
    <w:rsid w:val="007F3F72"/>
    <w:rsid w:val="00800557"/>
    <w:rsid w:val="008151FF"/>
    <w:rsid w:val="00834C2E"/>
    <w:rsid w:val="008748CF"/>
    <w:rsid w:val="00882B89"/>
    <w:rsid w:val="008928F8"/>
    <w:rsid w:val="008A4494"/>
    <w:rsid w:val="008B75CE"/>
    <w:rsid w:val="008B7B7F"/>
    <w:rsid w:val="008C2D3D"/>
    <w:rsid w:val="008D617D"/>
    <w:rsid w:val="008D7D9E"/>
    <w:rsid w:val="008F4328"/>
    <w:rsid w:val="009005A5"/>
    <w:rsid w:val="00905582"/>
    <w:rsid w:val="0091106B"/>
    <w:rsid w:val="00916389"/>
    <w:rsid w:val="00916E2B"/>
    <w:rsid w:val="00922139"/>
    <w:rsid w:val="00930ABD"/>
    <w:rsid w:val="00942801"/>
    <w:rsid w:val="00954A55"/>
    <w:rsid w:val="00960B2B"/>
    <w:rsid w:val="00960D6A"/>
    <w:rsid w:val="009766AD"/>
    <w:rsid w:val="00985D99"/>
    <w:rsid w:val="009863D2"/>
    <w:rsid w:val="00987850"/>
    <w:rsid w:val="00993349"/>
    <w:rsid w:val="009B7540"/>
    <w:rsid w:val="009C303F"/>
    <w:rsid w:val="009C3A0A"/>
    <w:rsid w:val="009D34C5"/>
    <w:rsid w:val="009D451C"/>
    <w:rsid w:val="009E68F2"/>
    <w:rsid w:val="009F023A"/>
    <w:rsid w:val="009F3861"/>
    <w:rsid w:val="009F3BEC"/>
    <w:rsid w:val="009F6765"/>
    <w:rsid w:val="00A058BA"/>
    <w:rsid w:val="00A06F92"/>
    <w:rsid w:val="00A1519D"/>
    <w:rsid w:val="00A23091"/>
    <w:rsid w:val="00A36049"/>
    <w:rsid w:val="00A37853"/>
    <w:rsid w:val="00A4234F"/>
    <w:rsid w:val="00A4574E"/>
    <w:rsid w:val="00A513A5"/>
    <w:rsid w:val="00A60E7A"/>
    <w:rsid w:val="00A7071A"/>
    <w:rsid w:val="00A80F4B"/>
    <w:rsid w:val="00A8125A"/>
    <w:rsid w:val="00A87281"/>
    <w:rsid w:val="00A918CA"/>
    <w:rsid w:val="00A93E40"/>
    <w:rsid w:val="00A964F6"/>
    <w:rsid w:val="00AA6159"/>
    <w:rsid w:val="00AB3BEE"/>
    <w:rsid w:val="00AC338C"/>
    <w:rsid w:val="00AC53EB"/>
    <w:rsid w:val="00AD260A"/>
    <w:rsid w:val="00AF5448"/>
    <w:rsid w:val="00B2473D"/>
    <w:rsid w:val="00B42187"/>
    <w:rsid w:val="00B42F69"/>
    <w:rsid w:val="00B43BC8"/>
    <w:rsid w:val="00B46BDE"/>
    <w:rsid w:val="00B46FAA"/>
    <w:rsid w:val="00B50AFC"/>
    <w:rsid w:val="00B55FD1"/>
    <w:rsid w:val="00B61BEA"/>
    <w:rsid w:val="00B84B20"/>
    <w:rsid w:val="00B919DE"/>
    <w:rsid w:val="00B92596"/>
    <w:rsid w:val="00BA0351"/>
    <w:rsid w:val="00BA2767"/>
    <w:rsid w:val="00BA2F68"/>
    <w:rsid w:val="00BA5C29"/>
    <w:rsid w:val="00BC5C65"/>
    <w:rsid w:val="00BD530D"/>
    <w:rsid w:val="00BE2882"/>
    <w:rsid w:val="00C009E5"/>
    <w:rsid w:val="00C00CD9"/>
    <w:rsid w:val="00C02C55"/>
    <w:rsid w:val="00C12C73"/>
    <w:rsid w:val="00C141F8"/>
    <w:rsid w:val="00C309A8"/>
    <w:rsid w:val="00C3557A"/>
    <w:rsid w:val="00C35849"/>
    <w:rsid w:val="00C50480"/>
    <w:rsid w:val="00C84865"/>
    <w:rsid w:val="00C972F9"/>
    <w:rsid w:val="00CB1F73"/>
    <w:rsid w:val="00CB41B1"/>
    <w:rsid w:val="00CB4763"/>
    <w:rsid w:val="00CC3CD2"/>
    <w:rsid w:val="00CC45F0"/>
    <w:rsid w:val="00CE6545"/>
    <w:rsid w:val="00CE78B2"/>
    <w:rsid w:val="00CE7F94"/>
    <w:rsid w:val="00D05007"/>
    <w:rsid w:val="00D055E4"/>
    <w:rsid w:val="00D21C9D"/>
    <w:rsid w:val="00D25CC1"/>
    <w:rsid w:val="00D356BC"/>
    <w:rsid w:val="00D45D75"/>
    <w:rsid w:val="00D705DF"/>
    <w:rsid w:val="00D70C71"/>
    <w:rsid w:val="00D770BC"/>
    <w:rsid w:val="00D800C1"/>
    <w:rsid w:val="00DA0299"/>
    <w:rsid w:val="00DC2BB3"/>
    <w:rsid w:val="00DD222D"/>
    <w:rsid w:val="00DE0745"/>
    <w:rsid w:val="00DF0975"/>
    <w:rsid w:val="00DF650E"/>
    <w:rsid w:val="00E0711A"/>
    <w:rsid w:val="00E10E2A"/>
    <w:rsid w:val="00E12163"/>
    <w:rsid w:val="00E12F3A"/>
    <w:rsid w:val="00E13F88"/>
    <w:rsid w:val="00E14A88"/>
    <w:rsid w:val="00E15F05"/>
    <w:rsid w:val="00E17829"/>
    <w:rsid w:val="00E245A3"/>
    <w:rsid w:val="00E36CDB"/>
    <w:rsid w:val="00E553D3"/>
    <w:rsid w:val="00E617A4"/>
    <w:rsid w:val="00E63EB6"/>
    <w:rsid w:val="00E64020"/>
    <w:rsid w:val="00E67011"/>
    <w:rsid w:val="00E75BBE"/>
    <w:rsid w:val="00E75C88"/>
    <w:rsid w:val="00E761DD"/>
    <w:rsid w:val="00E945BE"/>
    <w:rsid w:val="00EB2BEF"/>
    <w:rsid w:val="00EB3722"/>
    <w:rsid w:val="00EB7F70"/>
    <w:rsid w:val="00ED3904"/>
    <w:rsid w:val="00ED3DC9"/>
    <w:rsid w:val="00EE24D0"/>
    <w:rsid w:val="00EE3D06"/>
    <w:rsid w:val="00EE43D3"/>
    <w:rsid w:val="00F1079D"/>
    <w:rsid w:val="00F14CBD"/>
    <w:rsid w:val="00F223A2"/>
    <w:rsid w:val="00F3303E"/>
    <w:rsid w:val="00F37F21"/>
    <w:rsid w:val="00F441A0"/>
    <w:rsid w:val="00F45EAA"/>
    <w:rsid w:val="00F50143"/>
    <w:rsid w:val="00F53419"/>
    <w:rsid w:val="00F63F98"/>
    <w:rsid w:val="00F67C20"/>
    <w:rsid w:val="00F776EB"/>
    <w:rsid w:val="00F95959"/>
    <w:rsid w:val="00F96B83"/>
    <w:rsid w:val="00FD4A0D"/>
    <w:rsid w:val="00FD66A9"/>
    <w:rsid w:val="00FD6D80"/>
    <w:rsid w:val="00FE7157"/>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5B712B8"/>
  <w15:chartTrackingRefBased/>
  <w15:docId w15:val="{D8F02030-E362-46AC-992C-904C56D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A9"/>
    <w:rPr>
      <w:sz w:val="24"/>
    </w:rPr>
  </w:style>
  <w:style w:type="paragraph" w:styleId="Heading1">
    <w:name w:val="heading 1"/>
    <w:basedOn w:val="Normal"/>
    <w:next w:val="Normal"/>
    <w:link w:val="Heading1Char"/>
    <w:uiPriority w:val="9"/>
    <w:qFormat/>
    <w:rsid w:val="00196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259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ocus H1"/>
    <w:basedOn w:val="Normal"/>
    <w:next w:val="FocusbodyText"/>
    <w:link w:val="TitleChar"/>
    <w:autoRedefine/>
    <w:uiPriority w:val="10"/>
    <w:qFormat/>
    <w:rsid w:val="00916E2B"/>
    <w:pPr>
      <w:shd w:val="clear" w:color="auto" w:fill="FFFFFF" w:themeFill="background1"/>
      <w:tabs>
        <w:tab w:val="center" w:pos="5400"/>
      </w:tabs>
      <w:spacing w:after="0" w:line="240" w:lineRule="auto"/>
      <w:contextualSpacing/>
      <w:outlineLvl w:val="0"/>
    </w:pPr>
    <w:rPr>
      <w:rFonts w:ascii="Franklin Gothic Medium" w:eastAsiaTheme="majorEastAsia" w:hAnsi="Franklin Gothic Medium" w:cstheme="majorBidi"/>
      <w:w w:val="90"/>
      <w:kern w:val="28"/>
      <w:sz w:val="48"/>
      <w:szCs w:val="56"/>
    </w:rPr>
  </w:style>
  <w:style w:type="character" w:customStyle="1" w:styleId="TitleChar">
    <w:name w:val="Title Char"/>
    <w:aliases w:val="Focus H1 Char"/>
    <w:basedOn w:val="DefaultParagraphFont"/>
    <w:link w:val="Title"/>
    <w:uiPriority w:val="10"/>
    <w:rsid w:val="00916E2B"/>
    <w:rPr>
      <w:rFonts w:ascii="Franklin Gothic Medium" w:eastAsiaTheme="majorEastAsia" w:hAnsi="Franklin Gothic Medium" w:cstheme="majorBidi"/>
      <w:w w:val="90"/>
      <w:kern w:val="28"/>
      <w:sz w:val="48"/>
      <w:szCs w:val="56"/>
      <w:shd w:val="clear" w:color="auto" w:fill="FFFFFF" w:themeFill="background1"/>
    </w:rPr>
  </w:style>
  <w:style w:type="character" w:customStyle="1" w:styleId="Heading3Char">
    <w:name w:val="Heading 3 Char"/>
    <w:basedOn w:val="DefaultParagraphFont"/>
    <w:link w:val="Heading3"/>
    <w:uiPriority w:val="9"/>
    <w:rsid w:val="00B9259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92596"/>
    <w:rPr>
      <w:b/>
      <w:bCs/>
    </w:rPr>
  </w:style>
  <w:style w:type="character" w:customStyle="1" w:styleId="Heading1Char">
    <w:name w:val="Heading 1 Char"/>
    <w:basedOn w:val="DefaultParagraphFont"/>
    <w:link w:val="Heading1"/>
    <w:uiPriority w:val="9"/>
    <w:rsid w:val="00196D0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9"/>
  </w:style>
  <w:style w:type="paragraph" w:styleId="Footer">
    <w:name w:val="footer"/>
    <w:basedOn w:val="Normal"/>
    <w:link w:val="FooterChar"/>
    <w:uiPriority w:val="99"/>
    <w:unhideWhenUsed/>
    <w:rsid w:val="0091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89"/>
  </w:style>
  <w:style w:type="paragraph" w:customStyle="1" w:styleId="Titleofpublication">
    <w:name w:val="Title of publication"/>
    <w:basedOn w:val="Normal"/>
    <w:rsid w:val="000201A0"/>
    <w:pPr>
      <w:spacing w:after="0" w:line="288" w:lineRule="auto"/>
      <w:jc w:val="center"/>
      <w:outlineLvl w:val="0"/>
    </w:pPr>
    <w:rPr>
      <w:rFonts w:ascii="Century Gothic" w:eastAsia="Times New Roman" w:hAnsi="Century Gothic" w:cs="Times New Roman"/>
      <w:color w:val="000000"/>
      <w:kern w:val="28"/>
      <w:sz w:val="52"/>
      <w:szCs w:val="52"/>
      <w14:ligatures w14:val="standard"/>
      <w14:cntxtAlts/>
    </w:rPr>
  </w:style>
  <w:style w:type="paragraph" w:customStyle="1" w:styleId="BasicParagraph">
    <w:name w:val="[Basic Paragraph]"/>
    <w:basedOn w:val="Normal"/>
    <w:rsid w:val="00F776EB"/>
    <w:pPr>
      <w:spacing w:after="0" w:line="288" w:lineRule="auto"/>
      <w:outlineLvl w:val="3"/>
    </w:pPr>
    <w:rPr>
      <w:rFonts w:ascii="Calibri" w:eastAsia="Times New Roman" w:hAnsi="Calibri" w:cs="Times New Roman"/>
      <w:color w:val="000000"/>
      <w:kern w:val="28"/>
      <w:szCs w:val="24"/>
      <w14:ligatures w14:val="standard"/>
      <w14:cntxtAlts/>
    </w:rPr>
  </w:style>
  <w:style w:type="character" w:styleId="PlaceholderText">
    <w:name w:val="Placeholder Text"/>
    <w:basedOn w:val="DefaultParagraphFont"/>
    <w:uiPriority w:val="99"/>
    <w:semiHidden/>
    <w:rsid w:val="007416EE"/>
    <w:rPr>
      <w:color w:val="808080"/>
    </w:rPr>
  </w:style>
  <w:style w:type="paragraph" w:customStyle="1" w:styleId="Bodytitle">
    <w:name w:val="Body title"/>
    <w:basedOn w:val="Normal"/>
    <w:rsid w:val="002120FB"/>
    <w:pPr>
      <w:spacing w:after="0" w:line="288" w:lineRule="auto"/>
      <w:outlineLvl w:val="4"/>
    </w:pPr>
    <w:rPr>
      <w:rFonts w:ascii="Century Gothic" w:eastAsia="Times New Roman" w:hAnsi="Century Gothic" w:cs="Times New Roman"/>
      <w:b/>
      <w:bCs/>
      <w:color w:val="000000"/>
      <w:kern w:val="28"/>
      <w:sz w:val="26"/>
      <w:szCs w:val="26"/>
      <w14:ligatures w14:val="standard"/>
      <w14:cntxtAlts/>
    </w:rPr>
  </w:style>
  <w:style w:type="character" w:customStyle="1" w:styleId="Heading2Char">
    <w:name w:val="Heading 2 Char"/>
    <w:basedOn w:val="DefaultParagraphFont"/>
    <w:link w:val="Heading2"/>
    <w:uiPriority w:val="9"/>
    <w:rsid w:val="00BD53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36F6"/>
    <w:pPr>
      <w:ind w:left="720"/>
      <w:contextualSpacing/>
    </w:pPr>
  </w:style>
  <w:style w:type="paragraph" w:customStyle="1" w:styleId="FocusH2">
    <w:name w:val="Focus H2"/>
    <w:basedOn w:val="Normal"/>
    <w:next w:val="FocusbodyText"/>
    <w:link w:val="FocusH2Char"/>
    <w:qFormat/>
    <w:rsid w:val="00431C6A"/>
    <w:pPr>
      <w:keepNext/>
      <w:keepLines/>
      <w:spacing w:before="160" w:after="120" w:line="240" w:lineRule="auto"/>
      <w:outlineLvl w:val="1"/>
    </w:pPr>
    <w:rPr>
      <w:rFonts w:ascii="Franklin Gothic Medium" w:hAnsi="Franklin Gothic Medium"/>
      <w:color w:val="1F497D"/>
      <w:sz w:val="32"/>
      <w:szCs w:val="28"/>
    </w:rPr>
  </w:style>
  <w:style w:type="paragraph" w:customStyle="1" w:styleId="FocusbodyText">
    <w:name w:val="Focus body Text"/>
    <w:basedOn w:val="Normal"/>
    <w:link w:val="FocusbodyTextChar"/>
    <w:qFormat/>
    <w:rsid w:val="00A964F6"/>
    <w:pPr>
      <w:spacing w:after="120" w:line="240" w:lineRule="auto"/>
    </w:pPr>
  </w:style>
  <w:style w:type="character" w:customStyle="1" w:styleId="FocusH2Char">
    <w:name w:val="Focus H2 Char"/>
    <w:basedOn w:val="DefaultParagraphFont"/>
    <w:link w:val="FocusH2"/>
    <w:rsid w:val="00431C6A"/>
    <w:rPr>
      <w:rFonts w:ascii="Franklin Gothic Medium" w:hAnsi="Franklin Gothic Medium"/>
      <w:color w:val="1F497D"/>
      <w:sz w:val="32"/>
      <w:szCs w:val="28"/>
    </w:rPr>
  </w:style>
  <w:style w:type="paragraph" w:customStyle="1" w:styleId="FocusH3">
    <w:name w:val="Focus H3"/>
    <w:basedOn w:val="Normal"/>
    <w:next w:val="FocusbodyText"/>
    <w:link w:val="FocusH3Char"/>
    <w:qFormat/>
    <w:rsid w:val="00083F92"/>
    <w:pPr>
      <w:spacing w:before="120" w:after="120" w:line="240" w:lineRule="auto"/>
      <w:outlineLvl w:val="2"/>
    </w:pPr>
    <w:rPr>
      <w:rFonts w:ascii="Franklin Gothic Medium" w:hAnsi="Franklin Gothic Medium"/>
      <w:color w:val="1F497D"/>
    </w:rPr>
  </w:style>
  <w:style w:type="character" w:customStyle="1" w:styleId="FocusbodyTextChar">
    <w:name w:val="Focus body Text Char"/>
    <w:basedOn w:val="DefaultParagraphFont"/>
    <w:link w:val="FocusbodyText"/>
    <w:rsid w:val="00A964F6"/>
    <w:rPr>
      <w:sz w:val="24"/>
    </w:rPr>
  </w:style>
  <w:style w:type="character" w:customStyle="1" w:styleId="FocusH3Char">
    <w:name w:val="Focus H3 Char"/>
    <w:basedOn w:val="DefaultParagraphFont"/>
    <w:link w:val="FocusH3"/>
    <w:rsid w:val="00083F92"/>
    <w:rPr>
      <w:rFonts w:ascii="Franklin Gothic Medium" w:hAnsi="Franklin Gothic Medium"/>
      <w:color w:val="1F497D"/>
      <w:sz w:val="24"/>
    </w:rPr>
  </w:style>
  <w:style w:type="paragraph" w:customStyle="1" w:styleId="FocusSidebar">
    <w:name w:val="FocusSidebar"/>
    <w:link w:val="FocusSidebarChar"/>
    <w:qFormat/>
    <w:rsid w:val="00431C6A"/>
    <w:pPr>
      <w:keepNext/>
      <w:keepLines/>
      <w:spacing w:before="160" w:after="120" w:line="240" w:lineRule="auto"/>
      <w:outlineLvl w:val="1"/>
    </w:pPr>
    <w:rPr>
      <w:rFonts w:ascii="Franklin Gothic Medium" w:eastAsiaTheme="majorEastAsia" w:hAnsi="Franklin Gothic Medium" w:cstheme="majorBidi"/>
      <w:color w:val="000000" w:themeColor="text1"/>
      <w:sz w:val="26"/>
      <w:szCs w:val="26"/>
    </w:rPr>
  </w:style>
  <w:style w:type="character" w:customStyle="1" w:styleId="FocusSidebarChar">
    <w:name w:val="FocusSidebar Char"/>
    <w:basedOn w:val="Heading2Char"/>
    <w:link w:val="FocusSidebar"/>
    <w:rsid w:val="00431C6A"/>
    <w:rPr>
      <w:rFonts w:ascii="Franklin Gothic Medium" w:eastAsiaTheme="majorEastAsia" w:hAnsi="Franklin Gothic Medium" w:cstheme="majorBidi"/>
      <w:color w:val="000000" w:themeColor="text1"/>
      <w:sz w:val="26"/>
      <w:szCs w:val="26"/>
    </w:rPr>
  </w:style>
  <w:style w:type="paragraph" w:styleId="Caption">
    <w:name w:val="caption"/>
    <w:basedOn w:val="Normal"/>
    <w:next w:val="Normal"/>
    <w:link w:val="CaptionChar"/>
    <w:uiPriority w:val="35"/>
    <w:unhideWhenUsed/>
    <w:qFormat/>
    <w:rsid w:val="0002233B"/>
    <w:pPr>
      <w:spacing w:after="200" w:line="240" w:lineRule="auto"/>
    </w:pPr>
    <w:rPr>
      <w:i/>
      <w:iCs/>
      <w:color w:val="44546A" w:themeColor="text2"/>
      <w:sz w:val="18"/>
      <w:szCs w:val="18"/>
    </w:rPr>
  </w:style>
  <w:style w:type="character" w:styleId="Hyperlink">
    <w:name w:val="Hyperlink"/>
    <w:basedOn w:val="DefaultParagraphFont"/>
    <w:uiPriority w:val="99"/>
    <w:unhideWhenUsed/>
    <w:rsid w:val="00751B64"/>
    <w:rPr>
      <w:color w:val="44688F"/>
      <w:u w:val="single"/>
    </w:rPr>
  </w:style>
  <w:style w:type="paragraph" w:customStyle="1" w:styleId="FocusSideBody">
    <w:name w:val="Focus Side Body"/>
    <w:link w:val="FocusSideBodyChar"/>
    <w:qFormat/>
    <w:rsid w:val="00083F92"/>
    <w:pPr>
      <w:spacing w:after="0"/>
      <w:ind w:left="274"/>
    </w:pPr>
    <w:rPr>
      <w:rFonts w:ascii="Cambria" w:hAnsi="Cambria"/>
      <w:iCs/>
      <w:color w:val="000000" w:themeColor="text1"/>
    </w:rPr>
  </w:style>
  <w:style w:type="character" w:styleId="CommentReference">
    <w:name w:val="annotation reference"/>
    <w:basedOn w:val="DefaultParagraphFont"/>
    <w:uiPriority w:val="99"/>
    <w:semiHidden/>
    <w:unhideWhenUsed/>
    <w:rsid w:val="00461F9B"/>
    <w:rPr>
      <w:sz w:val="16"/>
      <w:szCs w:val="16"/>
    </w:rPr>
  </w:style>
  <w:style w:type="character" w:customStyle="1" w:styleId="FocusSideBodyChar">
    <w:name w:val="Focus Side Body Char"/>
    <w:basedOn w:val="DefaultParagraphFont"/>
    <w:link w:val="FocusSideBody"/>
    <w:rsid w:val="00083F92"/>
    <w:rPr>
      <w:rFonts w:ascii="Cambria" w:hAnsi="Cambria"/>
      <w:iCs/>
      <w:color w:val="000000" w:themeColor="text1"/>
    </w:rPr>
  </w:style>
  <w:style w:type="paragraph" w:styleId="CommentText">
    <w:name w:val="annotation text"/>
    <w:basedOn w:val="Normal"/>
    <w:link w:val="CommentTextChar"/>
    <w:uiPriority w:val="99"/>
    <w:unhideWhenUsed/>
    <w:rsid w:val="00461F9B"/>
    <w:pPr>
      <w:spacing w:line="240" w:lineRule="auto"/>
    </w:pPr>
    <w:rPr>
      <w:sz w:val="20"/>
      <w:szCs w:val="20"/>
    </w:rPr>
  </w:style>
  <w:style w:type="character" w:customStyle="1" w:styleId="CommentTextChar">
    <w:name w:val="Comment Text Char"/>
    <w:basedOn w:val="DefaultParagraphFont"/>
    <w:link w:val="CommentText"/>
    <w:uiPriority w:val="99"/>
    <w:rsid w:val="00461F9B"/>
    <w:rPr>
      <w:sz w:val="20"/>
      <w:szCs w:val="20"/>
    </w:rPr>
  </w:style>
  <w:style w:type="paragraph" w:styleId="CommentSubject">
    <w:name w:val="annotation subject"/>
    <w:basedOn w:val="CommentText"/>
    <w:next w:val="CommentText"/>
    <w:link w:val="CommentSubjectChar"/>
    <w:uiPriority w:val="99"/>
    <w:semiHidden/>
    <w:unhideWhenUsed/>
    <w:rsid w:val="00461F9B"/>
    <w:rPr>
      <w:b/>
      <w:bCs/>
    </w:rPr>
  </w:style>
  <w:style w:type="character" w:customStyle="1" w:styleId="CommentSubjectChar">
    <w:name w:val="Comment Subject Char"/>
    <w:basedOn w:val="CommentTextChar"/>
    <w:link w:val="CommentSubject"/>
    <w:uiPriority w:val="99"/>
    <w:semiHidden/>
    <w:rsid w:val="00461F9B"/>
    <w:rPr>
      <w:b/>
      <w:bCs/>
      <w:sz w:val="20"/>
      <w:szCs w:val="20"/>
    </w:rPr>
  </w:style>
  <w:style w:type="paragraph" w:styleId="BalloonText">
    <w:name w:val="Balloon Text"/>
    <w:basedOn w:val="Normal"/>
    <w:link w:val="BalloonTextChar"/>
    <w:uiPriority w:val="99"/>
    <w:semiHidden/>
    <w:unhideWhenUsed/>
    <w:rsid w:val="0046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B"/>
    <w:rPr>
      <w:rFonts w:ascii="Segoe UI" w:hAnsi="Segoe UI" w:cs="Segoe UI"/>
      <w:sz w:val="18"/>
      <w:szCs w:val="18"/>
    </w:rPr>
  </w:style>
  <w:style w:type="character" w:customStyle="1" w:styleId="CaptionChar">
    <w:name w:val="Caption Char"/>
    <w:basedOn w:val="DefaultParagraphFont"/>
    <w:link w:val="Caption"/>
    <w:uiPriority w:val="35"/>
    <w:rsid w:val="00083F92"/>
    <w:rPr>
      <w:i/>
      <w:iCs/>
      <w:color w:val="44546A" w:themeColor="text2"/>
      <w:sz w:val="18"/>
      <w:szCs w:val="18"/>
    </w:rPr>
  </w:style>
  <w:style w:type="paragraph" w:styleId="Subtitle">
    <w:name w:val="Subtitle"/>
    <w:basedOn w:val="Normal"/>
    <w:next w:val="Normal"/>
    <w:link w:val="SubtitleChar"/>
    <w:uiPriority w:val="11"/>
    <w:qFormat/>
    <w:rsid w:val="00431C6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31C6A"/>
    <w:rPr>
      <w:rFonts w:eastAsiaTheme="minorEastAsia"/>
      <w:color w:val="5A5A5A" w:themeColor="text1" w:themeTint="A5"/>
      <w:spacing w:val="15"/>
    </w:rPr>
  </w:style>
  <w:style w:type="table" w:styleId="TableGrid">
    <w:name w:val="Table Grid"/>
    <w:basedOn w:val="TableNormal"/>
    <w:uiPriority w:val="39"/>
    <w:rsid w:val="00F4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4534"/>
    <w:pPr>
      <w:spacing w:after="0" w:line="240" w:lineRule="auto"/>
    </w:pPr>
    <w:rPr>
      <w:sz w:val="24"/>
    </w:rPr>
  </w:style>
  <w:style w:type="character" w:styleId="UnresolvedMention">
    <w:name w:val="Unresolved Mention"/>
    <w:basedOn w:val="DefaultParagraphFont"/>
    <w:uiPriority w:val="99"/>
    <w:semiHidden/>
    <w:unhideWhenUsed/>
    <w:rsid w:val="00C309A8"/>
    <w:rPr>
      <w:color w:val="605E5C"/>
      <w:shd w:val="clear" w:color="auto" w:fill="E1DFDD"/>
    </w:rPr>
  </w:style>
  <w:style w:type="character" w:styleId="FollowedHyperlink">
    <w:name w:val="FollowedHyperlink"/>
    <w:basedOn w:val="DefaultParagraphFont"/>
    <w:uiPriority w:val="99"/>
    <w:semiHidden/>
    <w:unhideWhenUsed/>
    <w:rsid w:val="00266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666950">
      <w:bodyDiv w:val="1"/>
      <w:marLeft w:val="0"/>
      <w:marRight w:val="0"/>
      <w:marTop w:val="0"/>
      <w:marBottom w:val="0"/>
      <w:divBdr>
        <w:top w:val="none" w:sz="0" w:space="0" w:color="auto"/>
        <w:left w:val="none" w:sz="0" w:space="0" w:color="auto"/>
        <w:bottom w:val="none" w:sz="0" w:space="0" w:color="auto"/>
        <w:right w:val="none" w:sz="0" w:space="0" w:color="auto"/>
      </w:divBdr>
    </w:div>
    <w:div w:id="1067798772">
      <w:bodyDiv w:val="1"/>
      <w:marLeft w:val="0"/>
      <w:marRight w:val="0"/>
      <w:marTop w:val="0"/>
      <w:marBottom w:val="0"/>
      <w:divBdr>
        <w:top w:val="none" w:sz="0" w:space="0" w:color="auto"/>
        <w:left w:val="none" w:sz="0" w:space="0" w:color="auto"/>
        <w:bottom w:val="none" w:sz="0" w:space="0" w:color="auto"/>
        <w:right w:val="none" w:sz="0" w:space="0" w:color="auto"/>
      </w:divBdr>
    </w:div>
    <w:div w:id="1080641745">
      <w:bodyDiv w:val="1"/>
      <w:marLeft w:val="0"/>
      <w:marRight w:val="0"/>
      <w:marTop w:val="0"/>
      <w:marBottom w:val="0"/>
      <w:divBdr>
        <w:top w:val="none" w:sz="0" w:space="0" w:color="auto"/>
        <w:left w:val="none" w:sz="0" w:space="0" w:color="auto"/>
        <w:bottom w:val="none" w:sz="0" w:space="0" w:color="auto"/>
        <w:right w:val="none" w:sz="0" w:space="0" w:color="auto"/>
      </w:divBdr>
    </w:div>
    <w:div w:id="1345669375">
      <w:bodyDiv w:val="1"/>
      <w:marLeft w:val="0"/>
      <w:marRight w:val="0"/>
      <w:marTop w:val="0"/>
      <w:marBottom w:val="0"/>
      <w:divBdr>
        <w:top w:val="none" w:sz="0" w:space="0" w:color="auto"/>
        <w:left w:val="none" w:sz="0" w:space="0" w:color="auto"/>
        <w:bottom w:val="none" w:sz="0" w:space="0" w:color="auto"/>
        <w:right w:val="none" w:sz="0" w:space="0" w:color="auto"/>
      </w:divBdr>
    </w:div>
    <w:div w:id="1513643882">
      <w:bodyDiv w:val="1"/>
      <w:marLeft w:val="0"/>
      <w:marRight w:val="0"/>
      <w:marTop w:val="0"/>
      <w:marBottom w:val="0"/>
      <w:divBdr>
        <w:top w:val="none" w:sz="0" w:space="0" w:color="auto"/>
        <w:left w:val="none" w:sz="0" w:space="0" w:color="auto"/>
        <w:bottom w:val="none" w:sz="0" w:space="0" w:color="auto"/>
        <w:right w:val="none" w:sz="0" w:space="0" w:color="auto"/>
      </w:divBdr>
    </w:div>
    <w:div w:id="1539665161">
      <w:bodyDiv w:val="1"/>
      <w:marLeft w:val="0"/>
      <w:marRight w:val="0"/>
      <w:marTop w:val="0"/>
      <w:marBottom w:val="0"/>
      <w:divBdr>
        <w:top w:val="none" w:sz="0" w:space="0" w:color="auto"/>
        <w:left w:val="none" w:sz="0" w:space="0" w:color="auto"/>
        <w:bottom w:val="none" w:sz="0" w:space="0" w:color="auto"/>
        <w:right w:val="none" w:sz="0" w:space="0" w:color="auto"/>
      </w:divBdr>
    </w:div>
    <w:div w:id="1621720969">
      <w:bodyDiv w:val="1"/>
      <w:marLeft w:val="0"/>
      <w:marRight w:val="0"/>
      <w:marTop w:val="0"/>
      <w:marBottom w:val="0"/>
      <w:divBdr>
        <w:top w:val="none" w:sz="0" w:space="0" w:color="auto"/>
        <w:left w:val="none" w:sz="0" w:space="0" w:color="auto"/>
        <w:bottom w:val="none" w:sz="0" w:space="0" w:color="auto"/>
        <w:right w:val="none" w:sz="0" w:space="0" w:color="auto"/>
      </w:divBdr>
    </w:div>
    <w:div w:id="20190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m.ecology.commentinput.com/?id=MhUB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ology.wa.gov/Regulations-Permits/Laws-rules-rulemaking/Rulemaking/WAC-173-9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6CC72FAD5F5240A8165A9C97EED960" ma:contentTypeVersion="7" ma:contentTypeDescription="Create a new document." ma:contentTypeScope="" ma:versionID="b18a711b833d5a75bbbae4c4de284ec2">
  <xsd:schema xmlns:xsd="http://www.w3.org/2001/XMLSchema" xmlns:xs="http://www.w3.org/2001/XMLSchema" xmlns:p="http://schemas.microsoft.com/office/2006/metadata/properties" xmlns:ns1="http://schemas.microsoft.com/sharepoint/v3" xmlns:ns2="ef66c0c8-142b-4c59-93f2-831009d530b4" xmlns:ns3="12797694-e26e-470b-8396-0cc46eabb70c" targetNamespace="http://schemas.microsoft.com/office/2006/metadata/properties" ma:root="true" ma:fieldsID="749a770ac6f26651206b1e8462e70320" ns1:_="" ns2:_="" ns3:_="">
    <xsd:import namespace="http://schemas.microsoft.com/sharepoint/v3"/>
    <xsd:import namespace="ef66c0c8-142b-4c59-93f2-831009d530b4"/>
    <xsd:import namespace="12797694-e26e-470b-8396-0cc46eabb70c"/>
    <xsd:element name="properties">
      <xsd:complexType>
        <xsd:sequence>
          <xsd:element name="documentManagement">
            <xsd:complexType>
              <xsd:all>
                <xsd:element ref="ns2:SharedWithUsers" minOccurs="0"/>
                <xsd:element ref="ns3:Category"/>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97694-e26e-470b-8396-0cc46eabb70c" elementFormDefault="qualified">
    <xsd:import namespace="http://schemas.microsoft.com/office/2006/documentManagement/types"/>
    <xsd:import namespace="http://schemas.microsoft.com/office/infopath/2007/PartnerControls"/>
    <xsd:element name="Category" ma:index="9" ma:displayName="Category" ma:format="Dropdown" ma:internalName="Category">
      <xsd:simpleType>
        <xsd:union memberTypes="dms:Text">
          <xsd:simpleType>
            <xsd:restriction base="dms:Choice">
              <xsd:enumeration value="Templates"/>
              <xsd:enumeration value="Draft web content"/>
              <xsd:enumeration value="Collaborative Work Space"/>
              <xsd:enumeration value="Publications"/>
              <xsd:enumeration value="Data Visuals"/>
              <xsd:enumeration value="Data Sets"/>
              <xsd:enumeration value="Web strateg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f66c0c8-142b-4c59-93f2-831009d530b4">
      <UserInfo>
        <DisplayName>Mathieu, Callie (ECY)</DisplayName>
        <AccountId>525</AccountId>
        <AccountType/>
      </UserInfo>
    </SharedWithUsers>
    <_dlc_DocId xmlns="ef66c0c8-142b-4c59-93f2-831009d530b4">SH7A6FU2NYNQ-1441665593-120</_dlc_DocId>
    <_dlc_DocIdUrl xmlns="ef66c0c8-142b-4c59-93f2-831009d530b4">
      <Url>http://teams/sites/W2R/communicationspage/_layouts/15/DocIdRedir.aspx?ID=SH7A6FU2NYNQ-1441665593-120</Url>
      <Description>SH7A6FU2NYNQ-1441665593-120</Description>
    </_dlc_DocIdUrl>
    <Category xmlns="12797694-e26e-470b-8396-0cc46eabb70c">Publications</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83D29-E200-44A7-B0E8-0BC4F76B92A2}">
  <ds:schemaRefs>
    <ds:schemaRef ds:uri="http://schemas.microsoft.com/sharepoint/events"/>
  </ds:schemaRefs>
</ds:datastoreItem>
</file>

<file path=customXml/itemProps2.xml><?xml version="1.0" encoding="utf-8"?>
<ds:datastoreItem xmlns:ds="http://schemas.openxmlformats.org/officeDocument/2006/customXml" ds:itemID="{E17421B1-E348-46D1-B51C-F0C9191E7718}">
  <ds:schemaRefs>
    <ds:schemaRef ds:uri="http://schemas.openxmlformats.org/officeDocument/2006/bibliography"/>
  </ds:schemaRefs>
</ds:datastoreItem>
</file>

<file path=customXml/itemProps3.xml><?xml version="1.0" encoding="utf-8"?>
<ds:datastoreItem xmlns:ds="http://schemas.openxmlformats.org/officeDocument/2006/customXml" ds:itemID="{A40FDB2B-B2D0-4212-A5FC-7907DFBF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66c0c8-142b-4c59-93f2-831009d530b4"/>
    <ds:schemaRef ds:uri="12797694-e26e-470b-8396-0cc46eabb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53C61-0224-4473-AD82-E0EC2BDDB8E0}">
  <ds:schemaRefs>
    <ds:schemaRef ds:uri="http://schemas.microsoft.com/sharepoint/v3/contenttype/forms"/>
  </ds:schemaRefs>
</ds:datastoreItem>
</file>

<file path=customXml/itemProps5.xml><?xml version="1.0" encoding="utf-8"?>
<ds:datastoreItem xmlns:ds="http://schemas.openxmlformats.org/officeDocument/2006/customXml" ds:itemID="{17777C17-F1F1-4CC8-9A1A-8CC7EC27A6AA}">
  <ds:schemaRefs>
    <ds:schemaRef ds:uri="http://purl.org/dc/elements/1.1/"/>
    <ds:schemaRef ds:uri="ef66c0c8-142b-4c59-93f2-831009d530b4"/>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12797694-e26e-470b-8396-0cc46eabb70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Plastics Recycled Content (PCR) Workload Analysis Fiscal Year 2023</vt:lpstr>
    </vt:vector>
  </TitlesOfParts>
  <Company>WA Department of Ecology</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 Recycled Content (PCR) Workload Analysis Fiscal Year 2023</dc:title>
  <dc:subject>Publication # 23-07-001</dc:subject>
  <dc:creator>Department of Ecology</dc:creator>
  <cp:keywords>Focus Sheet</cp:keywords>
  <dc:description>Post-consumer recycled plastic, PCRC, </dc:description>
  <cp:lastModifiedBy>Hayes, Mark (ECY)</cp:lastModifiedBy>
  <cp:revision>2</cp:revision>
  <dcterms:created xsi:type="dcterms:W3CDTF">2023-01-24T18:51:00Z</dcterms:created>
  <dcterms:modified xsi:type="dcterms:W3CDTF">2023-01-24T18:51:00Z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0x010100826CC72FAD5F5240A8165A9C97EED960</vt:lpwstr>
  </property>
  <property fmtid="{D5CDD505-2E9C-101B-9397-08002B2CF9AE}" pid="3" name="_dlc_DocIdItemGuid">
    <vt:lpwstr>14d7f9cb-7917-4191-b718-4732ed143bd6</vt:lpwstr>
  </property>
  <property fmtid="{D5CDD505-2E9C-101B-9397-08002B2CF9AE}" pid="4" name="New">
    <vt:bool>false</vt:bool>
  </property>
</Properties>
</file>