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71F4" w14:textId="6685E58A" w:rsidR="008E1607" w:rsidRPr="00EA715B" w:rsidRDefault="00775DD7" w:rsidP="000A7C28">
      <w:pPr>
        <w:spacing w:after="360"/>
        <w:jc w:val="right"/>
      </w:pPr>
      <w:r w:rsidRPr="00DE1A35">
        <w:rPr>
          <w:rStyle w:val="RMBlankpagedisclaimerChar"/>
          <w:noProof/>
        </w:rPr>
        <w:drawing>
          <wp:anchor distT="0" distB="0" distL="114300" distR="114300" simplePos="0" relativeHeight="251658240" behindDoc="1" locked="0" layoutInCell="1" allowOverlap="1" wp14:anchorId="59ABB2A0" wp14:editId="5B594FF3">
            <wp:simplePos x="0" y="0"/>
            <wp:positionH relativeFrom="margin">
              <wp:posOffset>-1053465</wp:posOffset>
            </wp:positionH>
            <wp:positionV relativeFrom="paragraph">
              <wp:posOffset>-431165</wp:posOffset>
            </wp:positionV>
            <wp:extent cx="7723505" cy="1009713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75136" t="-39372" r="-51540" b="-357967"/>
                    <a:stretch/>
                  </pic:blipFill>
                  <pic:spPr bwMode="auto">
                    <a:xfrm>
                      <a:off x="0" y="0"/>
                      <a:ext cx="7723505" cy="1009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553692463"/>
          <w:docPartObj>
            <w:docPartGallery w:val="Cover Pages"/>
            <w:docPartUnique/>
          </w:docPartObj>
        </w:sdtPr>
        <w:sdtContent/>
      </w:sdt>
    </w:p>
    <w:p w14:paraId="3E359BAC" w14:textId="05A34FCC" w:rsidR="008E1607" w:rsidRDefault="00770774" w:rsidP="00EB4BF5">
      <w:pPr>
        <w:pStyle w:val="H1-BasicCover"/>
        <w:pBdr>
          <w:bottom w:val="single" w:sz="36" w:space="1" w:color="44688F"/>
        </w:pBdr>
        <w:tabs>
          <w:tab w:val="right" w:pos="9360"/>
        </w:tabs>
        <w:spacing w:before="4000" w:after="0"/>
        <w:ind w:left="2160"/>
      </w:pPr>
      <w:bookmarkStart w:id="0" w:name="_Toc37750752"/>
      <w:r w:rsidRPr="00E00739">
        <w:t>Preliminary</w:t>
      </w:r>
      <w:r w:rsidR="00EB4BF5">
        <w:t xml:space="preserve"> Regulatory Analyses</w:t>
      </w:r>
      <w:bookmarkEnd w:id="0"/>
      <w:r w:rsidR="00EB4BF5">
        <w:tab/>
      </w:r>
    </w:p>
    <w:p w14:paraId="29A1DD0B" w14:textId="77777777" w:rsidR="00EB4BF5" w:rsidRPr="009B72B9" w:rsidRDefault="00EB4BF5" w:rsidP="009B72B9">
      <w:pPr>
        <w:pStyle w:val="RMSubtitleRAcontents"/>
        <w:spacing w:after="120"/>
        <w:rPr>
          <w:rFonts w:asciiTheme="minorHAnsi" w:hAnsiTheme="minorHAnsi" w:cstheme="minorBidi"/>
          <w:b/>
        </w:rPr>
      </w:pPr>
      <w:r w:rsidRPr="009B72B9">
        <w:rPr>
          <w:rFonts w:asciiTheme="minorHAnsi" w:hAnsiTheme="minorHAnsi" w:cstheme="minorBidi"/>
          <w:b/>
        </w:rPr>
        <w:t>Including the:</w:t>
      </w:r>
    </w:p>
    <w:p w14:paraId="41A9B461" w14:textId="77777777" w:rsidR="00EB4BF5" w:rsidRPr="009B72B9" w:rsidRDefault="00EB4BF5" w:rsidP="009B72B9">
      <w:pPr>
        <w:pStyle w:val="RMSubtitleRAcontents"/>
        <w:numPr>
          <w:ilvl w:val="0"/>
          <w:numId w:val="38"/>
        </w:numPr>
        <w:spacing w:after="0"/>
        <w:rPr>
          <w:rFonts w:asciiTheme="minorHAnsi" w:hAnsiTheme="minorHAnsi" w:cstheme="minorBidi"/>
          <w:b/>
        </w:rPr>
      </w:pPr>
      <w:r w:rsidRPr="009B72B9">
        <w:rPr>
          <w:rFonts w:asciiTheme="minorHAnsi" w:hAnsiTheme="minorHAnsi" w:cstheme="minorBidi"/>
          <w:b/>
        </w:rPr>
        <w:t>Preliminary Cost-Benefit Analysis</w:t>
      </w:r>
    </w:p>
    <w:p w14:paraId="2679CEB9" w14:textId="77777777" w:rsidR="00EB4BF5" w:rsidRPr="009B72B9" w:rsidRDefault="00EB4BF5" w:rsidP="009B72B9">
      <w:pPr>
        <w:pStyle w:val="RMSubtitleRAcontents"/>
        <w:numPr>
          <w:ilvl w:val="0"/>
          <w:numId w:val="38"/>
        </w:numPr>
        <w:spacing w:after="0"/>
        <w:rPr>
          <w:rFonts w:asciiTheme="minorHAnsi" w:hAnsiTheme="minorHAnsi" w:cstheme="minorBidi"/>
          <w:b/>
        </w:rPr>
      </w:pPr>
      <w:r w:rsidRPr="009B72B9">
        <w:rPr>
          <w:rFonts w:asciiTheme="minorHAnsi" w:hAnsiTheme="minorHAnsi" w:cstheme="minorBidi"/>
          <w:b/>
        </w:rPr>
        <w:t>Least-Burdensome Alternative Analysis</w:t>
      </w:r>
    </w:p>
    <w:p w14:paraId="29FC4EBF" w14:textId="77777777" w:rsidR="00EB4BF5" w:rsidRPr="009B72B9" w:rsidRDefault="00EB4BF5" w:rsidP="009B72B9">
      <w:pPr>
        <w:pStyle w:val="RMSubtitleRAcontents"/>
        <w:numPr>
          <w:ilvl w:val="0"/>
          <w:numId w:val="38"/>
        </w:numPr>
        <w:spacing w:after="0"/>
        <w:rPr>
          <w:rFonts w:asciiTheme="minorHAnsi" w:hAnsiTheme="minorHAnsi" w:cstheme="minorBidi"/>
          <w:b/>
        </w:rPr>
      </w:pPr>
      <w:r w:rsidRPr="009B72B9">
        <w:rPr>
          <w:rFonts w:asciiTheme="minorHAnsi" w:hAnsiTheme="minorHAnsi" w:cstheme="minorBidi"/>
          <w:b/>
        </w:rPr>
        <w:t>Administrative Procedure Act Determinations</w:t>
      </w:r>
    </w:p>
    <w:p w14:paraId="4F65D06D" w14:textId="77777777" w:rsidR="00EB4BF5" w:rsidRPr="009B72B9" w:rsidRDefault="00EB4BF5" w:rsidP="009B72B9">
      <w:pPr>
        <w:pStyle w:val="RMSubtitleRAcontents"/>
        <w:numPr>
          <w:ilvl w:val="0"/>
          <w:numId w:val="38"/>
        </w:numPr>
        <w:rPr>
          <w:rFonts w:asciiTheme="minorHAnsi" w:hAnsiTheme="minorHAnsi" w:cstheme="minorBidi"/>
          <w:b/>
        </w:rPr>
      </w:pPr>
      <w:r w:rsidRPr="009B72B9">
        <w:rPr>
          <w:rFonts w:asciiTheme="minorHAnsi" w:hAnsiTheme="minorHAnsi" w:cstheme="minorBidi"/>
          <w:b/>
        </w:rPr>
        <w:t>Regulatory Fairness Act Compliance</w:t>
      </w:r>
    </w:p>
    <w:p w14:paraId="796EB1A9" w14:textId="4CBE4D59" w:rsidR="00770774" w:rsidRPr="00775DD7" w:rsidRDefault="00770774" w:rsidP="00775DD7">
      <w:pPr>
        <w:pStyle w:val="H1-BasicCover"/>
        <w:spacing w:after="720"/>
        <w:ind w:left="2160"/>
      </w:pPr>
      <w:r w:rsidRPr="00775DD7">
        <w:t xml:space="preserve">Chapter </w:t>
      </w:r>
      <w:r w:rsidR="00FF697D" w:rsidRPr="00775DD7">
        <w:t>173</w:t>
      </w:r>
      <w:r w:rsidRPr="00775DD7">
        <w:t>-</w:t>
      </w:r>
      <w:r w:rsidR="00FF697D" w:rsidRPr="00775DD7">
        <w:t>925</w:t>
      </w:r>
      <w:r w:rsidRPr="00775DD7">
        <w:t xml:space="preserve"> WAC</w:t>
      </w:r>
      <w:r w:rsidR="009B72B9" w:rsidRPr="00775DD7">
        <w:t xml:space="preserve">, </w:t>
      </w:r>
      <w:r w:rsidR="00FF697D" w:rsidRPr="00775DD7">
        <w:t>Post</w:t>
      </w:r>
      <w:r w:rsidR="00486092" w:rsidRPr="00775DD7">
        <w:t>c</w:t>
      </w:r>
      <w:r w:rsidR="00FF697D" w:rsidRPr="00775DD7">
        <w:t>onsumer Recycl</w:t>
      </w:r>
      <w:r w:rsidR="00486092" w:rsidRPr="00775DD7">
        <w:t>ed</w:t>
      </w:r>
      <w:r w:rsidR="00FF697D" w:rsidRPr="00775DD7">
        <w:t xml:space="preserve"> Content</w:t>
      </w:r>
      <w:r w:rsidR="008A02A1" w:rsidRPr="00775DD7">
        <w:t xml:space="preserve"> </w:t>
      </w:r>
      <w:r w:rsidR="00EF5E8B" w:rsidRPr="00775DD7">
        <w:t xml:space="preserve">in </w:t>
      </w:r>
      <w:r w:rsidR="008A02A1" w:rsidRPr="00775DD7">
        <w:t>Plastic Container</w:t>
      </w:r>
      <w:r w:rsidR="00EF5E8B" w:rsidRPr="00775DD7">
        <w:t>s</w:t>
      </w:r>
    </w:p>
    <w:p w14:paraId="472048F4" w14:textId="77777777" w:rsidR="008E1607" w:rsidRPr="008E1607" w:rsidRDefault="008E1607" w:rsidP="00EE2174">
      <w:pPr>
        <w:pStyle w:val="CoverPageDetaills"/>
        <w:spacing w:after="120"/>
      </w:pPr>
      <w:r w:rsidRPr="008E1607">
        <w:t>By</w:t>
      </w:r>
      <w:r w:rsidR="00770774">
        <w:tab/>
      </w:r>
    </w:p>
    <w:p w14:paraId="3C9B9434" w14:textId="312BBA49" w:rsidR="008E1607" w:rsidRPr="008E1607" w:rsidRDefault="00BA0401" w:rsidP="00EE2174">
      <w:pPr>
        <w:pStyle w:val="CoverPageDetaills"/>
      </w:pPr>
      <w:r>
        <w:t>Kasia Patora, Sapana Bastola, and Emma Diamond</w:t>
      </w:r>
    </w:p>
    <w:p w14:paraId="37916762" w14:textId="77777777" w:rsidR="008E1607" w:rsidRPr="008E1607" w:rsidRDefault="008E1607" w:rsidP="00EE2174">
      <w:pPr>
        <w:pStyle w:val="CoverPageDetaills"/>
        <w:spacing w:after="120"/>
      </w:pPr>
      <w:r w:rsidRPr="008E1607">
        <w:t>For the</w:t>
      </w:r>
    </w:p>
    <w:p w14:paraId="6037E1EF" w14:textId="4F9DAFA4" w:rsidR="008E1607" w:rsidRPr="00EA715B" w:rsidRDefault="00EF5E8B" w:rsidP="00EE2174">
      <w:pPr>
        <w:pStyle w:val="CoverPageDetaills"/>
        <w:rPr>
          <w:b/>
        </w:rPr>
      </w:pPr>
      <w:r>
        <w:rPr>
          <w:b/>
        </w:rPr>
        <w:t xml:space="preserve">Solid Waste Management </w:t>
      </w:r>
      <w:r w:rsidR="008E1607" w:rsidRPr="00EA715B">
        <w:rPr>
          <w:b/>
        </w:rPr>
        <w:t xml:space="preserve">Program </w:t>
      </w:r>
    </w:p>
    <w:p w14:paraId="5AE364AA" w14:textId="77777777" w:rsidR="008E1607" w:rsidRPr="008E1607" w:rsidRDefault="008E1607" w:rsidP="00EE2174">
      <w:pPr>
        <w:pStyle w:val="CoverPageDetaills"/>
        <w:spacing w:after="120"/>
      </w:pPr>
      <w:r w:rsidRPr="008E1607">
        <w:t>Washington State Department of Ecology</w:t>
      </w:r>
    </w:p>
    <w:p w14:paraId="6099BB9A" w14:textId="77777777" w:rsidR="008E1607" w:rsidRPr="008E1607" w:rsidRDefault="008E1607" w:rsidP="00EE2174">
      <w:pPr>
        <w:pStyle w:val="CoverPageDetaills"/>
        <w:spacing w:after="480"/>
      </w:pPr>
      <w:r w:rsidRPr="008E1607">
        <w:t xml:space="preserve">Olympia, Washington </w:t>
      </w:r>
    </w:p>
    <w:p w14:paraId="04BEE7BA" w14:textId="0B521AC4" w:rsidR="00770774" w:rsidRPr="00463EB0" w:rsidRDefault="00130772" w:rsidP="00EE2174">
      <w:pPr>
        <w:pStyle w:val="CoverPageDetaills"/>
      </w:pPr>
      <w:r>
        <w:rPr>
          <w:rFonts w:cstheme="minorHAnsi"/>
          <w:szCs w:val="24"/>
        </w:rPr>
        <w:t>May</w:t>
      </w:r>
      <w:r w:rsidR="008E1607" w:rsidRPr="000268D6">
        <w:rPr>
          <w:rFonts w:cstheme="minorHAnsi"/>
          <w:szCs w:val="24"/>
        </w:rPr>
        <w:t xml:space="preserve"> </w:t>
      </w:r>
      <w:r w:rsidR="00770774" w:rsidRPr="000268D6">
        <w:t>20</w:t>
      </w:r>
      <w:r w:rsidR="000268D6" w:rsidRPr="000268D6">
        <w:t>23</w:t>
      </w:r>
      <w:r w:rsidR="008E1607" w:rsidRPr="008E1607">
        <w:t xml:space="preserve">, </w:t>
      </w:r>
      <w:r w:rsidR="001B24CF" w:rsidRPr="00770774">
        <w:rPr>
          <w:rFonts w:cstheme="minorHAnsi"/>
          <w:szCs w:val="24"/>
        </w:rPr>
        <w:t xml:space="preserve">Publication </w:t>
      </w:r>
      <w:r w:rsidR="00F569BE">
        <w:rPr>
          <w:rFonts w:cstheme="minorHAnsi"/>
          <w:szCs w:val="24"/>
        </w:rPr>
        <w:t>23-07-031</w:t>
      </w:r>
    </w:p>
    <w:p w14:paraId="2ACC89D0" w14:textId="77777777" w:rsidR="008E1607" w:rsidRDefault="008E1607" w:rsidP="00402D9A">
      <w:r>
        <w:br w:type="page"/>
      </w:r>
    </w:p>
    <w:p w14:paraId="03CFAFBB" w14:textId="77777777" w:rsidR="008E1607" w:rsidRPr="008E1607" w:rsidRDefault="008E1607" w:rsidP="00402D9A">
      <w:pPr>
        <w:sectPr w:rsidR="008E1607" w:rsidRPr="008E1607" w:rsidSect="000A7C28">
          <w:footerReference w:type="default" r:id="rId13"/>
          <w:pgSz w:w="12240" w:h="15840" w:code="1"/>
          <w:pgMar w:top="720" w:right="1440" w:bottom="720" w:left="1440" w:header="720" w:footer="720" w:gutter="0"/>
          <w:pgNumType w:fmt="lowerRoman" w:start="0"/>
          <w:cols w:space="1278"/>
          <w:noEndnote/>
          <w:titlePg/>
          <w:docGrid w:linePitch="326"/>
        </w:sectPr>
      </w:pPr>
    </w:p>
    <w:p w14:paraId="51955121" w14:textId="77777777" w:rsidR="00655988" w:rsidRPr="00401B83" w:rsidRDefault="00655988" w:rsidP="003E73B5">
      <w:pPr>
        <w:pStyle w:val="FrontMatterH2"/>
        <w:spacing w:before="480"/>
      </w:pPr>
      <w:bookmarkStart w:id="1" w:name="_Toc37752860"/>
      <w:r>
        <w:lastRenderedPageBreak/>
        <w:t>Publication Information</w:t>
      </w:r>
      <w:bookmarkEnd w:id="1"/>
    </w:p>
    <w:p w14:paraId="685641AB" w14:textId="6510A814" w:rsidR="00770774" w:rsidRPr="00D65961" w:rsidRDefault="00655988" w:rsidP="00D65961">
      <w:pPr>
        <w:pStyle w:val="RMPublicationpagebody"/>
      </w:pPr>
      <w:r w:rsidRPr="00D65961">
        <w:t xml:space="preserve">This document is available on the Department of Ecology’s website at: </w:t>
      </w:r>
      <w:hyperlink r:id="rId14" w:history="1">
        <w:r w:rsidR="00F569BE" w:rsidRPr="00AF0F30">
          <w:rPr>
            <w:rStyle w:val="Hyperlink"/>
          </w:rPr>
          <w:t>https://apps.ecology.wa.gov/publications/SummaryPages/2307031.html</w:t>
        </w:r>
      </w:hyperlink>
      <w:r w:rsidR="00EE2174" w:rsidRPr="00D65961">
        <w:t xml:space="preserve"> </w:t>
      </w:r>
    </w:p>
    <w:p w14:paraId="481C7E6D" w14:textId="77777777" w:rsidR="00655988" w:rsidRPr="00A746E4" w:rsidRDefault="00655988" w:rsidP="00CC7C68">
      <w:pPr>
        <w:pStyle w:val="FrontMatterH2"/>
        <w:spacing w:before="960"/>
      </w:pPr>
      <w:bookmarkStart w:id="2" w:name="_Toc37752861"/>
      <w:r w:rsidRPr="00A746E4">
        <w:t>Contact Information</w:t>
      </w:r>
      <w:bookmarkEnd w:id="2"/>
    </w:p>
    <w:p w14:paraId="082AEFAC" w14:textId="7D6E3F58" w:rsidR="00655988" w:rsidRPr="00D65961" w:rsidRDefault="000268D6" w:rsidP="00D65961">
      <w:pPr>
        <w:pStyle w:val="RMPublicationpagebody"/>
        <w:rPr>
          <w:rFonts w:ascii="Arial" w:hAnsi="Arial" w:cs="Arial"/>
          <w:b/>
          <w:sz w:val="28"/>
          <w:szCs w:val="28"/>
        </w:rPr>
      </w:pPr>
      <w:r>
        <w:rPr>
          <w:rFonts w:ascii="Arial" w:hAnsi="Arial" w:cs="Arial"/>
          <w:b/>
          <w:sz w:val="28"/>
          <w:szCs w:val="28"/>
        </w:rPr>
        <w:t>Solid Waste Management</w:t>
      </w:r>
      <w:r w:rsidR="00655988" w:rsidRPr="00D65961">
        <w:rPr>
          <w:rFonts w:ascii="Arial" w:hAnsi="Arial" w:cs="Arial"/>
          <w:b/>
          <w:sz w:val="28"/>
          <w:szCs w:val="28"/>
        </w:rPr>
        <w:t xml:space="preserve"> Program</w:t>
      </w:r>
    </w:p>
    <w:p w14:paraId="1C1F672D" w14:textId="631EF542" w:rsidR="00655988" w:rsidRPr="002A51AD" w:rsidRDefault="00655988" w:rsidP="00D65961">
      <w:pPr>
        <w:pStyle w:val="RMPublicationpagebody"/>
      </w:pPr>
      <w:r w:rsidRPr="002A51AD">
        <w:t xml:space="preserve">P.O. Box 47600 </w:t>
      </w:r>
      <w:r w:rsidR="00FB1AE2">
        <w:br/>
      </w:r>
      <w:r>
        <w:t xml:space="preserve">Olympia, WA </w:t>
      </w:r>
      <w:r w:rsidRPr="002A51AD">
        <w:t xml:space="preserve">98504-7600 </w:t>
      </w:r>
      <w:r w:rsidR="00FB1AE2">
        <w:br/>
      </w:r>
      <w:r w:rsidRPr="002A51AD">
        <w:t>Phone: 360-407</w:t>
      </w:r>
      <w:r>
        <w:t>-</w:t>
      </w:r>
      <w:r w:rsidR="00FA40F8">
        <w:t>6600</w:t>
      </w:r>
    </w:p>
    <w:p w14:paraId="7BC5F7B8" w14:textId="527DF1F2" w:rsidR="00655988" w:rsidRPr="00D65961" w:rsidRDefault="00655988" w:rsidP="00D65961">
      <w:pPr>
        <w:pStyle w:val="RMPublicationpagebody"/>
        <w:rPr>
          <w:rStyle w:val="Hyperlink"/>
          <w:rFonts w:ascii="Book Antiqua" w:hAnsi="Book Antiqua" w:cs="Times New Roman"/>
          <w:b/>
          <w:sz w:val="28"/>
          <w:szCs w:val="28"/>
        </w:rPr>
      </w:pPr>
      <w:r w:rsidRPr="00D65961">
        <w:rPr>
          <w:b/>
          <w:sz w:val="28"/>
          <w:szCs w:val="28"/>
        </w:rPr>
        <w:t xml:space="preserve">Website: </w:t>
      </w:r>
      <w:r w:rsidR="00EE2174" w:rsidRPr="00D65961">
        <w:rPr>
          <w:rStyle w:val="RMPublicationpagebodyChar"/>
          <w:b/>
          <w:sz w:val="28"/>
          <w:szCs w:val="28"/>
        </w:rPr>
        <w:fldChar w:fldCharType="begin"/>
      </w:r>
      <w:r w:rsidR="00EE2174" w:rsidRPr="00D65961">
        <w:rPr>
          <w:rStyle w:val="RMPublicationpagebodyChar"/>
          <w:b/>
          <w:sz w:val="28"/>
          <w:szCs w:val="28"/>
        </w:rPr>
        <w:instrText xml:space="preserve"> HYPERLINK "https://ecology.wa.gov/contact" </w:instrText>
      </w:r>
      <w:r w:rsidR="00EE2174" w:rsidRPr="00D65961">
        <w:rPr>
          <w:rStyle w:val="RMPublicationpagebodyChar"/>
          <w:b/>
          <w:sz w:val="28"/>
          <w:szCs w:val="28"/>
        </w:rPr>
      </w:r>
      <w:r w:rsidR="00EE2174" w:rsidRPr="00D65961">
        <w:rPr>
          <w:rStyle w:val="RMPublicationpagebodyChar"/>
          <w:b/>
          <w:sz w:val="28"/>
          <w:szCs w:val="28"/>
        </w:rPr>
        <w:fldChar w:fldCharType="separate"/>
      </w:r>
      <w:r w:rsidRPr="00A0072F">
        <w:rPr>
          <w:rStyle w:val="Hyperlink"/>
          <w:sz w:val="28"/>
          <w:szCs w:val="28"/>
        </w:rPr>
        <w:t>Washington State Department of Ecology</w:t>
      </w:r>
      <w:r w:rsidR="00003AA0">
        <w:rPr>
          <w:rStyle w:val="FootnoteReference"/>
          <w:color w:val="0563C1" w:themeColor="hyperlink"/>
          <w:sz w:val="28"/>
          <w:szCs w:val="28"/>
          <w:u w:val="single"/>
        </w:rPr>
        <w:footnoteReference w:id="2"/>
      </w:r>
    </w:p>
    <w:bookmarkStart w:id="3" w:name="_Toc37752862"/>
    <w:p w14:paraId="74BD4DE5" w14:textId="77777777" w:rsidR="00655988" w:rsidRPr="00D65961" w:rsidRDefault="00EE2174" w:rsidP="003212EE">
      <w:pPr>
        <w:pStyle w:val="FrontMatterH2"/>
        <w:spacing w:before="2520"/>
      </w:pPr>
      <w:r w:rsidRPr="00D65961">
        <w:rPr>
          <w:rStyle w:val="RMPublicationpagebodyChar"/>
          <w:b w:val="0"/>
          <w:sz w:val="28"/>
          <w:szCs w:val="28"/>
        </w:rPr>
        <w:fldChar w:fldCharType="end"/>
      </w:r>
      <w:r w:rsidR="00655988" w:rsidRPr="00D65961">
        <w:t>ADA Accessibility</w:t>
      </w:r>
      <w:bookmarkEnd w:id="3"/>
    </w:p>
    <w:p w14:paraId="1D62345E" w14:textId="77777777" w:rsidR="00655988" w:rsidRPr="00EE2174" w:rsidRDefault="00655988" w:rsidP="00D65961">
      <w:pPr>
        <w:pStyle w:val="RMPublicationpagebody"/>
        <w:contextualSpacing w:val="0"/>
      </w:pPr>
      <w:r w:rsidRPr="00EE2174">
        <w:t>The Department of Ecology is committed to providing people with disabilities access to information and services by meeting or exceeding the requirements of the Americans with Disabilities Act (ADA), Section 504 and 508 of the Rehabilitation Act, an</w:t>
      </w:r>
      <w:r w:rsidR="0092699A" w:rsidRPr="00EE2174">
        <w:t>d Washington State Policy #188.</w:t>
      </w:r>
    </w:p>
    <w:p w14:paraId="5B7FBC75" w14:textId="77777777" w:rsidR="00655988" w:rsidRPr="00EE2174" w:rsidRDefault="00655988" w:rsidP="00D65961">
      <w:pPr>
        <w:pStyle w:val="RMPublicationpagebody"/>
        <w:rPr>
          <w:rStyle w:val="Strong"/>
          <w:b w:val="0"/>
          <w:bCs w:val="0"/>
        </w:rPr>
      </w:pPr>
      <w:r w:rsidRPr="00EE2174">
        <w:rPr>
          <w:rStyle w:val="Strong"/>
          <w:b w:val="0"/>
          <w:bCs w:val="0"/>
        </w:rPr>
        <w:t>To request an ADA accommodation, contact Ecology by phone at 360-407-</w:t>
      </w:r>
      <w:r w:rsidR="003E73B5" w:rsidRPr="00EE2174">
        <w:rPr>
          <w:rStyle w:val="Strong"/>
          <w:b w:val="0"/>
          <w:bCs w:val="0"/>
        </w:rPr>
        <w:t xml:space="preserve">6831 </w:t>
      </w:r>
      <w:r w:rsidRPr="00EE2174">
        <w:rPr>
          <w:rStyle w:val="Strong"/>
          <w:b w:val="0"/>
          <w:bCs w:val="0"/>
        </w:rPr>
        <w:t xml:space="preserve">or email at </w:t>
      </w:r>
      <w:hyperlink r:id="rId15" w:history="1">
        <w:r w:rsidR="00EE2174">
          <w:rPr>
            <w:rStyle w:val="Hyperlink"/>
          </w:rPr>
          <w:t>ecyADAcoordinator@ecy.wa.gov</w:t>
        </w:r>
      </w:hyperlink>
      <w:r w:rsidR="00CC7C68" w:rsidRPr="00EE2174">
        <w:rPr>
          <w:rStyle w:val="Strong"/>
          <w:b w:val="0"/>
          <w:bCs w:val="0"/>
        </w:rPr>
        <w:t>.</w:t>
      </w:r>
      <w:r w:rsidRPr="00EE2174">
        <w:rPr>
          <w:rStyle w:val="Strong"/>
          <w:b w:val="0"/>
          <w:bCs w:val="0"/>
        </w:rPr>
        <w:t xml:space="preserve"> For Washington Relay Service or TTY call 711 or 877-833-6341. Visit </w:t>
      </w:r>
      <w:hyperlink r:id="rId16" w:history="1">
        <w:r w:rsidRPr="00EE2174">
          <w:rPr>
            <w:rStyle w:val="Strong"/>
            <w:b w:val="0"/>
            <w:bCs w:val="0"/>
          </w:rPr>
          <w:t xml:space="preserve">Ecology's website </w:t>
        </w:r>
      </w:hyperlink>
      <w:r w:rsidRPr="00EE2174">
        <w:rPr>
          <w:rStyle w:val="Strong"/>
          <w:b w:val="0"/>
          <w:bCs w:val="0"/>
        </w:rPr>
        <w:t>for more information.</w:t>
      </w:r>
    </w:p>
    <w:p w14:paraId="4E6DCB31" w14:textId="77777777" w:rsidR="00655988" w:rsidRDefault="00655988" w:rsidP="00E03A76">
      <w:pPr>
        <w:sectPr w:rsidR="00655988" w:rsidSect="00CC7C68">
          <w:footerReference w:type="first" r:id="rId17"/>
          <w:pgSz w:w="12240" w:h="15840" w:code="1"/>
          <w:pgMar w:top="1170" w:right="1440" w:bottom="1440" w:left="1440" w:header="720" w:footer="720" w:gutter="0"/>
          <w:pgNumType w:start="2"/>
          <w:cols w:space="720"/>
          <w:noEndnote/>
          <w:titlePg/>
          <w:docGrid w:linePitch="326"/>
        </w:sectPr>
      </w:pPr>
    </w:p>
    <w:p w14:paraId="6518E5D9" w14:textId="77777777" w:rsidR="00BA499B" w:rsidRPr="00EE2136" w:rsidRDefault="00BA499B" w:rsidP="00BA499B">
      <w:pPr>
        <w:pStyle w:val="FrontMatterH2"/>
      </w:pPr>
      <w:r w:rsidRPr="00EE2136">
        <w:lastRenderedPageBreak/>
        <w:t>Department of Ecology’s Regional Offices</w:t>
      </w:r>
    </w:p>
    <w:p w14:paraId="0736A7E0" w14:textId="77777777" w:rsidR="00BA499B" w:rsidRPr="00E03A76" w:rsidRDefault="00BA499B" w:rsidP="00BA499B">
      <w:pPr>
        <w:pStyle w:val="Front-H3"/>
      </w:pPr>
      <w:r w:rsidRPr="00E03A76">
        <w:t>Map of Counties Served</w:t>
      </w:r>
    </w:p>
    <w:p w14:paraId="56D30162" w14:textId="67DA4AF7" w:rsidR="00BA499B" w:rsidRDefault="00D2402C" w:rsidP="00BA499B">
      <w:pPr>
        <w:jc w:val="center"/>
      </w:pPr>
      <w:r w:rsidRPr="00E7741F">
        <w:rPr>
          <w:noProof/>
        </w:rPr>
        <w:drawing>
          <wp:inline distT="0" distB="0" distL="0" distR="0" wp14:anchorId="3B24AAD9" wp14:editId="08BB1091">
            <wp:extent cx="5299075" cy="4281163"/>
            <wp:effectExtent l="0" t="0" r="0" b="5715"/>
            <wp:docPr id="12" name="Picture 12" descr="Washington map of counties and Ecology regional offices with pho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l461\AppData\Local\Microsoft\Windows\INetCache\Content.Outlook\XS19FP1U\EcologyRegionMapContacts.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1320" b="1"/>
                    <a:stretch/>
                  </pic:blipFill>
                  <pic:spPr bwMode="auto">
                    <a:xfrm>
                      <a:off x="0" y="0"/>
                      <a:ext cx="5315924" cy="42947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dTable2-Accent3"/>
        <w:tblpPr w:leftFromText="180" w:rightFromText="180" w:vertAnchor="text" w:horzAnchor="page" w:tblpX="1171" w:tblpY="146"/>
        <w:tblW w:w="100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6A0" w:firstRow="1" w:lastRow="0" w:firstColumn="1" w:lastColumn="0" w:noHBand="1" w:noVBand="1"/>
        <w:tblDescription w:val="Contact information for Ecology headquarters and four regional offices. Includes Washington counties served by each region."/>
      </w:tblPr>
      <w:tblGrid>
        <w:gridCol w:w="1705"/>
        <w:gridCol w:w="4230"/>
        <w:gridCol w:w="2480"/>
        <w:gridCol w:w="1629"/>
      </w:tblGrid>
      <w:tr w:rsidR="00BA499B" w:rsidRPr="008E1607" w14:paraId="22B3ABD3" w14:textId="77777777" w:rsidTr="006462E8">
        <w:trPr>
          <w:cnfStyle w:val="100000000000" w:firstRow="1" w:lastRow="0" w:firstColumn="0" w:lastColumn="0" w:oddVBand="0" w:evenVBand="0" w:oddHBand="0" w:evenHBand="0" w:firstRowFirstColumn="0" w:firstRowLastColumn="0" w:lastRowFirstColumn="0" w:lastRowLastColumn="0"/>
          <w:cantSplit/>
          <w:trHeight w:val="556"/>
          <w:tblHeader/>
        </w:trPr>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4546A" w:themeColor="text2"/>
              <w:bottom w:val="single" w:sz="4" w:space="0" w:color="auto"/>
            </w:tcBorders>
            <w:shd w:val="clear" w:color="auto" w:fill="44688F"/>
            <w:vAlign w:val="center"/>
            <w:hideMark/>
          </w:tcPr>
          <w:p w14:paraId="77E8F19A" w14:textId="77777777" w:rsidR="00BA499B" w:rsidRPr="00EE2174" w:rsidRDefault="00BA499B" w:rsidP="00132116">
            <w:pPr>
              <w:jc w:val="center"/>
              <w:rPr>
                <w:rFonts w:ascii="Arial" w:hAnsi="Arial" w:cs="Arial"/>
                <w:color w:val="FFFFFF" w:themeColor="background1"/>
                <w:sz w:val="22"/>
              </w:rPr>
            </w:pPr>
            <w:r w:rsidRPr="00EE2174">
              <w:rPr>
                <w:rFonts w:ascii="Arial" w:hAnsi="Arial" w:cs="Arial"/>
                <w:color w:val="FFFFFF" w:themeColor="background1"/>
                <w:sz w:val="22"/>
              </w:rPr>
              <w:t>Region</w:t>
            </w:r>
          </w:p>
        </w:tc>
        <w:tc>
          <w:tcPr>
            <w:tcW w:w="4230" w:type="dxa"/>
            <w:tcBorders>
              <w:bottom w:val="single" w:sz="4" w:space="0" w:color="auto"/>
            </w:tcBorders>
            <w:shd w:val="clear" w:color="auto" w:fill="44688F"/>
            <w:vAlign w:val="center"/>
            <w:hideMark/>
          </w:tcPr>
          <w:p w14:paraId="3E899B74" w14:textId="77777777" w:rsidR="00BA499B" w:rsidRPr="00EE2174" w:rsidRDefault="00BA499B" w:rsidP="0013211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EE2174">
              <w:rPr>
                <w:rFonts w:ascii="Arial" w:hAnsi="Arial" w:cs="Arial"/>
                <w:color w:val="FFFFFF" w:themeColor="background1"/>
                <w:sz w:val="22"/>
              </w:rPr>
              <w:t>Counties served</w:t>
            </w:r>
          </w:p>
        </w:tc>
        <w:tc>
          <w:tcPr>
            <w:tcW w:w="2480" w:type="dxa"/>
            <w:tcBorders>
              <w:bottom w:val="single" w:sz="4" w:space="0" w:color="auto"/>
            </w:tcBorders>
            <w:shd w:val="clear" w:color="auto" w:fill="44688F"/>
            <w:vAlign w:val="center"/>
            <w:hideMark/>
          </w:tcPr>
          <w:p w14:paraId="401D8A61" w14:textId="77777777" w:rsidR="00BA499B" w:rsidRPr="00EE2174" w:rsidRDefault="00BA499B" w:rsidP="0013211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EE2174">
              <w:rPr>
                <w:rFonts w:ascii="Arial" w:hAnsi="Arial" w:cs="Arial"/>
                <w:color w:val="FFFFFF" w:themeColor="background1"/>
                <w:sz w:val="22"/>
              </w:rPr>
              <w:t>Mailing Address</w:t>
            </w:r>
          </w:p>
        </w:tc>
        <w:tc>
          <w:tcPr>
            <w:tcW w:w="1629" w:type="dxa"/>
            <w:tcBorders>
              <w:bottom w:val="single" w:sz="4" w:space="0" w:color="auto"/>
              <w:right w:val="single" w:sz="4" w:space="0" w:color="44546A" w:themeColor="text2"/>
            </w:tcBorders>
            <w:shd w:val="clear" w:color="auto" w:fill="44688F"/>
            <w:vAlign w:val="center"/>
            <w:hideMark/>
          </w:tcPr>
          <w:p w14:paraId="485291E4" w14:textId="77777777" w:rsidR="00BA499B" w:rsidRPr="00EE2174" w:rsidRDefault="00BA499B" w:rsidP="0013211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EE2174">
              <w:rPr>
                <w:rFonts w:ascii="Arial" w:hAnsi="Arial" w:cs="Arial"/>
                <w:color w:val="FFFFFF" w:themeColor="background1"/>
                <w:sz w:val="22"/>
              </w:rPr>
              <w:t>Phone</w:t>
            </w:r>
          </w:p>
        </w:tc>
      </w:tr>
      <w:tr w:rsidR="00BA499B" w:rsidRPr="008E1607" w14:paraId="213EC5E6" w14:textId="77777777" w:rsidTr="006462E8">
        <w:trPr>
          <w:cantSplit/>
          <w:trHeight w:val="74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vAlign w:val="center"/>
            <w:hideMark/>
          </w:tcPr>
          <w:p w14:paraId="61D388E1" w14:textId="77777777" w:rsidR="00BA499B" w:rsidRPr="00EE2174" w:rsidRDefault="00BA499B" w:rsidP="00132116">
            <w:pPr>
              <w:rPr>
                <w:rFonts w:ascii="Arial" w:hAnsi="Arial" w:cs="Arial"/>
                <w:sz w:val="22"/>
              </w:rPr>
            </w:pPr>
            <w:r w:rsidRPr="00EE2174">
              <w:rPr>
                <w:rFonts w:ascii="Arial" w:hAnsi="Arial" w:cs="Arial"/>
                <w:sz w:val="22"/>
              </w:rPr>
              <w:t>Southwest</w:t>
            </w:r>
          </w:p>
        </w:tc>
        <w:tc>
          <w:tcPr>
            <w:tcW w:w="4230" w:type="dxa"/>
            <w:tcBorders>
              <w:top w:val="single" w:sz="4" w:space="0" w:color="auto"/>
              <w:left w:val="single" w:sz="4" w:space="0" w:color="auto"/>
              <w:bottom w:val="single" w:sz="4" w:space="0" w:color="auto"/>
              <w:right w:val="single" w:sz="4" w:space="0" w:color="auto"/>
            </w:tcBorders>
            <w:vAlign w:val="center"/>
            <w:hideMark/>
          </w:tcPr>
          <w:p w14:paraId="0B3707AB" w14:textId="77777777" w:rsidR="00BA499B" w:rsidRPr="00EE2174" w:rsidRDefault="00BA499B" w:rsidP="00132116">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EE2174">
              <w:rPr>
                <w:rFonts w:ascii="Arial" w:hAnsi="Arial" w:cs="Arial"/>
                <w:sz w:val="22"/>
              </w:rPr>
              <w:t>Clallam, Clark, Cowlitz, Grays Harbor, Jefferson, Mason, Lewis, Pacific, Pierce, Skamania, Thurston, Wahkiakum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F628985" w14:textId="2B4E4713" w:rsidR="00BA499B" w:rsidRPr="00EE2174" w:rsidRDefault="00BA499B" w:rsidP="006B22F7">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EE2174">
              <w:rPr>
                <w:rFonts w:ascii="Arial" w:hAnsi="Arial" w:cs="Arial"/>
                <w:sz w:val="22"/>
              </w:rPr>
              <w:t>P</w:t>
            </w:r>
            <w:r w:rsidR="00D65961">
              <w:rPr>
                <w:rFonts w:ascii="Arial" w:hAnsi="Arial" w:cs="Arial"/>
                <w:sz w:val="22"/>
              </w:rPr>
              <w:t>.</w:t>
            </w:r>
            <w:r w:rsidRPr="00EE2174">
              <w:rPr>
                <w:rFonts w:ascii="Arial" w:hAnsi="Arial" w:cs="Arial"/>
                <w:sz w:val="22"/>
              </w:rPr>
              <w:t>O</w:t>
            </w:r>
            <w:r w:rsidR="00D65961">
              <w:rPr>
                <w:rFonts w:ascii="Arial" w:hAnsi="Arial" w:cs="Arial"/>
                <w:sz w:val="22"/>
              </w:rPr>
              <w:t>.</w:t>
            </w:r>
            <w:r w:rsidRPr="00EE2174">
              <w:rPr>
                <w:rFonts w:ascii="Arial" w:hAnsi="Arial" w:cs="Arial"/>
                <w:sz w:val="22"/>
              </w:rPr>
              <w:t xml:space="preserve"> Box 47775</w:t>
            </w:r>
            <w:r w:rsidR="006B22F7">
              <w:rPr>
                <w:rFonts w:ascii="Arial" w:hAnsi="Arial" w:cs="Arial"/>
                <w:sz w:val="22"/>
              </w:rPr>
              <w:br/>
            </w:r>
            <w:r w:rsidRPr="00EE2174">
              <w:rPr>
                <w:rFonts w:ascii="Arial" w:hAnsi="Arial" w:cs="Arial"/>
                <w:sz w:val="22"/>
              </w:rPr>
              <w:t>Olympia, WA 98504</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242A19D" w14:textId="77777777" w:rsidR="00BA499B" w:rsidRPr="00EE2174" w:rsidRDefault="00BA499B" w:rsidP="00132116">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EE2174">
              <w:rPr>
                <w:rFonts w:ascii="Arial" w:hAnsi="Arial" w:cs="Arial"/>
                <w:sz w:val="22"/>
              </w:rPr>
              <w:t>360-407-6300</w:t>
            </w:r>
          </w:p>
        </w:tc>
      </w:tr>
      <w:tr w:rsidR="00BA499B" w:rsidRPr="008E1607" w14:paraId="1F7BECDB" w14:textId="77777777" w:rsidTr="006462E8">
        <w:trPr>
          <w:cantSplit/>
          <w:trHeight w:val="685"/>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vAlign w:val="center"/>
            <w:hideMark/>
          </w:tcPr>
          <w:p w14:paraId="003AD56F" w14:textId="77777777" w:rsidR="00BA499B" w:rsidRPr="00EE2174" w:rsidRDefault="00BA499B" w:rsidP="00132116">
            <w:pPr>
              <w:rPr>
                <w:rFonts w:ascii="Arial" w:hAnsi="Arial" w:cs="Arial"/>
                <w:sz w:val="22"/>
              </w:rPr>
            </w:pPr>
            <w:r w:rsidRPr="00EE2174">
              <w:rPr>
                <w:rFonts w:ascii="Arial" w:hAnsi="Arial" w:cs="Arial"/>
                <w:sz w:val="22"/>
              </w:rPr>
              <w:t>Northwest</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C1AC4BC" w14:textId="77777777" w:rsidR="00BA499B" w:rsidRPr="00EE2174" w:rsidRDefault="00BA499B" w:rsidP="00132116">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EE2174">
              <w:rPr>
                <w:rFonts w:ascii="Arial" w:hAnsi="Arial" w:cs="Arial"/>
                <w:sz w:val="22"/>
              </w:rPr>
              <w:t>Island, King, Kitsap, San Juan, Skagit, Snohomish, Whatcom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2DF6AE1" w14:textId="131AE6E7" w:rsidR="00BA499B" w:rsidRPr="00EE2174" w:rsidRDefault="00D2402C" w:rsidP="00132116">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D2402C">
              <w:rPr>
                <w:rFonts w:ascii="Arial" w:hAnsi="Arial" w:cs="Arial"/>
                <w:sz w:val="22"/>
              </w:rPr>
              <w:t>P</w:t>
            </w:r>
            <w:r w:rsidR="00D65961">
              <w:rPr>
                <w:rFonts w:ascii="Arial" w:hAnsi="Arial" w:cs="Arial"/>
                <w:sz w:val="22"/>
              </w:rPr>
              <w:t>.</w:t>
            </w:r>
            <w:r w:rsidRPr="00D2402C">
              <w:rPr>
                <w:rFonts w:ascii="Arial" w:hAnsi="Arial" w:cs="Arial"/>
                <w:sz w:val="22"/>
              </w:rPr>
              <w:t>O</w:t>
            </w:r>
            <w:r w:rsidR="00D65961">
              <w:rPr>
                <w:rFonts w:ascii="Arial" w:hAnsi="Arial" w:cs="Arial"/>
                <w:sz w:val="22"/>
              </w:rPr>
              <w:t>.</w:t>
            </w:r>
            <w:r w:rsidRPr="00D2402C">
              <w:rPr>
                <w:rFonts w:ascii="Arial" w:hAnsi="Arial" w:cs="Arial"/>
                <w:sz w:val="22"/>
              </w:rPr>
              <w:t xml:space="preserve"> Box 330316 Shoreline, WA 98133</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014227E" w14:textId="2E14DE71" w:rsidR="00BA499B" w:rsidRPr="00EE2174" w:rsidRDefault="00D2402C" w:rsidP="00132116">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sz w:val="22"/>
              </w:rPr>
              <w:t>206-594-0</w:t>
            </w:r>
            <w:r w:rsidR="00BA499B" w:rsidRPr="00EE2174">
              <w:rPr>
                <w:rFonts w:ascii="Arial" w:hAnsi="Arial" w:cs="Arial"/>
                <w:sz w:val="22"/>
              </w:rPr>
              <w:t>000</w:t>
            </w:r>
          </w:p>
        </w:tc>
      </w:tr>
      <w:tr w:rsidR="00BA499B" w:rsidRPr="008E1607" w14:paraId="149ECDEA" w14:textId="77777777" w:rsidTr="006462E8">
        <w:trPr>
          <w:cantSplit/>
          <w:trHeight w:val="653"/>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vAlign w:val="center"/>
            <w:hideMark/>
          </w:tcPr>
          <w:p w14:paraId="703A400F" w14:textId="77777777" w:rsidR="00BA499B" w:rsidRPr="00EE2174" w:rsidRDefault="00BA499B" w:rsidP="00132116">
            <w:pPr>
              <w:rPr>
                <w:rFonts w:ascii="Arial" w:hAnsi="Arial" w:cs="Arial"/>
                <w:sz w:val="22"/>
              </w:rPr>
            </w:pPr>
            <w:r w:rsidRPr="00EE2174">
              <w:rPr>
                <w:rFonts w:ascii="Arial" w:hAnsi="Arial" w:cs="Arial"/>
                <w:sz w:val="22"/>
              </w:rPr>
              <w:t>Central</w:t>
            </w:r>
          </w:p>
        </w:tc>
        <w:tc>
          <w:tcPr>
            <w:tcW w:w="4230" w:type="dxa"/>
            <w:tcBorders>
              <w:top w:val="single" w:sz="4" w:space="0" w:color="auto"/>
              <w:left w:val="single" w:sz="4" w:space="0" w:color="auto"/>
              <w:bottom w:val="single" w:sz="4" w:space="0" w:color="auto"/>
              <w:right w:val="single" w:sz="4" w:space="0" w:color="auto"/>
            </w:tcBorders>
            <w:vAlign w:val="center"/>
            <w:hideMark/>
          </w:tcPr>
          <w:p w14:paraId="05B87743" w14:textId="77777777" w:rsidR="00BA499B" w:rsidRPr="00EE2174" w:rsidRDefault="00BA499B" w:rsidP="00132116">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EE2174">
              <w:rPr>
                <w:rFonts w:ascii="Arial" w:hAnsi="Arial" w:cs="Arial"/>
                <w:sz w:val="22"/>
              </w:rPr>
              <w:t>Benton, Chelan, Douglas, Kittitas, Klickitat, Okanogan, Yakima</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BBC9E1C" w14:textId="611134D8" w:rsidR="00BA499B" w:rsidRPr="00EE2174" w:rsidRDefault="00BA499B" w:rsidP="006B22F7">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EE2174">
              <w:rPr>
                <w:rFonts w:ascii="Arial" w:hAnsi="Arial" w:cs="Arial"/>
                <w:sz w:val="22"/>
              </w:rPr>
              <w:t>1250 W Alder St</w:t>
            </w:r>
            <w:r w:rsidR="006B22F7">
              <w:rPr>
                <w:rFonts w:ascii="Arial" w:hAnsi="Arial" w:cs="Arial"/>
                <w:sz w:val="22"/>
              </w:rPr>
              <w:br/>
            </w:r>
            <w:r w:rsidRPr="00EE2174">
              <w:rPr>
                <w:rFonts w:ascii="Arial" w:hAnsi="Arial" w:cs="Arial"/>
                <w:sz w:val="22"/>
              </w:rPr>
              <w:t>Union Gap, WA 98903</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E0A850C" w14:textId="77777777" w:rsidR="00BA499B" w:rsidRPr="00EE2174" w:rsidRDefault="00BA499B" w:rsidP="00132116">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EE2174">
              <w:rPr>
                <w:rFonts w:ascii="Arial" w:hAnsi="Arial" w:cs="Arial"/>
                <w:sz w:val="22"/>
              </w:rPr>
              <w:t>509-575-2490</w:t>
            </w:r>
          </w:p>
        </w:tc>
      </w:tr>
      <w:tr w:rsidR="00BA499B" w:rsidRPr="008E1607" w14:paraId="6E5150F4" w14:textId="77777777" w:rsidTr="006462E8">
        <w:trPr>
          <w:cantSplit/>
          <w:trHeight w:val="882"/>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vAlign w:val="center"/>
            <w:hideMark/>
          </w:tcPr>
          <w:p w14:paraId="2B4E5876" w14:textId="77777777" w:rsidR="00BA499B" w:rsidRPr="00EE2174" w:rsidRDefault="00BA499B" w:rsidP="00132116">
            <w:pPr>
              <w:rPr>
                <w:rFonts w:ascii="Arial" w:hAnsi="Arial" w:cs="Arial"/>
                <w:sz w:val="22"/>
              </w:rPr>
            </w:pPr>
            <w:r w:rsidRPr="00EE2174">
              <w:rPr>
                <w:rFonts w:ascii="Arial" w:hAnsi="Arial" w:cs="Arial"/>
                <w:sz w:val="22"/>
              </w:rPr>
              <w:t>Eastern</w:t>
            </w:r>
          </w:p>
        </w:tc>
        <w:tc>
          <w:tcPr>
            <w:tcW w:w="4230" w:type="dxa"/>
            <w:tcBorders>
              <w:top w:val="single" w:sz="4" w:space="0" w:color="auto"/>
              <w:left w:val="single" w:sz="4" w:space="0" w:color="auto"/>
              <w:bottom w:val="single" w:sz="4" w:space="0" w:color="auto"/>
              <w:right w:val="single" w:sz="4" w:space="0" w:color="auto"/>
            </w:tcBorders>
            <w:vAlign w:val="center"/>
            <w:hideMark/>
          </w:tcPr>
          <w:p w14:paraId="77A46129" w14:textId="77777777" w:rsidR="00BA499B" w:rsidRPr="00EE2174" w:rsidRDefault="00BA499B" w:rsidP="00132116">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EE2174">
              <w:rPr>
                <w:rFonts w:ascii="Arial" w:hAnsi="Arial" w:cs="Arial"/>
                <w:sz w:val="22"/>
              </w:rPr>
              <w:t>Adams, Asotin, Columbia, Ferry, Franklin, Garfield, Grant, Lincoln, Pend Oreille, Spokane, Stevens, Walla Walla, Whitman</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F421817" w14:textId="3559ABDF" w:rsidR="00BA499B" w:rsidRPr="00EE2174" w:rsidRDefault="00BA499B" w:rsidP="006B22F7">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EE2174">
              <w:rPr>
                <w:rFonts w:ascii="Arial" w:hAnsi="Arial" w:cs="Arial"/>
                <w:sz w:val="22"/>
              </w:rPr>
              <w:t xml:space="preserve">4601 N Monroe </w:t>
            </w:r>
            <w:r w:rsidR="006B22F7">
              <w:rPr>
                <w:rFonts w:ascii="Arial" w:hAnsi="Arial" w:cs="Arial"/>
                <w:sz w:val="22"/>
              </w:rPr>
              <w:br/>
            </w:r>
            <w:r w:rsidRPr="00EE2174">
              <w:rPr>
                <w:rFonts w:ascii="Arial" w:hAnsi="Arial" w:cs="Arial"/>
                <w:sz w:val="22"/>
              </w:rPr>
              <w:t>Spokane, WA 99205</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5A321B7" w14:textId="77777777" w:rsidR="00BA499B" w:rsidRPr="00EE2174" w:rsidRDefault="00BA499B" w:rsidP="00132116">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EE2174">
              <w:rPr>
                <w:rFonts w:ascii="Arial" w:hAnsi="Arial" w:cs="Arial"/>
                <w:sz w:val="22"/>
              </w:rPr>
              <w:t>509-329-3400</w:t>
            </w:r>
          </w:p>
        </w:tc>
      </w:tr>
      <w:tr w:rsidR="00BA499B" w:rsidRPr="008E1607" w14:paraId="4ACFD75D" w14:textId="77777777" w:rsidTr="006462E8">
        <w:trPr>
          <w:cantSplit/>
          <w:trHeight w:val="685"/>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vAlign w:val="center"/>
            <w:hideMark/>
          </w:tcPr>
          <w:p w14:paraId="409B9AED" w14:textId="77777777" w:rsidR="00BA499B" w:rsidRPr="00EE2174" w:rsidRDefault="00BA499B" w:rsidP="00132116">
            <w:pPr>
              <w:rPr>
                <w:rFonts w:ascii="Arial" w:hAnsi="Arial" w:cs="Arial"/>
                <w:sz w:val="22"/>
              </w:rPr>
            </w:pPr>
            <w:r w:rsidRPr="00EE2174">
              <w:rPr>
                <w:rFonts w:ascii="Arial" w:hAnsi="Arial" w:cs="Arial"/>
                <w:sz w:val="22"/>
              </w:rPr>
              <w:t>Headquarters</w:t>
            </w:r>
          </w:p>
        </w:tc>
        <w:tc>
          <w:tcPr>
            <w:tcW w:w="4230" w:type="dxa"/>
            <w:tcBorders>
              <w:top w:val="single" w:sz="4" w:space="0" w:color="auto"/>
              <w:left w:val="single" w:sz="4" w:space="0" w:color="auto"/>
              <w:bottom w:val="single" w:sz="4" w:space="0" w:color="auto"/>
              <w:right w:val="single" w:sz="4" w:space="0" w:color="auto"/>
            </w:tcBorders>
            <w:vAlign w:val="center"/>
            <w:hideMark/>
          </w:tcPr>
          <w:p w14:paraId="2C933A5C" w14:textId="77777777" w:rsidR="00BA499B" w:rsidRPr="00EE2174" w:rsidRDefault="00BA499B" w:rsidP="00132116">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EE2174">
              <w:rPr>
                <w:rFonts w:ascii="Arial" w:hAnsi="Arial" w:cs="Arial"/>
                <w:sz w:val="22"/>
              </w:rPr>
              <w:t>Across Washington</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C5B5FCD" w14:textId="34FF9A66" w:rsidR="00BA499B" w:rsidRPr="00EE2174" w:rsidRDefault="00BA499B" w:rsidP="006B22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EE2174">
              <w:rPr>
                <w:rFonts w:ascii="Arial" w:hAnsi="Arial" w:cs="Arial"/>
                <w:sz w:val="22"/>
              </w:rPr>
              <w:t>P</w:t>
            </w:r>
            <w:r w:rsidR="00D65961">
              <w:rPr>
                <w:rFonts w:ascii="Arial" w:hAnsi="Arial" w:cs="Arial"/>
                <w:sz w:val="22"/>
              </w:rPr>
              <w:t>.</w:t>
            </w:r>
            <w:r w:rsidRPr="00EE2174">
              <w:rPr>
                <w:rFonts w:ascii="Arial" w:hAnsi="Arial" w:cs="Arial"/>
                <w:sz w:val="22"/>
              </w:rPr>
              <w:t>O</w:t>
            </w:r>
            <w:r w:rsidR="00D65961">
              <w:rPr>
                <w:rFonts w:ascii="Arial" w:hAnsi="Arial" w:cs="Arial"/>
                <w:sz w:val="22"/>
              </w:rPr>
              <w:t>.</w:t>
            </w:r>
            <w:r w:rsidRPr="00EE2174">
              <w:rPr>
                <w:rFonts w:ascii="Arial" w:hAnsi="Arial" w:cs="Arial"/>
                <w:sz w:val="22"/>
              </w:rPr>
              <w:t xml:space="preserve"> Box 46700 </w:t>
            </w:r>
            <w:r w:rsidR="006B22F7">
              <w:rPr>
                <w:rFonts w:ascii="Arial" w:hAnsi="Arial" w:cs="Arial"/>
                <w:sz w:val="22"/>
              </w:rPr>
              <w:br/>
            </w:r>
            <w:r w:rsidRPr="00EE2174">
              <w:rPr>
                <w:rFonts w:ascii="Arial" w:hAnsi="Arial" w:cs="Arial"/>
                <w:sz w:val="22"/>
              </w:rPr>
              <w:t>Olympia, WA 98504</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87710E4" w14:textId="77777777" w:rsidR="00BA499B" w:rsidRPr="00EE2174" w:rsidRDefault="00BA499B" w:rsidP="00132116">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EE2174">
              <w:rPr>
                <w:rFonts w:ascii="Arial" w:hAnsi="Arial" w:cs="Arial"/>
                <w:sz w:val="22"/>
              </w:rPr>
              <w:t>360-407-6000</w:t>
            </w:r>
          </w:p>
        </w:tc>
      </w:tr>
    </w:tbl>
    <w:p w14:paraId="2285F124" w14:textId="77777777" w:rsidR="00BA499B" w:rsidRDefault="00BA499B">
      <w:pPr>
        <w:ind w:left="720"/>
        <w:rPr>
          <w:rFonts w:ascii="Franklin Gothic Medium" w:hAnsi="Franklin Gothic Medium"/>
          <w:b/>
          <w:sz w:val="40"/>
          <w:szCs w:val="40"/>
        </w:rPr>
      </w:pPr>
      <w:r>
        <w:br w:type="page"/>
      </w:r>
    </w:p>
    <w:p w14:paraId="0780AA34" w14:textId="77777777" w:rsidR="003E73B5" w:rsidRPr="009B72B9" w:rsidRDefault="003E73B5" w:rsidP="009B72B9">
      <w:pPr>
        <w:pStyle w:val="TitlePage"/>
        <w:spacing w:before="1800"/>
      </w:pPr>
      <w:r w:rsidRPr="009B72B9">
        <w:lastRenderedPageBreak/>
        <w:t>Preliminary Regulatory Analyses</w:t>
      </w:r>
    </w:p>
    <w:p w14:paraId="6E0E423D" w14:textId="77777777" w:rsidR="003E73B5" w:rsidRPr="00EE2174" w:rsidRDefault="003E73B5" w:rsidP="009B72B9">
      <w:pPr>
        <w:pStyle w:val="RMSubtitleRAcontents"/>
        <w:spacing w:after="120"/>
        <w:ind w:left="1440"/>
      </w:pPr>
      <w:r w:rsidRPr="00EE2174">
        <w:t xml:space="preserve">Including the: </w:t>
      </w:r>
    </w:p>
    <w:p w14:paraId="34100497" w14:textId="77777777" w:rsidR="003E73B5" w:rsidRPr="00EE2174" w:rsidRDefault="003E73B5" w:rsidP="00990024">
      <w:pPr>
        <w:pStyle w:val="RMSubtitleRAcontents"/>
        <w:numPr>
          <w:ilvl w:val="0"/>
          <w:numId w:val="48"/>
        </w:numPr>
        <w:spacing w:after="120"/>
      </w:pPr>
      <w:r w:rsidRPr="00EE2174">
        <w:t>Preliminary Cost-Benefit Analysis</w:t>
      </w:r>
    </w:p>
    <w:p w14:paraId="658CD405" w14:textId="77777777" w:rsidR="003E73B5" w:rsidRPr="00EE2174" w:rsidRDefault="003E73B5" w:rsidP="00990024">
      <w:pPr>
        <w:pStyle w:val="RMSubtitleRAcontents"/>
        <w:numPr>
          <w:ilvl w:val="0"/>
          <w:numId w:val="48"/>
        </w:numPr>
        <w:spacing w:after="120"/>
      </w:pPr>
      <w:r w:rsidRPr="00EE2174">
        <w:t>Least-Burdensome Alternative Analysis</w:t>
      </w:r>
    </w:p>
    <w:p w14:paraId="66AEA260" w14:textId="77777777" w:rsidR="003E73B5" w:rsidRPr="00EE2174" w:rsidRDefault="003E73B5" w:rsidP="00990024">
      <w:pPr>
        <w:pStyle w:val="RMSubtitleRAcontents"/>
        <w:numPr>
          <w:ilvl w:val="0"/>
          <w:numId w:val="48"/>
        </w:numPr>
        <w:spacing w:after="120"/>
      </w:pPr>
      <w:r w:rsidRPr="00EE2174">
        <w:t>Administrative Procedure Act Determinations</w:t>
      </w:r>
    </w:p>
    <w:p w14:paraId="54981F8E" w14:textId="77777777" w:rsidR="003E73B5" w:rsidRPr="00EE2174" w:rsidRDefault="003E73B5" w:rsidP="00990024">
      <w:pPr>
        <w:pStyle w:val="RMSubtitleRAcontents"/>
        <w:numPr>
          <w:ilvl w:val="0"/>
          <w:numId w:val="48"/>
        </w:numPr>
      </w:pPr>
      <w:r w:rsidRPr="00EE2174">
        <w:t>Regulatory Fairness Act Compliance</w:t>
      </w:r>
    </w:p>
    <w:p w14:paraId="6AFF6CE4" w14:textId="785B212D" w:rsidR="003E73B5" w:rsidRPr="009B72B9" w:rsidRDefault="003E73B5" w:rsidP="009B72B9">
      <w:pPr>
        <w:pStyle w:val="RMSubtitleWACandTitle"/>
        <w:ind w:left="1440"/>
      </w:pPr>
      <w:r w:rsidRPr="009B72B9">
        <w:t xml:space="preserve">Chapter </w:t>
      </w:r>
      <w:r w:rsidR="007F4CA0" w:rsidRPr="009B72B9">
        <w:t>173</w:t>
      </w:r>
      <w:r w:rsidRPr="009B72B9">
        <w:t>-</w:t>
      </w:r>
      <w:r w:rsidR="007F4CA0" w:rsidRPr="009B72B9">
        <w:t>925</w:t>
      </w:r>
      <w:r w:rsidR="00EE2174" w:rsidRPr="009B72B9">
        <w:t xml:space="preserve"> WAC, </w:t>
      </w:r>
      <w:r w:rsidR="000C7507">
        <w:t>Postconsumer</w:t>
      </w:r>
      <w:r w:rsidR="007F4CA0" w:rsidRPr="009B72B9">
        <w:t xml:space="preserve"> </w:t>
      </w:r>
      <w:r w:rsidR="001B24CF" w:rsidRPr="009B72B9">
        <w:t>Recycled</w:t>
      </w:r>
      <w:r w:rsidR="007F4CA0" w:rsidRPr="009B72B9">
        <w:t xml:space="preserve"> Content</w:t>
      </w:r>
      <w:r w:rsidR="008A02A1" w:rsidRPr="009B72B9">
        <w:t xml:space="preserve"> </w:t>
      </w:r>
      <w:r w:rsidR="00EF5E8B" w:rsidRPr="009B72B9">
        <w:t xml:space="preserve">in </w:t>
      </w:r>
      <w:r w:rsidR="008A02A1" w:rsidRPr="009B72B9">
        <w:t>Plastic Container</w:t>
      </w:r>
      <w:r w:rsidR="00EF5E8B" w:rsidRPr="009B72B9">
        <w:t>s</w:t>
      </w:r>
    </w:p>
    <w:p w14:paraId="6111D28B" w14:textId="4D12F264" w:rsidR="00192E69" w:rsidRDefault="000268D6" w:rsidP="00CB00B6">
      <w:pPr>
        <w:tabs>
          <w:tab w:val="left" w:pos="2250"/>
        </w:tabs>
        <w:spacing w:before="100" w:beforeAutospacing="1" w:after="0"/>
        <w:jc w:val="center"/>
        <w:rPr>
          <w:rFonts w:cstheme="minorHAnsi"/>
          <w:sz w:val="28"/>
          <w:szCs w:val="28"/>
        </w:rPr>
      </w:pPr>
      <w:r>
        <w:rPr>
          <w:rFonts w:cstheme="minorHAnsi"/>
          <w:sz w:val="28"/>
          <w:szCs w:val="28"/>
        </w:rPr>
        <w:t>Solid Waste Management</w:t>
      </w:r>
      <w:r w:rsidR="00192E69">
        <w:rPr>
          <w:rFonts w:cstheme="minorHAnsi"/>
          <w:sz w:val="28"/>
          <w:szCs w:val="28"/>
        </w:rPr>
        <w:t xml:space="preserve"> Program</w:t>
      </w:r>
      <w:r w:rsidR="00CB00B6">
        <w:rPr>
          <w:rFonts w:cstheme="minorHAnsi"/>
          <w:sz w:val="28"/>
          <w:szCs w:val="28"/>
        </w:rPr>
        <w:br/>
      </w:r>
      <w:r w:rsidR="00192E69" w:rsidRPr="00544C71">
        <w:rPr>
          <w:rFonts w:cstheme="minorHAnsi"/>
          <w:sz w:val="28"/>
          <w:szCs w:val="28"/>
        </w:rPr>
        <w:t>Washington</w:t>
      </w:r>
      <w:r w:rsidR="00192E69">
        <w:rPr>
          <w:rFonts w:cstheme="minorHAnsi"/>
          <w:sz w:val="28"/>
          <w:szCs w:val="28"/>
        </w:rPr>
        <w:t xml:space="preserve"> State</w:t>
      </w:r>
      <w:r w:rsidR="00192E69" w:rsidRPr="00544C71">
        <w:rPr>
          <w:rFonts w:cstheme="minorHAnsi"/>
          <w:sz w:val="28"/>
          <w:szCs w:val="28"/>
        </w:rPr>
        <w:t xml:space="preserve"> Department of Ecology</w:t>
      </w:r>
      <w:r w:rsidR="00CB00B6">
        <w:rPr>
          <w:rFonts w:cstheme="minorHAnsi"/>
          <w:sz w:val="28"/>
          <w:szCs w:val="28"/>
        </w:rPr>
        <w:br/>
      </w:r>
      <w:r w:rsidR="00A54F85" w:rsidRPr="000268D6">
        <w:rPr>
          <w:rFonts w:cstheme="minorHAnsi"/>
          <w:sz w:val="28"/>
          <w:szCs w:val="28"/>
        </w:rPr>
        <w:t>Olympia</w:t>
      </w:r>
      <w:r w:rsidR="00192E69" w:rsidRPr="000268D6">
        <w:rPr>
          <w:rFonts w:cstheme="minorHAnsi"/>
          <w:sz w:val="28"/>
          <w:szCs w:val="28"/>
        </w:rPr>
        <w:t>, WA</w:t>
      </w:r>
    </w:p>
    <w:p w14:paraId="03C70FB7" w14:textId="3995B092" w:rsidR="00C111F8" w:rsidRDefault="003264C9" w:rsidP="00A54F85">
      <w:pPr>
        <w:tabs>
          <w:tab w:val="left" w:pos="2610"/>
        </w:tabs>
        <w:spacing w:before="600" w:after="0"/>
        <w:jc w:val="center"/>
        <w:rPr>
          <w:rFonts w:cstheme="minorHAnsi"/>
          <w:b/>
          <w:sz w:val="28"/>
          <w:szCs w:val="28"/>
        </w:rPr>
      </w:pPr>
      <w:r>
        <w:rPr>
          <w:rFonts w:cstheme="minorHAnsi"/>
          <w:b/>
          <w:sz w:val="28"/>
          <w:szCs w:val="28"/>
        </w:rPr>
        <w:t>May</w:t>
      </w:r>
      <w:r w:rsidR="000268D6" w:rsidRPr="000268D6">
        <w:rPr>
          <w:rFonts w:cstheme="minorHAnsi"/>
          <w:b/>
          <w:sz w:val="28"/>
          <w:szCs w:val="28"/>
        </w:rPr>
        <w:t xml:space="preserve"> 2023</w:t>
      </w:r>
      <w:r w:rsidR="00192E69" w:rsidRPr="00814041">
        <w:rPr>
          <w:rFonts w:cstheme="minorHAnsi"/>
          <w:b/>
          <w:sz w:val="28"/>
          <w:szCs w:val="28"/>
        </w:rPr>
        <w:t xml:space="preserve"> | Publication </w:t>
      </w:r>
      <w:r w:rsidR="00F569BE">
        <w:rPr>
          <w:rFonts w:cstheme="minorHAnsi"/>
          <w:b/>
          <w:sz w:val="28"/>
          <w:szCs w:val="28"/>
        </w:rPr>
        <w:t>23-07-031</w:t>
      </w:r>
    </w:p>
    <w:p w14:paraId="06B2A491" w14:textId="453B126E" w:rsidR="00192E69" w:rsidRPr="00814041" w:rsidRDefault="00925BAE" w:rsidP="000268D6">
      <w:pPr>
        <w:tabs>
          <w:tab w:val="left" w:pos="2610"/>
        </w:tabs>
        <w:spacing w:before="1560" w:after="0"/>
        <w:jc w:val="center"/>
        <w:rPr>
          <w:rFonts w:cstheme="minorHAnsi"/>
          <w:b/>
          <w:sz w:val="28"/>
          <w:szCs w:val="28"/>
        </w:rPr>
      </w:pPr>
      <w:r>
        <w:rPr>
          <w:noProof/>
        </w:rPr>
        <w:drawing>
          <wp:inline distT="0" distB="0" distL="0" distR="0" wp14:anchorId="1AC55391" wp14:editId="3B11C19B">
            <wp:extent cx="2169994" cy="2442017"/>
            <wp:effectExtent l="0" t="0" r="0" b="0"/>
            <wp:docPr id="10" name="Picture 10"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ms/sites/CE/Logo%20Self%20Service1/ecylogo-vert-ko-gray.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9994" cy="2442017"/>
                    </a:xfrm>
                    <a:prstGeom prst="rect">
                      <a:avLst/>
                    </a:prstGeom>
                    <a:noFill/>
                    <a:ln>
                      <a:noFill/>
                    </a:ln>
                  </pic:spPr>
                </pic:pic>
              </a:graphicData>
            </a:graphic>
          </wp:inline>
        </w:drawing>
      </w:r>
    </w:p>
    <w:p w14:paraId="0E60144A" w14:textId="77777777" w:rsidR="00DD525B" w:rsidRPr="00DD525B" w:rsidRDefault="00DD525B" w:rsidP="00A746E4">
      <w:pPr>
        <w:pStyle w:val="FrontMatterH2"/>
        <w:sectPr w:rsidR="00DD525B" w:rsidRPr="00DD525B" w:rsidSect="00CC7C68">
          <w:footerReference w:type="default" r:id="rId20"/>
          <w:pgSz w:w="12240" w:h="15840" w:code="1"/>
          <w:pgMar w:top="1170" w:right="1440" w:bottom="1440" w:left="1440" w:header="720" w:footer="720" w:gutter="0"/>
          <w:pgNumType w:start="3"/>
          <w:cols w:space="720"/>
          <w:noEndnote/>
          <w:titlePg/>
          <w:docGrid w:linePitch="326"/>
        </w:sectPr>
      </w:pPr>
    </w:p>
    <w:p w14:paraId="16F7048C" w14:textId="77777777" w:rsidR="00D5571C" w:rsidRDefault="00D5571C" w:rsidP="00DE1A35">
      <w:pPr>
        <w:pStyle w:val="RMChaptertitle"/>
      </w:pPr>
      <w:bookmarkStart w:id="4" w:name="_Toc132187778"/>
      <w:r w:rsidRPr="008E2A16">
        <w:lastRenderedPageBreak/>
        <w:t>Table of Contents</w:t>
      </w:r>
      <w:bookmarkEnd w:id="4"/>
    </w:p>
    <w:p w14:paraId="1D889A43" w14:textId="3CC0DAB0" w:rsidR="00406A98" w:rsidRDefault="008E2A16">
      <w:pPr>
        <w:pStyle w:val="TOC1"/>
        <w:rPr>
          <w:rFonts w:eastAsiaTheme="minorEastAsia" w:cstheme="minorBidi"/>
          <w:b w:val="0"/>
          <w:bCs w:val="0"/>
          <w:noProof/>
          <w:sz w:val="22"/>
          <w:szCs w:val="22"/>
        </w:rPr>
      </w:pPr>
      <w:r>
        <w:fldChar w:fldCharType="begin"/>
      </w:r>
      <w:r>
        <w:instrText xml:space="preserve"> TOC \h \z \t "RM Chapter title,1,RM Section X.X,2,RM Section X.X.X,3" </w:instrText>
      </w:r>
      <w:r>
        <w:fldChar w:fldCharType="separate"/>
      </w:r>
      <w:hyperlink w:anchor="_Toc132187778" w:history="1">
        <w:r w:rsidR="00406A98" w:rsidRPr="00CB7C2A">
          <w:rPr>
            <w:rStyle w:val="Hyperlink"/>
            <w:noProof/>
          </w:rPr>
          <w:t>Table of Contents</w:t>
        </w:r>
        <w:r w:rsidR="00406A98">
          <w:rPr>
            <w:noProof/>
            <w:webHidden/>
          </w:rPr>
          <w:tab/>
        </w:r>
        <w:r w:rsidR="00406A98">
          <w:rPr>
            <w:noProof/>
            <w:webHidden/>
          </w:rPr>
          <w:fldChar w:fldCharType="begin"/>
        </w:r>
        <w:r w:rsidR="00406A98">
          <w:rPr>
            <w:noProof/>
            <w:webHidden/>
          </w:rPr>
          <w:instrText xml:space="preserve"> PAGEREF _Toc132187778 \h </w:instrText>
        </w:r>
        <w:r w:rsidR="00406A98">
          <w:rPr>
            <w:noProof/>
            <w:webHidden/>
          </w:rPr>
        </w:r>
        <w:r w:rsidR="00406A98">
          <w:rPr>
            <w:noProof/>
            <w:webHidden/>
          </w:rPr>
          <w:fldChar w:fldCharType="separate"/>
        </w:r>
        <w:r w:rsidR="00406A98">
          <w:rPr>
            <w:noProof/>
            <w:webHidden/>
          </w:rPr>
          <w:t>5</w:t>
        </w:r>
        <w:r w:rsidR="00406A98">
          <w:rPr>
            <w:noProof/>
            <w:webHidden/>
          </w:rPr>
          <w:fldChar w:fldCharType="end"/>
        </w:r>
      </w:hyperlink>
    </w:p>
    <w:p w14:paraId="1C92B6F0" w14:textId="5CB18478" w:rsidR="00406A98" w:rsidRDefault="00000000">
      <w:pPr>
        <w:pStyle w:val="TOC1"/>
        <w:rPr>
          <w:rFonts w:eastAsiaTheme="minorEastAsia" w:cstheme="minorBidi"/>
          <w:b w:val="0"/>
          <w:bCs w:val="0"/>
          <w:noProof/>
          <w:sz w:val="22"/>
          <w:szCs w:val="22"/>
        </w:rPr>
      </w:pPr>
      <w:hyperlink w:anchor="_Toc132187779" w:history="1">
        <w:r w:rsidR="00406A98" w:rsidRPr="00CB7C2A">
          <w:rPr>
            <w:rStyle w:val="Hyperlink"/>
            <w:noProof/>
          </w:rPr>
          <w:t>Tables</w:t>
        </w:r>
        <w:r w:rsidR="00406A98">
          <w:rPr>
            <w:noProof/>
            <w:webHidden/>
          </w:rPr>
          <w:tab/>
        </w:r>
        <w:r w:rsidR="00406A98">
          <w:rPr>
            <w:noProof/>
            <w:webHidden/>
          </w:rPr>
          <w:fldChar w:fldCharType="begin"/>
        </w:r>
        <w:r w:rsidR="00406A98">
          <w:rPr>
            <w:noProof/>
            <w:webHidden/>
          </w:rPr>
          <w:instrText xml:space="preserve"> PAGEREF _Toc132187779 \h </w:instrText>
        </w:r>
        <w:r w:rsidR="00406A98">
          <w:rPr>
            <w:noProof/>
            <w:webHidden/>
          </w:rPr>
        </w:r>
        <w:r w:rsidR="00406A98">
          <w:rPr>
            <w:noProof/>
            <w:webHidden/>
          </w:rPr>
          <w:fldChar w:fldCharType="separate"/>
        </w:r>
        <w:r w:rsidR="00406A98">
          <w:rPr>
            <w:noProof/>
            <w:webHidden/>
          </w:rPr>
          <w:t>7</w:t>
        </w:r>
        <w:r w:rsidR="00406A98">
          <w:rPr>
            <w:noProof/>
            <w:webHidden/>
          </w:rPr>
          <w:fldChar w:fldCharType="end"/>
        </w:r>
      </w:hyperlink>
    </w:p>
    <w:p w14:paraId="4380CA50" w14:textId="62D8E5B2" w:rsidR="00406A98" w:rsidRDefault="00000000">
      <w:pPr>
        <w:pStyle w:val="TOC1"/>
        <w:rPr>
          <w:rFonts w:eastAsiaTheme="minorEastAsia" w:cstheme="minorBidi"/>
          <w:b w:val="0"/>
          <w:bCs w:val="0"/>
          <w:noProof/>
          <w:sz w:val="22"/>
          <w:szCs w:val="22"/>
        </w:rPr>
      </w:pPr>
      <w:hyperlink w:anchor="_Toc132187780" w:history="1">
        <w:r w:rsidR="00406A98" w:rsidRPr="00CB7C2A">
          <w:rPr>
            <w:rStyle w:val="Hyperlink"/>
            <w:noProof/>
          </w:rPr>
          <w:t>Abbreviations</w:t>
        </w:r>
        <w:r w:rsidR="00406A98">
          <w:rPr>
            <w:noProof/>
            <w:webHidden/>
          </w:rPr>
          <w:tab/>
        </w:r>
        <w:r w:rsidR="00406A98">
          <w:rPr>
            <w:noProof/>
            <w:webHidden/>
          </w:rPr>
          <w:fldChar w:fldCharType="begin"/>
        </w:r>
        <w:r w:rsidR="00406A98">
          <w:rPr>
            <w:noProof/>
            <w:webHidden/>
          </w:rPr>
          <w:instrText xml:space="preserve"> PAGEREF _Toc132187780 \h </w:instrText>
        </w:r>
        <w:r w:rsidR="00406A98">
          <w:rPr>
            <w:noProof/>
            <w:webHidden/>
          </w:rPr>
        </w:r>
        <w:r w:rsidR="00406A98">
          <w:rPr>
            <w:noProof/>
            <w:webHidden/>
          </w:rPr>
          <w:fldChar w:fldCharType="separate"/>
        </w:r>
        <w:r w:rsidR="00406A98">
          <w:rPr>
            <w:noProof/>
            <w:webHidden/>
          </w:rPr>
          <w:t>8</w:t>
        </w:r>
        <w:r w:rsidR="00406A98">
          <w:rPr>
            <w:noProof/>
            <w:webHidden/>
          </w:rPr>
          <w:fldChar w:fldCharType="end"/>
        </w:r>
      </w:hyperlink>
    </w:p>
    <w:p w14:paraId="3EDE3096" w14:textId="13DFBD7D" w:rsidR="00406A98" w:rsidRDefault="00000000">
      <w:pPr>
        <w:pStyle w:val="TOC1"/>
        <w:rPr>
          <w:rFonts w:eastAsiaTheme="minorEastAsia" w:cstheme="minorBidi"/>
          <w:b w:val="0"/>
          <w:bCs w:val="0"/>
          <w:noProof/>
          <w:sz w:val="22"/>
          <w:szCs w:val="22"/>
        </w:rPr>
      </w:pPr>
      <w:hyperlink w:anchor="_Toc132187781" w:history="1">
        <w:r w:rsidR="00406A98" w:rsidRPr="00CB7C2A">
          <w:rPr>
            <w:rStyle w:val="Hyperlink"/>
            <w:noProof/>
          </w:rPr>
          <w:t>Executive Summary</w:t>
        </w:r>
        <w:r w:rsidR="00406A98">
          <w:rPr>
            <w:noProof/>
            <w:webHidden/>
          </w:rPr>
          <w:tab/>
        </w:r>
        <w:r w:rsidR="00406A98">
          <w:rPr>
            <w:noProof/>
            <w:webHidden/>
          </w:rPr>
          <w:fldChar w:fldCharType="begin"/>
        </w:r>
        <w:r w:rsidR="00406A98">
          <w:rPr>
            <w:noProof/>
            <w:webHidden/>
          </w:rPr>
          <w:instrText xml:space="preserve"> PAGEREF _Toc132187781 \h </w:instrText>
        </w:r>
        <w:r w:rsidR="00406A98">
          <w:rPr>
            <w:noProof/>
            <w:webHidden/>
          </w:rPr>
        </w:r>
        <w:r w:rsidR="00406A98">
          <w:rPr>
            <w:noProof/>
            <w:webHidden/>
          </w:rPr>
          <w:fldChar w:fldCharType="separate"/>
        </w:r>
        <w:r w:rsidR="00406A98">
          <w:rPr>
            <w:noProof/>
            <w:webHidden/>
          </w:rPr>
          <w:t>9</w:t>
        </w:r>
        <w:r w:rsidR="00406A98">
          <w:rPr>
            <w:noProof/>
            <w:webHidden/>
          </w:rPr>
          <w:fldChar w:fldCharType="end"/>
        </w:r>
      </w:hyperlink>
    </w:p>
    <w:p w14:paraId="6CFAB5F1" w14:textId="31863685" w:rsidR="00406A98" w:rsidRDefault="00000000">
      <w:pPr>
        <w:pStyle w:val="TOC3"/>
        <w:rPr>
          <w:rFonts w:eastAsiaTheme="minorEastAsia" w:cstheme="minorBidi"/>
          <w:noProof/>
          <w:sz w:val="22"/>
          <w:szCs w:val="22"/>
        </w:rPr>
      </w:pPr>
      <w:hyperlink w:anchor="_Toc132187782" w:history="1">
        <w:r w:rsidR="00406A98" w:rsidRPr="00CB7C2A">
          <w:rPr>
            <w:rStyle w:val="Hyperlink"/>
            <w:noProof/>
          </w:rPr>
          <w:t>Registration and reporting</w:t>
        </w:r>
        <w:r w:rsidR="00406A98">
          <w:rPr>
            <w:noProof/>
            <w:webHidden/>
          </w:rPr>
          <w:tab/>
        </w:r>
        <w:r w:rsidR="00406A98">
          <w:rPr>
            <w:noProof/>
            <w:webHidden/>
          </w:rPr>
          <w:fldChar w:fldCharType="begin"/>
        </w:r>
        <w:r w:rsidR="00406A98">
          <w:rPr>
            <w:noProof/>
            <w:webHidden/>
          </w:rPr>
          <w:instrText xml:space="preserve"> PAGEREF _Toc132187782 \h </w:instrText>
        </w:r>
        <w:r w:rsidR="00406A98">
          <w:rPr>
            <w:noProof/>
            <w:webHidden/>
          </w:rPr>
        </w:r>
        <w:r w:rsidR="00406A98">
          <w:rPr>
            <w:noProof/>
            <w:webHidden/>
          </w:rPr>
          <w:fldChar w:fldCharType="separate"/>
        </w:r>
        <w:r w:rsidR="00406A98">
          <w:rPr>
            <w:noProof/>
            <w:webHidden/>
          </w:rPr>
          <w:t>11</w:t>
        </w:r>
        <w:r w:rsidR="00406A98">
          <w:rPr>
            <w:noProof/>
            <w:webHidden/>
          </w:rPr>
          <w:fldChar w:fldCharType="end"/>
        </w:r>
      </w:hyperlink>
    </w:p>
    <w:p w14:paraId="6922DB61" w14:textId="7DC69E24" w:rsidR="00406A98" w:rsidRDefault="00000000">
      <w:pPr>
        <w:pStyle w:val="TOC3"/>
        <w:rPr>
          <w:rFonts w:eastAsiaTheme="minorEastAsia" w:cstheme="minorBidi"/>
          <w:noProof/>
          <w:sz w:val="22"/>
          <w:szCs w:val="22"/>
        </w:rPr>
      </w:pPr>
      <w:hyperlink w:anchor="_Toc132187783" w:history="1">
        <w:r w:rsidR="00406A98" w:rsidRPr="00CB7C2A">
          <w:rPr>
            <w:rStyle w:val="Hyperlink"/>
            <w:noProof/>
          </w:rPr>
          <w:t>De minimis notifications</w:t>
        </w:r>
        <w:r w:rsidR="00406A98">
          <w:rPr>
            <w:noProof/>
            <w:webHidden/>
          </w:rPr>
          <w:tab/>
        </w:r>
        <w:r w:rsidR="00406A98">
          <w:rPr>
            <w:noProof/>
            <w:webHidden/>
          </w:rPr>
          <w:fldChar w:fldCharType="begin"/>
        </w:r>
        <w:r w:rsidR="00406A98">
          <w:rPr>
            <w:noProof/>
            <w:webHidden/>
          </w:rPr>
          <w:instrText xml:space="preserve"> PAGEREF _Toc132187783 \h </w:instrText>
        </w:r>
        <w:r w:rsidR="00406A98">
          <w:rPr>
            <w:noProof/>
            <w:webHidden/>
          </w:rPr>
        </w:r>
        <w:r w:rsidR="00406A98">
          <w:rPr>
            <w:noProof/>
            <w:webHidden/>
          </w:rPr>
          <w:fldChar w:fldCharType="separate"/>
        </w:r>
        <w:r w:rsidR="00406A98">
          <w:rPr>
            <w:noProof/>
            <w:webHidden/>
          </w:rPr>
          <w:t>12</w:t>
        </w:r>
        <w:r w:rsidR="00406A98">
          <w:rPr>
            <w:noProof/>
            <w:webHidden/>
          </w:rPr>
          <w:fldChar w:fldCharType="end"/>
        </w:r>
      </w:hyperlink>
    </w:p>
    <w:p w14:paraId="794709C0" w14:textId="6DD82EB9" w:rsidR="00406A98" w:rsidRDefault="00000000">
      <w:pPr>
        <w:pStyle w:val="TOC3"/>
        <w:rPr>
          <w:rFonts w:eastAsiaTheme="minorEastAsia" w:cstheme="minorBidi"/>
          <w:noProof/>
          <w:sz w:val="22"/>
          <w:szCs w:val="22"/>
        </w:rPr>
      </w:pPr>
      <w:hyperlink w:anchor="_Toc132187784" w:history="1">
        <w:r w:rsidR="00406A98" w:rsidRPr="00CB7C2A">
          <w:rPr>
            <w:rStyle w:val="Hyperlink"/>
            <w:noProof/>
          </w:rPr>
          <w:t>Fee allocations</w:t>
        </w:r>
        <w:r w:rsidR="00406A98">
          <w:rPr>
            <w:noProof/>
            <w:webHidden/>
          </w:rPr>
          <w:tab/>
        </w:r>
        <w:r w:rsidR="00406A98">
          <w:rPr>
            <w:noProof/>
            <w:webHidden/>
          </w:rPr>
          <w:fldChar w:fldCharType="begin"/>
        </w:r>
        <w:r w:rsidR="00406A98">
          <w:rPr>
            <w:noProof/>
            <w:webHidden/>
          </w:rPr>
          <w:instrText xml:space="preserve"> PAGEREF _Toc132187784 \h </w:instrText>
        </w:r>
        <w:r w:rsidR="00406A98">
          <w:rPr>
            <w:noProof/>
            <w:webHidden/>
          </w:rPr>
        </w:r>
        <w:r w:rsidR="00406A98">
          <w:rPr>
            <w:noProof/>
            <w:webHidden/>
          </w:rPr>
          <w:fldChar w:fldCharType="separate"/>
        </w:r>
        <w:r w:rsidR="00406A98">
          <w:rPr>
            <w:noProof/>
            <w:webHidden/>
          </w:rPr>
          <w:t>12</w:t>
        </w:r>
        <w:r w:rsidR="00406A98">
          <w:rPr>
            <w:noProof/>
            <w:webHidden/>
          </w:rPr>
          <w:fldChar w:fldCharType="end"/>
        </w:r>
      </w:hyperlink>
    </w:p>
    <w:p w14:paraId="354E1212" w14:textId="6A94098B" w:rsidR="00406A98" w:rsidRDefault="00000000">
      <w:pPr>
        <w:pStyle w:val="TOC3"/>
        <w:rPr>
          <w:rFonts w:eastAsiaTheme="minorEastAsia" w:cstheme="minorBidi"/>
          <w:noProof/>
          <w:sz w:val="22"/>
          <w:szCs w:val="22"/>
        </w:rPr>
      </w:pPr>
      <w:hyperlink w:anchor="_Toc132187785" w:history="1">
        <w:r w:rsidR="00406A98" w:rsidRPr="00CB7C2A">
          <w:rPr>
            <w:rStyle w:val="Hyperlink"/>
            <w:noProof/>
          </w:rPr>
          <w:t>Temporary exclusions and adjustments</w:t>
        </w:r>
        <w:r w:rsidR="00406A98">
          <w:rPr>
            <w:noProof/>
            <w:webHidden/>
          </w:rPr>
          <w:tab/>
        </w:r>
        <w:r w:rsidR="00406A98">
          <w:rPr>
            <w:noProof/>
            <w:webHidden/>
          </w:rPr>
          <w:fldChar w:fldCharType="begin"/>
        </w:r>
        <w:r w:rsidR="00406A98">
          <w:rPr>
            <w:noProof/>
            <w:webHidden/>
          </w:rPr>
          <w:instrText xml:space="preserve"> PAGEREF _Toc132187785 \h </w:instrText>
        </w:r>
        <w:r w:rsidR="00406A98">
          <w:rPr>
            <w:noProof/>
            <w:webHidden/>
          </w:rPr>
        </w:r>
        <w:r w:rsidR="00406A98">
          <w:rPr>
            <w:noProof/>
            <w:webHidden/>
          </w:rPr>
          <w:fldChar w:fldCharType="separate"/>
        </w:r>
        <w:r w:rsidR="00406A98">
          <w:rPr>
            <w:noProof/>
            <w:webHidden/>
          </w:rPr>
          <w:t>12</w:t>
        </w:r>
        <w:r w:rsidR="00406A98">
          <w:rPr>
            <w:noProof/>
            <w:webHidden/>
          </w:rPr>
          <w:fldChar w:fldCharType="end"/>
        </w:r>
      </w:hyperlink>
    </w:p>
    <w:p w14:paraId="0F18182E" w14:textId="7B553C3F" w:rsidR="00406A98" w:rsidRDefault="00000000">
      <w:pPr>
        <w:pStyle w:val="TOC3"/>
        <w:rPr>
          <w:rFonts w:eastAsiaTheme="minorEastAsia" w:cstheme="minorBidi"/>
          <w:noProof/>
          <w:sz w:val="22"/>
          <w:szCs w:val="22"/>
        </w:rPr>
      </w:pPr>
      <w:hyperlink w:anchor="_Toc132187786" w:history="1">
        <w:r w:rsidR="00406A98" w:rsidRPr="00CB7C2A">
          <w:rPr>
            <w:rStyle w:val="Hyperlink"/>
            <w:noProof/>
          </w:rPr>
          <w:t>Timing of audit documents</w:t>
        </w:r>
        <w:r w:rsidR="00406A98">
          <w:rPr>
            <w:noProof/>
            <w:webHidden/>
          </w:rPr>
          <w:tab/>
        </w:r>
        <w:r w:rsidR="00406A98">
          <w:rPr>
            <w:noProof/>
            <w:webHidden/>
          </w:rPr>
          <w:fldChar w:fldCharType="begin"/>
        </w:r>
        <w:r w:rsidR="00406A98">
          <w:rPr>
            <w:noProof/>
            <w:webHidden/>
          </w:rPr>
          <w:instrText xml:space="preserve"> PAGEREF _Toc132187786 \h </w:instrText>
        </w:r>
        <w:r w:rsidR="00406A98">
          <w:rPr>
            <w:noProof/>
            <w:webHidden/>
          </w:rPr>
        </w:r>
        <w:r w:rsidR="00406A98">
          <w:rPr>
            <w:noProof/>
            <w:webHidden/>
          </w:rPr>
          <w:fldChar w:fldCharType="separate"/>
        </w:r>
        <w:r w:rsidR="00406A98">
          <w:rPr>
            <w:noProof/>
            <w:webHidden/>
          </w:rPr>
          <w:t>13</w:t>
        </w:r>
        <w:r w:rsidR="00406A98">
          <w:rPr>
            <w:noProof/>
            <w:webHidden/>
          </w:rPr>
          <w:fldChar w:fldCharType="end"/>
        </w:r>
      </w:hyperlink>
    </w:p>
    <w:p w14:paraId="2A6455CF" w14:textId="74B03FD7" w:rsidR="00406A98" w:rsidRDefault="00000000">
      <w:pPr>
        <w:pStyle w:val="TOC3"/>
        <w:rPr>
          <w:rFonts w:eastAsiaTheme="minorEastAsia" w:cstheme="minorBidi"/>
          <w:noProof/>
          <w:sz w:val="22"/>
          <w:szCs w:val="22"/>
        </w:rPr>
      </w:pPr>
      <w:hyperlink w:anchor="_Toc132187787" w:history="1">
        <w:r w:rsidR="00406A98" w:rsidRPr="00CB7C2A">
          <w:rPr>
            <w:rStyle w:val="Hyperlink"/>
            <w:noProof/>
          </w:rPr>
          <w:t>Noncompliance notifications</w:t>
        </w:r>
        <w:r w:rsidR="00406A98">
          <w:rPr>
            <w:noProof/>
            <w:webHidden/>
          </w:rPr>
          <w:tab/>
        </w:r>
        <w:r w:rsidR="00406A98">
          <w:rPr>
            <w:noProof/>
            <w:webHidden/>
          </w:rPr>
          <w:fldChar w:fldCharType="begin"/>
        </w:r>
        <w:r w:rsidR="00406A98">
          <w:rPr>
            <w:noProof/>
            <w:webHidden/>
          </w:rPr>
          <w:instrText xml:space="preserve"> PAGEREF _Toc132187787 \h </w:instrText>
        </w:r>
        <w:r w:rsidR="00406A98">
          <w:rPr>
            <w:noProof/>
            <w:webHidden/>
          </w:rPr>
        </w:r>
        <w:r w:rsidR="00406A98">
          <w:rPr>
            <w:noProof/>
            <w:webHidden/>
          </w:rPr>
          <w:fldChar w:fldCharType="separate"/>
        </w:r>
        <w:r w:rsidR="00406A98">
          <w:rPr>
            <w:noProof/>
            <w:webHidden/>
          </w:rPr>
          <w:t>13</w:t>
        </w:r>
        <w:r w:rsidR="00406A98">
          <w:rPr>
            <w:noProof/>
            <w:webHidden/>
          </w:rPr>
          <w:fldChar w:fldCharType="end"/>
        </w:r>
      </w:hyperlink>
    </w:p>
    <w:p w14:paraId="663CA968" w14:textId="7293619E" w:rsidR="00406A98" w:rsidRDefault="00000000">
      <w:pPr>
        <w:pStyle w:val="TOC3"/>
        <w:rPr>
          <w:rFonts w:eastAsiaTheme="minorEastAsia" w:cstheme="minorBidi"/>
          <w:noProof/>
          <w:sz w:val="22"/>
          <w:szCs w:val="22"/>
        </w:rPr>
      </w:pPr>
      <w:hyperlink w:anchor="_Toc132187788" w:history="1">
        <w:r w:rsidR="00406A98" w:rsidRPr="00CB7C2A">
          <w:rPr>
            <w:rStyle w:val="Hyperlink"/>
            <w:noProof/>
          </w:rPr>
          <w:t>Determination</w:t>
        </w:r>
        <w:r w:rsidR="00406A98">
          <w:rPr>
            <w:noProof/>
            <w:webHidden/>
          </w:rPr>
          <w:tab/>
        </w:r>
        <w:r w:rsidR="00406A98">
          <w:rPr>
            <w:noProof/>
            <w:webHidden/>
          </w:rPr>
          <w:fldChar w:fldCharType="begin"/>
        </w:r>
        <w:r w:rsidR="00406A98">
          <w:rPr>
            <w:noProof/>
            <w:webHidden/>
          </w:rPr>
          <w:instrText xml:space="preserve"> PAGEREF _Toc132187788 \h </w:instrText>
        </w:r>
        <w:r w:rsidR="00406A98">
          <w:rPr>
            <w:noProof/>
            <w:webHidden/>
          </w:rPr>
        </w:r>
        <w:r w:rsidR="00406A98">
          <w:rPr>
            <w:noProof/>
            <w:webHidden/>
          </w:rPr>
          <w:fldChar w:fldCharType="separate"/>
        </w:r>
        <w:r w:rsidR="00406A98">
          <w:rPr>
            <w:noProof/>
            <w:webHidden/>
          </w:rPr>
          <w:t>13</w:t>
        </w:r>
        <w:r w:rsidR="00406A98">
          <w:rPr>
            <w:noProof/>
            <w:webHidden/>
          </w:rPr>
          <w:fldChar w:fldCharType="end"/>
        </w:r>
      </w:hyperlink>
    </w:p>
    <w:p w14:paraId="403BF85D" w14:textId="430DA0D7" w:rsidR="00406A98" w:rsidRDefault="00000000">
      <w:pPr>
        <w:pStyle w:val="TOC3"/>
        <w:rPr>
          <w:rFonts w:eastAsiaTheme="minorEastAsia" w:cstheme="minorBidi"/>
          <w:noProof/>
          <w:sz w:val="22"/>
          <w:szCs w:val="22"/>
        </w:rPr>
      </w:pPr>
      <w:hyperlink w:anchor="_Toc132187789" w:history="1">
        <w:r w:rsidR="00406A98" w:rsidRPr="00CB7C2A">
          <w:rPr>
            <w:rStyle w:val="Hyperlink"/>
            <w:noProof/>
          </w:rPr>
          <w:t>Alternatives considered</w:t>
        </w:r>
        <w:r w:rsidR="00406A98">
          <w:rPr>
            <w:noProof/>
            <w:webHidden/>
          </w:rPr>
          <w:tab/>
        </w:r>
        <w:r w:rsidR="00406A98">
          <w:rPr>
            <w:noProof/>
            <w:webHidden/>
          </w:rPr>
          <w:fldChar w:fldCharType="begin"/>
        </w:r>
        <w:r w:rsidR="00406A98">
          <w:rPr>
            <w:noProof/>
            <w:webHidden/>
          </w:rPr>
          <w:instrText xml:space="preserve"> PAGEREF _Toc132187789 \h </w:instrText>
        </w:r>
        <w:r w:rsidR="00406A98">
          <w:rPr>
            <w:noProof/>
            <w:webHidden/>
          </w:rPr>
        </w:r>
        <w:r w:rsidR="00406A98">
          <w:rPr>
            <w:noProof/>
            <w:webHidden/>
          </w:rPr>
          <w:fldChar w:fldCharType="separate"/>
        </w:r>
        <w:r w:rsidR="00406A98">
          <w:rPr>
            <w:noProof/>
            <w:webHidden/>
          </w:rPr>
          <w:t>14</w:t>
        </w:r>
        <w:r w:rsidR="00406A98">
          <w:rPr>
            <w:noProof/>
            <w:webHidden/>
          </w:rPr>
          <w:fldChar w:fldCharType="end"/>
        </w:r>
      </w:hyperlink>
    </w:p>
    <w:p w14:paraId="57B3CBBE" w14:textId="6C9FACC7" w:rsidR="00406A98" w:rsidRDefault="00000000">
      <w:pPr>
        <w:pStyle w:val="TOC3"/>
        <w:rPr>
          <w:rFonts w:eastAsiaTheme="minorEastAsia" w:cstheme="minorBidi"/>
          <w:noProof/>
          <w:sz w:val="22"/>
          <w:szCs w:val="22"/>
        </w:rPr>
      </w:pPr>
      <w:hyperlink w:anchor="_Toc132187790" w:history="1">
        <w:r w:rsidR="00406A98" w:rsidRPr="00CB7C2A">
          <w:rPr>
            <w:rStyle w:val="Hyperlink"/>
            <w:noProof/>
          </w:rPr>
          <w:t>Determination</w:t>
        </w:r>
        <w:r w:rsidR="00406A98">
          <w:rPr>
            <w:noProof/>
            <w:webHidden/>
          </w:rPr>
          <w:tab/>
        </w:r>
        <w:r w:rsidR="00406A98">
          <w:rPr>
            <w:noProof/>
            <w:webHidden/>
          </w:rPr>
          <w:fldChar w:fldCharType="begin"/>
        </w:r>
        <w:r w:rsidR="00406A98">
          <w:rPr>
            <w:noProof/>
            <w:webHidden/>
          </w:rPr>
          <w:instrText xml:space="preserve"> PAGEREF _Toc132187790 \h </w:instrText>
        </w:r>
        <w:r w:rsidR="00406A98">
          <w:rPr>
            <w:noProof/>
            <w:webHidden/>
          </w:rPr>
        </w:r>
        <w:r w:rsidR="00406A98">
          <w:rPr>
            <w:noProof/>
            <w:webHidden/>
          </w:rPr>
          <w:fldChar w:fldCharType="separate"/>
        </w:r>
        <w:r w:rsidR="00406A98">
          <w:rPr>
            <w:noProof/>
            <w:webHidden/>
          </w:rPr>
          <w:t>15</w:t>
        </w:r>
        <w:r w:rsidR="00406A98">
          <w:rPr>
            <w:noProof/>
            <w:webHidden/>
          </w:rPr>
          <w:fldChar w:fldCharType="end"/>
        </w:r>
      </w:hyperlink>
    </w:p>
    <w:p w14:paraId="279C2E90" w14:textId="6FD55ECC" w:rsidR="00406A98" w:rsidRDefault="00000000">
      <w:pPr>
        <w:pStyle w:val="TOC1"/>
        <w:rPr>
          <w:rFonts w:eastAsiaTheme="minorEastAsia" w:cstheme="minorBidi"/>
          <w:b w:val="0"/>
          <w:bCs w:val="0"/>
          <w:noProof/>
          <w:sz w:val="22"/>
          <w:szCs w:val="22"/>
        </w:rPr>
      </w:pPr>
      <w:hyperlink w:anchor="_Toc132187791" w:history="1">
        <w:r w:rsidR="00406A98" w:rsidRPr="00CB7C2A">
          <w:rPr>
            <w:rStyle w:val="Hyperlink"/>
            <w:noProof/>
          </w:rPr>
          <w:t>Chapter 1: Background and Introduction</w:t>
        </w:r>
        <w:r w:rsidR="00406A98">
          <w:rPr>
            <w:noProof/>
            <w:webHidden/>
          </w:rPr>
          <w:tab/>
        </w:r>
        <w:r w:rsidR="00406A98">
          <w:rPr>
            <w:noProof/>
            <w:webHidden/>
          </w:rPr>
          <w:fldChar w:fldCharType="begin"/>
        </w:r>
        <w:r w:rsidR="00406A98">
          <w:rPr>
            <w:noProof/>
            <w:webHidden/>
          </w:rPr>
          <w:instrText xml:space="preserve"> PAGEREF _Toc132187791 \h </w:instrText>
        </w:r>
        <w:r w:rsidR="00406A98">
          <w:rPr>
            <w:noProof/>
            <w:webHidden/>
          </w:rPr>
        </w:r>
        <w:r w:rsidR="00406A98">
          <w:rPr>
            <w:noProof/>
            <w:webHidden/>
          </w:rPr>
          <w:fldChar w:fldCharType="separate"/>
        </w:r>
        <w:r w:rsidR="00406A98">
          <w:rPr>
            <w:noProof/>
            <w:webHidden/>
          </w:rPr>
          <w:t>18</w:t>
        </w:r>
        <w:r w:rsidR="00406A98">
          <w:rPr>
            <w:noProof/>
            <w:webHidden/>
          </w:rPr>
          <w:fldChar w:fldCharType="end"/>
        </w:r>
      </w:hyperlink>
    </w:p>
    <w:p w14:paraId="2DB30B6D" w14:textId="705019F6" w:rsidR="00406A98" w:rsidRDefault="00000000">
      <w:pPr>
        <w:pStyle w:val="TOC3"/>
        <w:rPr>
          <w:rFonts w:eastAsiaTheme="minorEastAsia" w:cstheme="minorBidi"/>
          <w:noProof/>
          <w:sz w:val="22"/>
          <w:szCs w:val="22"/>
        </w:rPr>
      </w:pPr>
      <w:hyperlink w:anchor="_Toc132187792" w:history="1">
        <w:r w:rsidR="00406A98" w:rsidRPr="00CB7C2A">
          <w:rPr>
            <w:rStyle w:val="Hyperlink"/>
            <w:noProof/>
          </w:rPr>
          <w:t>1.1.1 Background</w:t>
        </w:r>
        <w:r w:rsidR="00406A98">
          <w:rPr>
            <w:noProof/>
            <w:webHidden/>
          </w:rPr>
          <w:tab/>
        </w:r>
        <w:r w:rsidR="00406A98">
          <w:rPr>
            <w:noProof/>
            <w:webHidden/>
          </w:rPr>
          <w:fldChar w:fldCharType="begin"/>
        </w:r>
        <w:r w:rsidR="00406A98">
          <w:rPr>
            <w:noProof/>
            <w:webHidden/>
          </w:rPr>
          <w:instrText xml:space="preserve"> PAGEREF _Toc132187792 \h </w:instrText>
        </w:r>
        <w:r w:rsidR="00406A98">
          <w:rPr>
            <w:noProof/>
            <w:webHidden/>
          </w:rPr>
        </w:r>
        <w:r w:rsidR="00406A98">
          <w:rPr>
            <w:noProof/>
            <w:webHidden/>
          </w:rPr>
          <w:fldChar w:fldCharType="separate"/>
        </w:r>
        <w:r w:rsidR="00406A98">
          <w:rPr>
            <w:noProof/>
            <w:webHidden/>
          </w:rPr>
          <w:t>18</w:t>
        </w:r>
        <w:r w:rsidR="00406A98">
          <w:rPr>
            <w:noProof/>
            <w:webHidden/>
          </w:rPr>
          <w:fldChar w:fldCharType="end"/>
        </w:r>
      </w:hyperlink>
    </w:p>
    <w:p w14:paraId="48CA2884" w14:textId="32954E5E" w:rsidR="00406A98" w:rsidRDefault="00000000">
      <w:pPr>
        <w:pStyle w:val="TOC1"/>
        <w:rPr>
          <w:rFonts w:eastAsiaTheme="minorEastAsia" w:cstheme="minorBidi"/>
          <w:b w:val="0"/>
          <w:bCs w:val="0"/>
          <w:noProof/>
          <w:sz w:val="22"/>
          <w:szCs w:val="22"/>
        </w:rPr>
      </w:pPr>
      <w:hyperlink w:anchor="_Toc132187793" w:history="1">
        <w:r w:rsidR="00406A98" w:rsidRPr="00CB7C2A">
          <w:rPr>
            <w:rStyle w:val="Hyperlink"/>
            <w:noProof/>
          </w:rPr>
          <w:t>Chapter 2: Baseline and Proposed Rule</w:t>
        </w:r>
        <w:r w:rsidR="00406A98">
          <w:rPr>
            <w:noProof/>
            <w:webHidden/>
          </w:rPr>
          <w:tab/>
        </w:r>
        <w:r w:rsidR="00406A98">
          <w:rPr>
            <w:noProof/>
            <w:webHidden/>
          </w:rPr>
          <w:fldChar w:fldCharType="begin"/>
        </w:r>
        <w:r w:rsidR="00406A98">
          <w:rPr>
            <w:noProof/>
            <w:webHidden/>
          </w:rPr>
          <w:instrText xml:space="preserve"> PAGEREF _Toc132187793 \h </w:instrText>
        </w:r>
        <w:r w:rsidR="00406A98">
          <w:rPr>
            <w:noProof/>
            <w:webHidden/>
          </w:rPr>
        </w:r>
        <w:r w:rsidR="00406A98">
          <w:rPr>
            <w:noProof/>
            <w:webHidden/>
          </w:rPr>
          <w:fldChar w:fldCharType="separate"/>
        </w:r>
        <w:r w:rsidR="00406A98">
          <w:rPr>
            <w:noProof/>
            <w:webHidden/>
          </w:rPr>
          <w:t>21</w:t>
        </w:r>
        <w:r w:rsidR="00406A98">
          <w:rPr>
            <w:noProof/>
            <w:webHidden/>
          </w:rPr>
          <w:fldChar w:fldCharType="end"/>
        </w:r>
      </w:hyperlink>
    </w:p>
    <w:p w14:paraId="0E813A94" w14:textId="6468F37A" w:rsidR="00406A98" w:rsidRDefault="00000000">
      <w:pPr>
        <w:pStyle w:val="TOC3"/>
        <w:rPr>
          <w:rFonts w:eastAsiaTheme="minorEastAsia" w:cstheme="minorBidi"/>
          <w:noProof/>
          <w:sz w:val="22"/>
          <w:szCs w:val="22"/>
        </w:rPr>
      </w:pPr>
      <w:hyperlink w:anchor="_Toc132187794" w:history="1">
        <w:r w:rsidR="00406A98" w:rsidRPr="00CB7C2A">
          <w:rPr>
            <w:rStyle w:val="Hyperlink"/>
            <w:noProof/>
          </w:rPr>
          <w:t>2.3.1 Adding or Clarifying Definitions Necessary for Implementation of the Rule</w:t>
        </w:r>
        <w:r w:rsidR="00406A98">
          <w:rPr>
            <w:noProof/>
            <w:webHidden/>
          </w:rPr>
          <w:tab/>
        </w:r>
        <w:r w:rsidR="00406A98">
          <w:rPr>
            <w:noProof/>
            <w:webHidden/>
          </w:rPr>
          <w:fldChar w:fldCharType="begin"/>
        </w:r>
        <w:r w:rsidR="00406A98">
          <w:rPr>
            <w:noProof/>
            <w:webHidden/>
          </w:rPr>
          <w:instrText xml:space="preserve"> PAGEREF _Toc132187794 \h </w:instrText>
        </w:r>
        <w:r w:rsidR="00406A98">
          <w:rPr>
            <w:noProof/>
            <w:webHidden/>
          </w:rPr>
        </w:r>
        <w:r w:rsidR="00406A98">
          <w:rPr>
            <w:noProof/>
            <w:webHidden/>
          </w:rPr>
          <w:fldChar w:fldCharType="separate"/>
        </w:r>
        <w:r w:rsidR="00406A98">
          <w:rPr>
            <w:noProof/>
            <w:webHidden/>
          </w:rPr>
          <w:t>21</w:t>
        </w:r>
        <w:r w:rsidR="00406A98">
          <w:rPr>
            <w:noProof/>
            <w:webHidden/>
          </w:rPr>
          <w:fldChar w:fldCharType="end"/>
        </w:r>
      </w:hyperlink>
    </w:p>
    <w:p w14:paraId="0EB10574" w14:textId="6100EFDC" w:rsidR="00406A98" w:rsidRDefault="00000000">
      <w:pPr>
        <w:pStyle w:val="TOC3"/>
        <w:rPr>
          <w:rFonts w:eastAsiaTheme="minorEastAsia" w:cstheme="minorBidi"/>
          <w:noProof/>
          <w:sz w:val="22"/>
          <w:szCs w:val="22"/>
        </w:rPr>
      </w:pPr>
      <w:hyperlink w:anchor="_Toc132187795" w:history="1">
        <w:r w:rsidR="00406A98" w:rsidRPr="00CB7C2A">
          <w:rPr>
            <w:rStyle w:val="Hyperlink"/>
            <w:noProof/>
          </w:rPr>
          <w:t>2.3.2 Setting requirements for registration and reporting</w:t>
        </w:r>
        <w:r w:rsidR="00406A98">
          <w:rPr>
            <w:noProof/>
            <w:webHidden/>
          </w:rPr>
          <w:tab/>
        </w:r>
        <w:r w:rsidR="00406A98">
          <w:rPr>
            <w:noProof/>
            <w:webHidden/>
          </w:rPr>
          <w:fldChar w:fldCharType="begin"/>
        </w:r>
        <w:r w:rsidR="00406A98">
          <w:rPr>
            <w:noProof/>
            <w:webHidden/>
          </w:rPr>
          <w:instrText xml:space="preserve"> PAGEREF _Toc132187795 \h </w:instrText>
        </w:r>
        <w:r w:rsidR="00406A98">
          <w:rPr>
            <w:noProof/>
            <w:webHidden/>
          </w:rPr>
        </w:r>
        <w:r w:rsidR="00406A98">
          <w:rPr>
            <w:noProof/>
            <w:webHidden/>
          </w:rPr>
          <w:fldChar w:fldCharType="separate"/>
        </w:r>
        <w:r w:rsidR="00406A98">
          <w:rPr>
            <w:noProof/>
            <w:webHidden/>
          </w:rPr>
          <w:t>23</w:t>
        </w:r>
        <w:r w:rsidR="00406A98">
          <w:rPr>
            <w:noProof/>
            <w:webHidden/>
          </w:rPr>
          <w:fldChar w:fldCharType="end"/>
        </w:r>
      </w:hyperlink>
    </w:p>
    <w:p w14:paraId="382AE3C5" w14:textId="66374C15" w:rsidR="00406A98" w:rsidRDefault="00000000">
      <w:pPr>
        <w:pStyle w:val="TOC3"/>
        <w:rPr>
          <w:rFonts w:eastAsiaTheme="minorEastAsia" w:cstheme="minorBidi"/>
          <w:noProof/>
          <w:sz w:val="22"/>
          <w:szCs w:val="22"/>
        </w:rPr>
      </w:pPr>
      <w:hyperlink w:anchor="_Toc132187796" w:history="1">
        <w:r w:rsidR="00406A98" w:rsidRPr="00CB7C2A">
          <w:rPr>
            <w:rStyle w:val="Hyperlink"/>
            <w:noProof/>
          </w:rPr>
          <w:t>2.3.3 Establishing fee allocation methods and billing procedures</w:t>
        </w:r>
        <w:r w:rsidR="00406A98">
          <w:rPr>
            <w:noProof/>
            <w:webHidden/>
          </w:rPr>
          <w:tab/>
        </w:r>
        <w:r w:rsidR="00406A98">
          <w:rPr>
            <w:noProof/>
            <w:webHidden/>
          </w:rPr>
          <w:fldChar w:fldCharType="begin"/>
        </w:r>
        <w:r w:rsidR="00406A98">
          <w:rPr>
            <w:noProof/>
            <w:webHidden/>
          </w:rPr>
          <w:instrText xml:space="preserve"> PAGEREF _Toc132187796 \h </w:instrText>
        </w:r>
        <w:r w:rsidR="00406A98">
          <w:rPr>
            <w:noProof/>
            <w:webHidden/>
          </w:rPr>
        </w:r>
        <w:r w:rsidR="00406A98">
          <w:rPr>
            <w:noProof/>
            <w:webHidden/>
          </w:rPr>
          <w:fldChar w:fldCharType="separate"/>
        </w:r>
        <w:r w:rsidR="00406A98">
          <w:rPr>
            <w:noProof/>
            <w:webHidden/>
          </w:rPr>
          <w:t>24</w:t>
        </w:r>
        <w:r w:rsidR="00406A98">
          <w:rPr>
            <w:noProof/>
            <w:webHidden/>
          </w:rPr>
          <w:fldChar w:fldCharType="end"/>
        </w:r>
      </w:hyperlink>
    </w:p>
    <w:p w14:paraId="6070D1FC" w14:textId="2216696F" w:rsidR="00406A98" w:rsidRDefault="00000000">
      <w:pPr>
        <w:pStyle w:val="TOC3"/>
        <w:rPr>
          <w:rFonts w:eastAsiaTheme="minorEastAsia" w:cstheme="minorBidi"/>
          <w:noProof/>
          <w:sz w:val="22"/>
          <w:szCs w:val="22"/>
        </w:rPr>
      </w:pPr>
      <w:hyperlink w:anchor="_Toc132187797" w:history="1">
        <w:r w:rsidR="00406A98" w:rsidRPr="00CB7C2A">
          <w:rPr>
            <w:rStyle w:val="Hyperlink"/>
            <w:noProof/>
          </w:rPr>
          <w:t>2.3.4 Adding specific requirements for PCRC weight calculations</w:t>
        </w:r>
        <w:r w:rsidR="00406A98">
          <w:rPr>
            <w:noProof/>
            <w:webHidden/>
          </w:rPr>
          <w:tab/>
        </w:r>
        <w:r w:rsidR="00406A98">
          <w:rPr>
            <w:noProof/>
            <w:webHidden/>
          </w:rPr>
          <w:fldChar w:fldCharType="begin"/>
        </w:r>
        <w:r w:rsidR="00406A98">
          <w:rPr>
            <w:noProof/>
            <w:webHidden/>
          </w:rPr>
          <w:instrText xml:space="preserve"> PAGEREF _Toc132187797 \h </w:instrText>
        </w:r>
        <w:r w:rsidR="00406A98">
          <w:rPr>
            <w:noProof/>
            <w:webHidden/>
          </w:rPr>
        </w:r>
        <w:r w:rsidR="00406A98">
          <w:rPr>
            <w:noProof/>
            <w:webHidden/>
          </w:rPr>
          <w:fldChar w:fldCharType="separate"/>
        </w:r>
        <w:r w:rsidR="00406A98">
          <w:rPr>
            <w:noProof/>
            <w:webHidden/>
          </w:rPr>
          <w:t>24</w:t>
        </w:r>
        <w:r w:rsidR="00406A98">
          <w:rPr>
            <w:noProof/>
            <w:webHidden/>
          </w:rPr>
          <w:fldChar w:fldCharType="end"/>
        </w:r>
      </w:hyperlink>
    </w:p>
    <w:p w14:paraId="63348D15" w14:textId="23AA2364" w:rsidR="00406A98" w:rsidRDefault="00000000">
      <w:pPr>
        <w:pStyle w:val="TOC3"/>
        <w:rPr>
          <w:rFonts w:eastAsiaTheme="minorEastAsia" w:cstheme="minorBidi"/>
          <w:noProof/>
          <w:sz w:val="22"/>
          <w:szCs w:val="22"/>
        </w:rPr>
      </w:pPr>
      <w:hyperlink w:anchor="_Toc132187798" w:history="1">
        <w:r w:rsidR="00406A98" w:rsidRPr="00CB7C2A">
          <w:rPr>
            <w:rStyle w:val="Hyperlink"/>
            <w:noProof/>
          </w:rPr>
          <w:t>2.3.5 Establishing requirements for temporary exclusion and adjustment requests</w:t>
        </w:r>
        <w:r w:rsidR="00406A98">
          <w:rPr>
            <w:noProof/>
            <w:webHidden/>
          </w:rPr>
          <w:tab/>
        </w:r>
        <w:r w:rsidR="00406A98">
          <w:rPr>
            <w:noProof/>
            <w:webHidden/>
          </w:rPr>
          <w:fldChar w:fldCharType="begin"/>
        </w:r>
        <w:r w:rsidR="00406A98">
          <w:rPr>
            <w:noProof/>
            <w:webHidden/>
          </w:rPr>
          <w:instrText xml:space="preserve"> PAGEREF _Toc132187798 \h </w:instrText>
        </w:r>
        <w:r w:rsidR="00406A98">
          <w:rPr>
            <w:noProof/>
            <w:webHidden/>
          </w:rPr>
        </w:r>
        <w:r w:rsidR="00406A98">
          <w:rPr>
            <w:noProof/>
            <w:webHidden/>
          </w:rPr>
          <w:fldChar w:fldCharType="separate"/>
        </w:r>
        <w:r w:rsidR="00406A98">
          <w:rPr>
            <w:noProof/>
            <w:webHidden/>
          </w:rPr>
          <w:t>26</w:t>
        </w:r>
        <w:r w:rsidR="00406A98">
          <w:rPr>
            <w:noProof/>
            <w:webHidden/>
          </w:rPr>
          <w:fldChar w:fldCharType="end"/>
        </w:r>
      </w:hyperlink>
    </w:p>
    <w:p w14:paraId="721544FA" w14:textId="73A0CA4E" w:rsidR="00406A98" w:rsidRDefault="00000000">
      <w:pPr>
        <w:pStyle w:val="TOC3"/>
        <w:rPr>
          <w:rFonts w:eastAsiaTheme="minorEastAsia" w:cstheme="minorBidi"/>
          <w:noProof/>
          <w:sz w:val="22"/>
          <w:szCs w:val="22"/>
        </w:rPr>
      </w:pPr>
      <w:hyperlink w:anchor="_Toc132187799" w:history="1">
        <w:r w:rsidR="00406A98" w:rsidRPr="00CB7C2A">
          <w:rPr>
            <w:rStyle w:val="Hyperlink"/>
            <w:noProof/>
          </w:rPr>
          <w:t>2.3.6 Limit timing for providing necessary audit documentation</w:t>
        </w:r>
        <w:r w:rsidR="00406A98">
          <w:rPr>
            <w:noProof/>
            <w:webHidden/>
          </w:rPr>
          <w:tab/>
        </w:r>
        <w:r w:rsidR="00406A98">
          <w:rPr>
            <w:noProof/>
            <w:webHidden/>
          </w:rPr>
          <w:fldChar w:fldCharType="begin"/>
        </w:r>
        <w:r w:rsidR="00406A98">
          <w:rPr>
            <w:noProof/>
            <w:webHidden/>
          </w:rPr>
          <w:instrText xml:space="preserve"> PAGEREF _Toc132187799 \h </w:instrText>
        </w:r>
        <w:r w:rsidR="00406A98">
          <w:rPr>
            <w:noProof/>
            <w:webHidden/>
          </w:rPr>
        </w:r>
        <w:r w:rsidR="00406A98">
          <w:rPr>
            <w:noProof/>
            <w:webHidden/>
          </w:rPr>
          <w:fldChar w:fldCharType="separate"/>
        </w:r>
        <w:r w:rsidR="00406A98">
          <w:rPr>
            <w:noProof/>
            <w:webHidden/>
          </w:rPr>
          <w:t>27</w:t>
        </w:r>
        <w:r w:rsidR="00406A98">
          <w:rPr>
            <w:noProof/>
            <w:webHidden/>
          </w:rPr>
          <w:fldChar w:fldCharType="end"/>
        </w:r>
      </w:hyperlink>
    </w:p>
    <w:p w14:paraId="35042FAB" w14:textId="7C8646AD" w:rsidR="00406A98" w:rsidRDefault="00000000">
      <w:pPr>
        <w:pStyle w:val="TOC3"/>
        <w:rPr>
          <w:rFonts w:eastAsiaTheme="minorEastAsia" w:cstheme="minorBidi"/>
          <w:noProof/>
          <w:sz w:val="22"/>
          <w:szCs w:val="22"/>
        </w:rPr>
      </w:pPr>
      <w:hyperlink w:anchor="_Toc132187800" w:history="1">
        <w:r w:rsidR="00406A98" w:rsidRPr="00CB7C2A">
          <w:rPr>
            <w:rStyle w:val="Hyperlink"/>
            <w:noProof/>
          </w:rPr>
          <w:t>2.3.7 Specifying procedures for warnings and penalties for noncompliance</w:t>
        </w:r>
        <w:r w:rsidR="00406A98">
          <w:rPr>
            <w:noProof/>
            <w:webHidden/>
          </w:rPr>
          <w:tab/>
        </w:r>
        <w:r w:rsidR="00406A98">
          <w:rPr>
            <w:noProof/>
            <w:webHidden/>
          </w:rPr>
          <w:fldChar w:fldCharType="begin"/>
        </w:r>
        <w:r w:rsidR="00406A98">
          <w:rPr>
            <w:noProof/>
            <w:webHidden/>
          </w:rPr>
          <w:instrText xml:space="preserve"> PAGEREF _Toc132187800 \h </w:instrText>
        </w:r>
        <w:r w:rsidR="00406A98">
          <w:rPr>
            <w:noProof/>
            <w:webHidden/>
          </w:rPr>
        </w:r>
        <w:r w:rsidR="00406A98">
          <w:rPr>
            <w:noProof/>
            <w:webHidden/>
          </w:rPr>
          <w:fldChar w:fldCharType="separate"/>
        </w:r>
        <w:r w:rsidR="00406A98">
          <w:rPr>
            <w:noProof/>
            <w:webHidden/>
          </w:rPr>
          <w:t>27</w:t>
        </w:r>
        <w:r w:rsidR="00406A98">
          <w:rPr>
            <w:noProof/>
            <w:webHidden/>
          </w:rPr>
          <w:fldChar w:fldCharType="end"/>
        </w:r>
      </w:hyperlink>
    </w:p>
    <w:p w14:paraId="7CA58EE8" w14:textId="5629848F" w:rsidR="00406A98" w:rsidRDefault="00000000">
      <w:pPr>
        <w:pStyle w:val="TOC1"/>
        <w:rPr>
          <w:rFonts w:eastAsiaTheme="minorEastAsia" w:cstheme="minorBidi"/>
          <w:b w:val="0"/>
          <w:bCs w:val="0"/>
          <w:noProof/>
          <w:sz w:val="22"/>
          <w:szCs w:val="22"/>
        </w:rPr>
      </w:pPr>
      <w:hyperlink w:anchor="_Toc132187801" w:history="1">
        <w:r w:rsidR="00406A98" w:rsidRPr="00CB7C2A">
          <w:rPr>
            <w:rStyle w:val="Hyperlink"/>
            <w:noProof/>
          </w:rPr>
          <w:t>Chapter 3: Likely Costs of the Proposed Rule</w:t>
        </w:r>
        <w:r w:rsidR="00406A98">
          <w:rPr>
            <w:noProof/>
            <w:webHidden/>
          </w:rPr>
          <w:tab/>
        </w:r>
        <w:r w:rsidR="00406A98">
          <w:rPr>
            <w:noProof/>
            <w:webHidden/>
          </w:rPr>
          <w:fldChar w:fldCharType="begin"/>
        </w:r>
        <w:r w:rsidR="00406A98">
          <w:rPr>
            <w:noProof/>
            <w:webHidden/>
          </w:rPr>
          <w:instrText xml:space="preserve"> PAGEREF _Toc132187801 \h </w:instrText>
        </w:r>
        <w:r w:rsidR="00406A98">
          <w:rPr>
            <w:noProof/>
            <w:webHidden/>
          </w:rPr>
        </w:r>
        <w:r w:rsidR="00406A98">
          <w:rPr>
            <w:noProof/>
            <w:webHidden/>
          </w:rPr>
          <w:fldChar w:fldCharType="separate"/>
        </w:r>
        <w:r w:rsidR="00406A98">
          <w:rPr>
            <w:noProof/>
            <w:webHidden/>
          </w:rPr>
          <w:t>29</w:t>
        </w:r>
        <w:r w:rsidR="00406A98">
          <w:rPr>
            <w:noProof/>
            <w:webHidden/>
          </w:rPr>
          <w:fldChar w:fldCharType="end"/>
        </w:r>
      </w:hyperlink>
    </w:p>
    <w:p w14:paraId="766847AC" w14:textId="3723AC21" w:rsidR="00406A98" w:rsidRDefault="00000000">
      <w:pPr>
        <w:pStyle w:val="TOC3"/>
        <w:rPr>
          <w:rFonts w:eastAsiaTheme="minorEastAsia" w:cstheme="minorBidi"/>
          <w:noProof/>
          <w:sz w:val="22"/>
          <w:szCs w:val="22"/>
        </w:rPr>
      </w:pPr>
      <w:hyperlink w:anchor="_Toc132187802" w:history="1">
        <w:r w:rsidR="00406A98" w:rsidRPr="00CB7C2A">
          <w:rPr>
            <w:rStyle w:val="Hyperlink"/>
            <w:noProof/>
          </w:rPr>
          <w:t>3.2.1 Adding or Clarifying Definitions Necessary for Implementation of the Rule</w:t>
        </w:r>
        <w:r w:rsidR="00406A98">
          <w:rPr>
            <w:noProof/>
            <w:webHidden/>
          </w:rPr>
          <w:tab/>
        </w:r>
        <w:r w:rsidR="00406A98">
          <w:rPr>
            <w:noProof/>
            <w:webHidden/>
          </w:rPr>
          <w:fldChar w:fldCharType="begin"/>
        </w:r>
        <w:r w:rsidR="00406A98">
          <w:rPr>
            <w:noProof/>
            <w:webHidden/>
          </w:rPr>
          <w:instrText xml:space="preserve"> PAGEREF _Toc132187802 \h </w:instrText>
        </w:r>
        <w:r w:rsidR="00406A98">
          <w:rPr>
            <w:noProof/>
            <w:webHidden/>
          </w:rPr>
        </w:r>
        <w:r w:rsidR="00406A98">
          <w:rPr>
            <w:noProof/>
            <w:webHidden/>
          </w:rPr>
          <w:fldChar w:fldCharType="separate"/>
        </w:r>
        <w:r w:rsidR="00406A98">
          <w:rPr>
            <w:noProof/>
            <w:webHidden/>
          </w:rPr>
          <w:t>29</w:t>
        </w:r>
        <w:r w:rsidR="00406A98">
          <w:rPr>
            <w:noProof/>
            <w:webHidden/>
          </w:rPr>
          <w:fldChar w:fldCharType="end"/>
        </w:r>
      </w:hyperlink>
    </w:p>
    <w:p w14:paraId="1992992F" w14:textId="2B745BA3" w:rsidR="00406A98" w:rsidRDefault="00000000">
      <w:pPr>
        <w:pStyle w:val="TOC3"/>
        <w:rPr>
          <w:rFonts w:eastAsiaTheme="minorEastAsia" w:cstheme="minorBidi"/>
          <w:noProof/>
          <w:sz w:val="22"/>
          <w:szCs w:val="22"/>
        </w:rPr>
      </w:pPr>
      <w:hyperlink w:anchor="_Toc132187803" w:history="1">
        <w:r w:rsidR="00406A98" w:rsidRPr="00CB7C2A">
          <w:rPr>
            <w:rStyle w:val="Hyperlink"/>
            <w:noProof/>
          </w:rPr>
          <w:t>3.2.2 Setting requirements for registration, reporting, and de minimis notifications</w:t>
        </w:r>
        <w:r w:rsidR="00406A98">
          <w:rPr>
            <w:noProof/>
            <w:webHidden/>
          </w:rPr>
          <w:tab/>
        </w:r>
        <w:r w:rsidR="00406A98">
          <w:rPr>
            <w:noProof/>
            <w:webHidden/>
          </w:rPr>
          <w:fldChar w:fldCharType="begin"/>
        </w:r>
        <w:r w:rsidR="00406A98">
          <w:rPr>
            <w:noProof/>
            <w:webHidden/>
          </w:rPr>
          <w:instrText xml:space="preserve"> PAGEREF _Toc132187803 \h </w:instrText>
        </w:r>
        <w:r w:rsidR="00406A98">
          <w:rPr>
            <w:noProof/>
            <w:webHidden/>
          </w:rPr>
        </w:r>
        <w:r w:rsidR="00406A98">
          <w:rPr>
            <w:noProof/>
            <w:webHidden/>
          </w:rPr>
          <w:fldChar w:fldCharType="separate"/>
        </w:r>
        <w:r w:rsidR="00406A98">
          <w:rPr>
            <w:noProof/>
            <w:webHidden/>
          </w:rPr>
          <w:t>30</w:t>
        </w:r>
        <w:r w:rsidR="00406A98">
          <w:rPr>
            <w:noProof/>
            <w:webHidden/>
          </w:rPr>
          <w:fldChar w:fldCharType="end"/>
        </w:r>
      </w:hyperlink>
    </w:p>
    <w:p w14:paraId="280B51C1" w14:textId="14F148D2" w:rsidR="00406A98" w:rsidRDefault="00000000">
      <w:pPr>
        <w:pStyle w:val="TOC3"/>
        <w:rPr>
          <w:rFonts w:eastAsiaTheme="minorEastAsia" w:cstheme="minorBidi"/>
          <w:noProof/>
          <w:sz w:val="22"/>
          <w:szCs w:val="22"/>
        </w:rPr>
      </w:pPr>
      <w:hyperlink w:anchor="_Toc132187804" w:history="1">
        <w:r w:rsidR="00406A98" w:rsidRPr="00CB7C2A">
          <w:rPr>
            <w:rStyle w:val="Hyperlink"/>
            <w:noProof/>
          </w:rPr>
          <w:t>3.2.3 Establishing fee allocation methods and billing procedures</w:t>
        </w:r>
        <w:r w:rsidR="00406A98">
          <w:rPr>
            <w:noProof/>
            <w:webHidden/>
          </w:rPr>
          <w:tab/>
        </w:r>
        <w:r w:rsidR="00406A98">
          <w:rPr>
            <w:noProof/>
            <w:webHidden/>
          </w:rPr>
          <w:fldChar w:fldCharType="begin"/>
        </w:r>
        <w:r w:rsidR="00406A98">
          <w:rPr>
            <w:noProof/>
            <w:webHidden/>
          </w:rPr>
          <w:instrText xml:space="preserve"> PAGEREF _Toc132187804 \h </w:instrText>
        </w:r>
        <w:r w:rsidR="00406A98">
          <w:rPr>
            <w:noProof/>
            <w:webHidden/>
          </w:rPr>
        </w:r>
        <w:r w:rsidR="00406A98">
          <w:rPr>
            <w:noProof/>
            <w:webHidden/>
          </w:rPr>
          <w:fldChar w:fldCharType="separate"/>
        </w:r>
        <w:r w:rsidR="00406A98">
          <w:rPr>
            <w:noProof/>
            <w:webHidden/>
          </w:rPr>
          <w:t>32</w:t>
        </w:r>
        <w:r w:rsidR="00406A98">
          <w:rPr>
            <w:noProof/>
            <w:webHidden/>
          </w:rPr>
          <w:fldChar w:fldCharType="end"/>
        </w:r>
      </w:hyperlink>
    </w:p>
    <w:p w14:paraId="554C1CFF" w14:textId="2514D97E" w:rsidR="00406A98" w:rsidRDefault="00000000">
      <w:pPr>
        <w:pStyle w:val="TOC3"/>
        <w:rPr>
          <w:rFonts w:eastAsiaTheme="minorEastAsia" w:cstheme="minorBidi"/>
          <w:noProof/>
          <w:sz w:val="22"/>
          <w:szCs w:val="22"/>
        </w:rPr>
      </w:pPr>
      <w:hyperlink w:anchor="_Toc132187805" w:history="1">
        <w:r w:rsidR="00406A98" w:rsidRPr="00CB7C2A">
          <w:rPr>
            <w:rStyle w:val="Hyperlink"/>
            <w:noProof/>
          </w:rPr>
          <w:t>3.2.4 Adding specific requirements for PCRC weight calculations</w:t>
        </w:r>
        <w:r w:rsidR="00406A98">
          <w:rPr>
            <w:noProof/>
            <w:webHidden/>
          </w:rPr>
          <w:tab/>
        </w:r>
        <w:r w:rsidR="00406A98">
          <w:rPr>
            <w:noProof/>
            <w:webHidden/>
          </w:rPr>
          <w:fldChar w:fldCharType="begin"/>
        </w:r>
        <w:r w:rsidR="00406A98">
          <w:rPr>
            <w:noProof/>
            <w:webHidden/>
          </w:rPr>
          <w:instrText xml:space="preserve"> PAGEREF _Toc132187805 \h </w:instrText>
        </w:r>
        <w:r w:rsidR="00406A98">
          <w:rPr>
            <w:noProof/>
            <w:webHidden/>
          </w:rPr>
        </w:r>
        <w:r w:rsidR="00406A98">
          <w:rPr>
            <w:noProof/>
            <w:webHidden/>
          </w:rPr>
          <w:fldChar w:fldCharType="separate"/>
        </w:r>
        <w:r w:rsidR="00406A98">
          <w:rPr>
            <w:noProof/>
            <w:webHidden/>
          </w:rPr>
          <w:t>36</w:t>
        </w:r>
        <w:r w:rsidR="00406A98">
          <w:rPr>
            <w:noProof/>
            <w:webHidden/>
          </w:rPr>
          <w:fldChar w:fldCharType="end"/>
        </w:r>
      </w:hyperlink>
    </w:p>
    <w:p w14:paraId="64015234" w14:textId="3F5A76B0" w:rsidR="00406A98" w:rsidRDefault="00000000">
      <w:pPr>
        <w:pStyle w:val="TOC3"/>
        <w:rPr>
          <w:rFonts w:eastAsiaTheme="minorEastAsia" w:cstheme="minorBidi"/>
          <w:noProof/>
          <w:sz w:val="22"/>
          <w:szCs w:val="22"/>
        </w:rPr>
      </w:pPr>
      <w:hyperlink w:anchor="_Toc132187806" w:history="1">
        <w:r w:rsidR="00406A98" w:rsidRPr="00CB7C2A">
          <w:rPr>
            <w:rStyle w:val="Hyperlink"/>
            <w:noProof/>
          </w:rPr>
          <w:t>3.2.5 Establishing requirements for temporary exclusion and adjustment requests</w:t>
        </w:r>
        <w:r w:rsidR="00406A98">
          <w:rPr>
            <w:noProof/>
            <w:webHidden/>
          </w:rPr>
          <w:tab/>
        </w:r>
        <w:r w:rsidR="00406A98">
          <w:rPr>
            <w:noProof/>
            <w:webHidden/>
          </w:rPr>
          <w:fldChar w:fldCharType="begin"/>
        </w:r>
        <w:r w:rsidR="00406A98">
          <w:rPr>
            <w:noProof/>
            <w:webHidden/>
          </w:rPr>
          <w:instrText xml:space="preserve"> PAGEREF _Toc132187806 \h </w:instrText>
        </w:r>
        <w:r w:rsidR="00406A98">
          <w:rPr>
            <w:noProof/>
            <w:webHidden/>
          </w:rPr>
        </w:r>
        <w:r w:rsidR="00406A98">
          <w:rPr>
            <w:noProof/>
            <w:webHidden/>
          </w:rPr>
          <w:fldChar w:fldCharType="separate"/>
        </w:r>
        <w:r w:rsidR="00406A98">
          <w:rPr>
            <w:noProof/>
            <w:webHidden/>
          </w:rPr>
          <w:t>36</w:t>
        </w:r>
        <w:r w:rsidR="00406A98">
          <w:rPr>
            <w:noProof/>
            <w:webHidden/>
          </w:rPr>
          <w:fldChar w:fldCharType="end"/>
        </w:r>
      </w:hyperlink>
    </w:p>
    <w:p w14:paraId="21BB807D" w14:textId="720319CE" w:rsidR="00406A98" w:rsidRDefault="00000000">
      <w:pPr>
        <w:pStyle w:val="TOC3"/>
        <w:rPr>
          <w:rFonts w:eastAsiaTheme="minorEastAsia" w:cstheme="minorBidi"/>
          <w:noProof/>
          <w:sz w:val="22"/>
          <w:szCs w:val="22"/>
        </w:rPr>
      </w:pPr>
      <w:hyperlink w:anchor="_Toc132187807" w:history="1">
        <w:r w:rsidR="00406A98" w:rsidRPr="00CB7C2A">
          <w:rPr>
            <w:rStyle w:val="Hyperlink"/>
            <w:noProof/>
          </w:rPr>
          <w:t>3.2.6 Limit timing for providing necessary audit documentation.</w:t>
        </w:r>
        <w:r w:rsidR="00406A98">
          <w:rPr>
            <w:noProof/>
            <w:webHidden/>
          </w:rPr>
          <w:tab/>
        </w:r>
        <w:r w:rsidR="00406A98">
          <w:rPr>
            <w:noProof/>
            <w:webHidden/>
          </w:rPr>
          <w:fldChar w:fldCharType="begin"/>
        </w:r>
        <w:r w:rsidR="00406A98">
          <w:rPr>
            <w:noProof/>
            <w:webHidden/>
          </w:rPr>
          <w:instrText xml:space="preserve"> PAGEREF _Toc132187807 \h </w:instrText>
        </w:r>
        <w:r w:rsidR="00406A98">
          <w:rPr>
            <w:noProof/>
            <w:webHidden/>
          </w:rPr>
        </w:r>
        <w:r w:rsidR="00406A98">
          <w:rPr>
            <w:noProof/>
            <w:webHidden/>
          </w:rPr>
          <w:fldChar w:fldCharType="separate"/>
        </w:r>
        <w:r w:rsidR="00406A98">
          <w:rPr>
            <w:noProof/>
            <w:webHidden/>
          </w:rPr>
          <w:t>40</w:t>
        </w:r>
        <w:r w:rsidR="00406A98">
          <w:rPr>
            <w:noProof/>
            <w:webHidden/>
          </w:rPr>
          <w:fldChar w:fldCharType="end"/>
        </w:r>
      </w:hyperlink>
    </w:p>
    <w:p w14:paraId="313D0EF5" w14:textId="7DDD3F2F" w:rsidR="00406A98" w:rsidRDefault="00000000">
      <w:pPr>
        <w:pStyle w:val="TOC3"/>
        <w:rPr>
          <w:rFonts w:eastAsiaTheme="minorEastAsia" w:cstheme="minorBidi"/>
          <w:noProof/>
          <w:sz w:val="22"/>
          <w:szCs w:val="22"/>
        </w:rPr>
      </w:pPr>
      <w:hyperlink w:anchor="_Toc132187808" w:history="1">
        <w:r w:rsidR="00406A98" w:rsidRPr="00CB7C2A">
          <w:rPr>
            <w:rStyle w:val="Hyperlink"/>
            <w:noProof/>
          </w:rPr>
          <w:t>3.2.7 Specifying procedures for warnings and penalties for noncompliance</w:t>
        </w:r>
        <w:r w:rsidR="00406A98">
          <w:rPr>
            <w:noProof/>
            <w:webHidden/>
          </w:rPr>
          <w:tab/>
        </w:r>
        <w:r w:rsidR="00406A98">
          <w:rPr>
            <w:noProof/>
            <w:webHidden/>
          </w:rPr>
          <w:fldChar w:fldCharType="begin"/>
        </w:r>
        <w:r w:rsidR="00406A98">
          <w:rPr>
            <w:noProof/>
            <w:webHidden/>
          </w:rPr>
          <w:instrText xml:space="preserve"> PAGEREF _Toc132187808 \h </w:instrText>
        </w:r>
        <w:r w:rsidR="00406A98">
          <w:rPr>
            <w:noProof/>
            <w:webHidden/>
          </w:rPr>
        </w:r>
        <w:r w:rsidR="00406A98">
          <w:rPr>
            <w:noProof/>
            <w:webHidden/>
          </w:rPr>
          <w:fldChar w:fldCharType="separate"/>
        </w:r>
        <w:r w:rsidR="00406A98">
          <w:rPr>
            <w:noProof/>
            <w:webHidden/>
          </w:rPr>
          <w:t>40</w:t>
        </w:r>
        <w:r w:rsidR="00406A98">
          <w:rPr>
            <w:noProof/>
            <w:webHidden/>
          </w:rPr>
          <w:fldChar w:fldCharType="end"/>
        </w:r>
      </w:hyperlink>
    </w:p>
    <w:p w14:paraId="0E7394CA" w14:textId="16D1001E" w:rsidR="00406A98" w:rsidRDefault="00000000">
      <w:pPr>
        <w:pStyle w:val="TOC1"/>
        <w:rPr>
          <w:rFonts w:eastAsiaTheme="minorEastAsia" w:cstheme="minorBidi"/>
          <w:b w:val="0"/>
          <w:bCs w:val="0"/>
          <w:noProof/>
          <w:sz w:val="22"/>
          <w:szCs w:val="22"/>
        </w:rPr>
      </w:pPr>
      <w:hyperlink w:anchor="_Toc132187809" w:history="1">
        <w:r w:rsidR="00406A98" w:rsidRPr="00CB7C2A">
          <w:rPr>
            <w:rStyle w:val="Hyperlink"/>
            <w:noProof/>
          </w:rPr>
          <w:t>Chapter 4: Likely Benefits of the Proposed Rule</w:t>
        </w:r>
        <w:r w:rsidR="00406A98">
          <w:rPr>
            <w:noProof/>
            <w:webHidden/>
          </w:rPr>
          <w:tab/>
        </w:r>
        <w:r w:rsidR="00406A98">
          <w:rPr>
            <w:noProof/>
            <w:webHidden/>
          </w:rPr>
          <w:fldChar w:fldCharType="begin"/>
        </w:r>
        <w:r w:rsidR="00406A98">
          <w:rPr>
            <w:noProof/>
            <w:webHidden/>
          </w:rPr>
          <w:instrText xml:space="preserve"> PAGEREF _Toc132187809 \h </w:instrText>
        </w:r>
        <w:r w:rsidR="00406A98">
          <w:rPr>
            <w:noProof/>
            <w:webHidden/>
          </w:rPr>
        </w:r>
        <w:r w:rsidR="00406A98">
          <w:rPr>
            <w:noProof/>
            <w:webHidden/>
          </w:rPr>
          <w:fldChar w:fldCharType="separate"/>
        </w:r>
        <w:r w:rsidR="00406A98">
          <w:rPr>
            <w:noProof/>
            <w:webHidden/>
          </w:rPr>
          <w:t>42</w:t>
        </w:r>
        <w:r w:rsidR="00406A98">
          <w:rPr>
            <w:noProof/>
            <w:webHidden/>
          </w:rPr>
          <w:fldChar w:fldCharType="end"/>
        </w:r>
      </w:hyperlink>
    </w:p>
    <w:p w14:paraId="031FBD50" w14:textId="5E4A4259" w:rsidR="00406A98" w:rsidRDefault="00000000">
      <w:pPr>
        <w:pStyle w:val="TOC3"/>
        <w:rPr>
          <w:rFonts w:eastAsiaTheme="minorEastAsia" w:cstheme="minorBidi"/>
          <w:noProof/>
          <w:sz w:val="22"/>
          <w:szCs w:val="22"/>
        </w:rPr>
      </w:pPr>
      <w:hyperlink w:anchor="_Toc132187810" w:history="1">
        <w:r w:rsidR="00406A98" w:rsidRPr="00CB7C2A">
          <w:rPr>
            <w:rStyle w:val="Hyperlink"/>
            <w:noProof/>
          </w:rPr>
          <w:t>4.2.1 Adding or Clarifying Definitions Necessary for Implementation of the Rule</w:t>
        </w:r>
        <w:r w:rsidR="00406A98">
          <w:rPr>
            <w:noProof/>
            <w:webHidden/>
          </w:rPr>
          <w:tab/>
        </w:r>
        <w:r w:rsidR="00406A98">
          <w:rPr>
            <w:noProof/>
            <w:webHidden/>
          </w:rPr>
          <w:fldChar w:fldCharType="begin"/>
        </w:r>
        <w:r w:rsidR="00406A98">
          <w:rPr>
            <w:noProof/>
            <w:webHidden/>
          </w:rPr>
          <w:instrText xml:space="preserve"> PAGEREF _Toc132187810 \h </w:instrText>
        </w:r>
        <w:r w:rsidR="00406A98">
          <w:rPr>
            <w:noProof/>
            <w:webHidden/>
          </w:rPr>
        </w:r>
        <w:r w:rsidR="00406A98">
          <w:rPr>
            <w:noProof/>
            <w:webHidden/>
          </w:rPr>
          <w:fldChar w:fldCharType="separate"/>
        </w:r>
        <w:r w:rsidR="00406A98">
          <w:rPr>
            <w:noProof/>
            <w:webHidden/>
          </w:rPr>
          <w:t>42</w:t>
        </w:r>
        <w:r w:rsidR="00406A98">
          <w:rPr>
            <w:noProof/>
            <w:webHidden/>
          </w:rPr>
          <w:fldChar w:fldCharType="end"/>
        </w:r>
      </w:hyperlink>
    </w:p>
    <w:p w14:paraId="73AE54D1" w14:textId="2DA2A8DA" w:rsidR="00406A98" w:rsidRDefault="00000000">
      <w:pPr>
        <w:pStyle w:val="TOC3"/>
        <w:rPr>
          <w:rFonts w:eastAsiaTheme="minorEastAsia" w:cstheme="minorBidi"/>
          <w:noProof/>
          <w:sz w:val="22"/>
          <w:szCs w:val="22"/>
        </w:rPr>
      </w:pPr>
      <w:hyperlink w:anchor="_Toc132187811" w:history="1">
        <w:r w:rsidR="00406A98" w:rsidRPr="00CB7C2A">
          <w:rPr>
            <w:rStyle w:val="Hyperlink"/>
            <w:noProof/>
          </w:rPr>
          <w:t>4.2.2 Setting requirements for registration, reporting, and de minimis notifications</w:t>
        </w:r>
        <w:r w:rsidR="00406A98">
          <w:rPr>
            <w:noProof/>
            <w:webHidden/>
          </w:rPr>
          <w:tab/>
        </w:r>
        <w:r w:rsidR="00406A98">
          <w:rPr>
            <w:noProof/>
            <w:webHidden/>
          </w:rPr>
          <w:fldChar w:fldCharType="begin"/>
        </w:r>
        <w:r w:rsidR="00406A98">
          <w:rPr>
            <w:noProof/>
            <w:webHidden/>
          </w:rPr>
          <w:instrText xml:space="preserve"> PAGEREF _Toc132187811 \h </w:instrText>
        </w:r>
        <w:r w:rsidR="00406A98">
          <w:rPr>
            <w:noProof/>
            <w:webHidden/>
          </w:rPr>
        </w:r>
        <w:r w:rsidR="00406A98">
          <w:rPr>
            <w:noProof/>
            <w:webHidden/>
          </w:rPr>
          <w:fldChar w:fldCharType="separate"/>
        </w:r>
        <w:r w:rsidR="00406A98">
          <w:rPr>
            <w:noProof/>
            <w:webHidden/>
          </w:rPr>
          <w:t>43</w:t>
        </w:r>
        <w:r w:rsidR="00406A98">
          <w:rPr>
            <w:noProof/>
            <w:webHidden/>
          </w:rPr>
          <w:fldChar w:fldCharType="end"/>
        </w:r>
      </w:hyperlink>
    </w:p>
    <w:p w14:paraId="01F8BCF5" w14:textId="27D4D202" w:rsidR="00406A98" w:rsidRDefault="00000000">
      <w:pPr>
        <w:pStyle w:val="TOC3"/>
        <w:rPr>
          <w:rFonts w:eastAsiaTheme="minorEastAsia" w:cstheme="minorBidi"/>
          <w:noProof/>
          <w:sz w:val="22"/>
          <w:szCs w:val="22"/>
        </w:rPr>
      </w:pPr>
      <w:hyperlink w:anchor="_Toc132187812" w:history="1">
        <w:r w:rsidR="00406A98" w:rsidRPr="00CB7C2A">
          <w:rPr>
            <w:rStyle w:val="Hyperlink"/>
            <w:noProof/>
          </w:rPr>
          <w:t>4.2.3 Establishing fee allocation methods and billing procedures</w:t>
        </w:r>
        <w:r w:rsidR="00406A98">
          <w:rPr>
            <w:noProof/>
            <w:webHidden/>
          </w:rPr>
          <w:tab/>
        </w:r>
        <w:r w:rsidR="00406A98">
          <w:rPr>
            <w:noProof/>
            <w:webHidden/>
          </w:rPr>
          <w:fldChar w:fldCharType="begin"/>
        </w:r>
        <w:r w:rsidR="00406A98">
          <w:rPr>
            <w:noProof/>
            <w:webHidden/>
          </w:rPr>
          <w:instrText xml:space="preserve"> PAGEREF _Toc132187812 \h </w:instrText>
        </w:r>
        <w:r w:rsidR="00406A98">
          <w:rPr>
            <w:noProof/>
            <w:webHidden/>
          </w:rPr>
        </w:r>
        <w:r w:rsidR="00406A98">
          <w:rPr>
            <w:noProof/>
            <w:webHidden/>
          </w:rPr>
          <w:fldChar w:fldCharType="separate"/>
        </w:r>
        <w:r w:rsidR="00406A98">
          <w:rPr>
            <w:noProof/>
            <w:webHidden/>
          </w:rPr>
          <w:t>44</w:t>
        </w:r>
        <w:r w:rsidR="00406A98">
          <w:rPr>
            <w:noProof/>
            <w:webHidden/>
          </w:rPr>
          <w:fldChar w:fldCharType="end"/>
        </w:r>
      </w:hyperlink>
    </w:p>
    <w:p w14:paraId="3E75C41E" w14:textId="2B5AF4DC" w:rsidR="00406A98" w:rsidRDefault="00000000">
      <w:pPr>
        <w:pStyle w:val="TOC3"/>
        <w:rPr>
          <w:rFonts w:eastAsiaTheme="minorEastAsia" w:cstheme="minorBidi"/>
          <w:noProof/>
          <w:sz w:val="22"/>
          <w:szCs w:val="22"/>
        </w:rPr>
      </w:pPr>
      <w:hyperlink w:anchor="_Toc132187813" w:history="1">
        <w:r w:rsidR="00406A98" w:rsidRPr="00CB7C2A">
          <w:rPr>
            <w:rStyle w:val="Hyperlink"/>
            <w:noProof/>
          </w:rPr>
          <w:t>4.2.4 Adding specific requirements for PCRC weight calculations</w:t>
        </w:r>
        <w:r w:rsidR="00406A98">
          <w:rPr>
            <w:noProof/>
            <w:webHidden/>
          </w:rPr>
          <w:tab/>
        </w:r>
        <w:r w:rsidR="00406A98">
          <w:rPr>
            <w:noProof/>
            <w:webHidden/>
          </w:rPr>
          <w:fldChar w:fldCharType="begin"/>
        </w:r>
        <w:r w:rsidR="00406A98">
          <w:rPr>
            <w:noProof/>
            <w:webHidden/>
          </w:rPr>
          <w:instrText xml:space="preserve"> PAGEREF _Toc132187813 \h </w:instrText>
        </w:r>
        <w:r w:rsidR="00406A98">
          <w:rPr>
            <w:noProof/>
            <w:webHidden/>
          </w:rPr>
        </w:r>
        <w:r w:rsidR="00406A98">
          <w:rPr>
            <w:noProof/>
            <w:webHidden/>
          </w:rPr>
          <w:fldChar w:fldCharType="separate"/>
        </w:r>
        <w:r w:rsidR="00406A98">
          <w:rPr>
            <w:noProof/>
            <w:webHidden/>
          </w:rPr>
          <w:t>44</w:t>
        </w:r>
        <w:r w:rsidR="00406A98">
          <w:rPr>
            <w:noProof/>
            <w:webHidden/>
          </w:rPr>
          <w:fldChar w:fldCharType="end"/>
        </w:r>
      </w:hyperlink>
    </w:p>
    <w:p w14:paraId="46F186D2" w14:textId="7CF50C9A" w:rsidR="00406A98" w:rsidRDefault="00000000">
      <w:pPr>
        <w:pStyle w:val="TOC3"/>
        <w:rPr>
          <w:rFonts w:eastAsiaTheme="minorEastAsia" w:cstheme="minorBidi"/>
          <w:noProof/>
          <w:sz w:val="22"/>
          <w:szCs w:val="22"/>
        </w:rPr>
      </w:pPr>
      <w:hyperlink w:anchor="_Toc132187814" w:history="1">
        <w:r w:rsidR="00406A98" w:rsidRPr="00CB7C2A">
          <w:rPr>
            <w:rStyle w:val="Hyperlink"/>
            <w:noProof/>
          </w:rPr>
          <w:t>4.2.5 Establishing requirements for temporary exclusion and adjustment requests</w:t>
        </w:r>
        <w:r w:rsidR="00406A98">
          <w:rPr>
            <w:noProof/>
            <w:webHidden/>
          </w:rPr>
          <w:tab/>
        </w:r>
        <w:r w:rsidR="00406A98">
          <w:rPr>
            <w:noProof/>
            <w:webHidden/>
          </w:rPr>
          <w:fldChar w:fldCharType="begin"/>
        </w:r>
        <w:r w:rsidR="00406A98">
          <w:rPr>
            <w:noProof/>
            <w:webHidden/>
          </w:rPr>
          <w:instrText xml:space="preserve"> PAGEREF _Toc132187814 \h </w:instrText>
        </w:r>
        <w:r w:rsidR="00406A98">
          <w:rPr>
            <w:noProof/>
            <w:webHidden/>
          </w:rPr>
        </w:r>
        <w:r w:rsidR="00406A98">
          <w:rPr>
            <w:noProof/>
            <w:webHidden/>
          </w:rPr>
          <w:fldChar w:fldCharType="separate"/>
        </w:r>
        <w:r w:rsidR="00406A98">
          <w:rPr>
            <w:noProof/>
            <w:webHidden/>
          </w:rPr>
          <w:t>45</w:t>
        </w:r>
        <w:r w:rsidR="00406A98">
          <w:rPr>
            <w:noProof/>
            <w:webHidden/>
          </w:rPr>
          <w:fldChar w:fldCharType="end"/>
        </w:r>
      </w:hyperlink>
    </w:p>
    <w:p w14:paraId="3ACE018D" w14:textId="5EE7E8C7" w:rsidR="00406A98" w:rsidRDefault="00000000">
      <w:pPr>
        <w:pStyle w:val="TOC3"/>
        <w:rPr>
          <w:rFonts w:eastAsiaTheme="minorEastAsia" w:cstheme="minorBidi"/>
          <w:noProof/>
          <w:sz w:val="22"/>
          <w:szCs w:val="22"/>
        </w:rPr>
      </w:pPr>
      <w:hyperlink w:anchor="_Toc132187815" w:history="1">
        <w:r w:rsidR="00406A98" w:rsidRPr="00CB7C2A">
          <w:rPr>
            <w:rStyle w:val="Hyperlink"/>
            <w:noProof/>
          </w:rPr>
          <w:t>4.2.6 Limit timing for providing necessary audit documentation.</w:t>
        </w:r>
        <w:r w:rsidR="00406A98">
          <w:rPr>
            <w:noProof/>
            <w:webHidden/>
          </w:rPr>
          <w:tab/>
        </w:r>
        <w:r w:rsidR="00406A98">
          <w:rPr>
            <w:noProof/>
            <w:webHidden/>
          </w:rPr>
          <w:fldChar w:fldCharType="begin"/>
        </w:r>
        <w:r w:rsidR="00406A98">
          <w:rPr>
            <w:noProof/>
            <w:webHidden/>
          </w:rPr>
          <w:instrText xml:space="preserve"> PAGEREF _Toc132187815 \h </w:instrText>
        </w:r>
        <w:r w:rsidR="00406A98">
          <w:rPr>
            <w:noProof/>
            <w:webHidden/>
          </w:rPr>
        </w:r>
        <w:r w:rsidR="00406A98">
          <w:rPr>
            <w:noProof/>
            <w:webHidden/>
          </w:rPr>
          <w:fldChar w:fldCharType="separate"/>
        </w:r>
        <w:r w:rsidR="00406A98">
          <w:rPr>
            <w:noProof/>
            <w:webHidden/>
          </w:rPr>
          <w:t>45</w:t>
        </w:r>
        <w:r w:rsidR="00406A98">
          <w:rPr>
            <w:noProof/>
            <w:webHidden/>
          </w:rPr>
          <w:fldChar w:fldCharType="end"/>
        </w:r>
      </w:hyperlink>
    </w:p>
    <w:p w14:paraId="0C1E6135" w14:textId="1836D0EB" w:rsidR="00406A98" w:rsidRDefault="00000000">
      <w:pPr>
        <w:pStyle w:val="TOC3"/>
        <w:rPr>
          <w:rFonts w:eastAsiaTheme="minorEastAsia" w:cstheme="minorBidi"/>
          <w:noProof/>
          <w:sz w:val="22"/>
          <w:szCs w:val="22"/>
        </w:rPr>
      </w:pPr>
      <w:hyperlink w:anchor="_Toc132187816" w:history="1">
        <w:r w:rsidR="00406A98" w:rsidRPr="00CB7C2A">
          <w:rPr>
            <w:rStyle w:val="Hyperlink"/>
            <w:noProof/>
          </w:rPr>
          <w:t>4.2.7 Specifying procedures for warnings and penalties for noncompliance</w:t>
        </w:r>
        <w:r w:rsidR="00406A98">
          <w:rPr>
            <w:noProof/>
            <w:webHidden/>
          </w:rPr>
          <w:tab/>
        </w:r>
        <w:r w:rsidR="00406A98">
          <w:rPr>
            <w:noProof/>
            <w:webHidden/>
          </w:rPr>
          <w:fldChar w:fldCharType="begin"/>
        </w:r>
        <w:r w:rsidR="00406A98">
          <w:rPr>
            <w:noProof/>
            <w:webHidden/>
          </w:rPr>
          <w:instrText xml:space="preserve"> PAGEREF _Toc132187816 \h </w:instrText>
        </w:r>
        <w:r w:rsidR="00406A98">
          <w:rPr>
            <w:noProof/>
            <w:webHidden/>
          </w:rPr>
        </w:r>
        <w:r w:rsidR="00406A98">
          <w:rPr>
            <w:noProof/>
            <w:webHidden/>
          </w:rPr>
          <w:fldChar w:fldCharType="separate"/>
        </w:r>
        <w:r w:rsidR="00406A98">
          <w:rPr>
            <w:noProof/>
            <w:webHidden/>
          </w:rPr>
          <w:t>45</w:t>
        </w:r>
        <w:r w:rsidR="00406A98">
          <w:rPr>
            <w:noProof/>
            <w:webHidden/>
          </w:rPr>
          <w:fldChar w:fldCharType="end"/>
        </w:r>
      </w:hyperlink>
    </w:p>
    <w:p w14:paraId="0483DFB6" w14:textId="255E7E5B" w:rsidR="00406A98" w:rsidRDefault="00000000">
      <w:pPr>
        <w:pStyle w:val="TOC1"/>
        <w:rPr>
          <w:rFonts w:eastAsiaTheme="minorEastAsia" w:cstheme="minorBidi"/>
          <w:b w:val="0"/>
          <w:bCs w:val="0"/>
          <w:noProof/>
          <w:sz w:val="22"/>
          <w:szCs w:val="22"/>
        </w:rPr>
      </w:pPr>
      <w:hyperlink w:anchor="_Toc132187817" w:history="1">
        <w:r w:rsidR="00406A98" w:rsidRPr="00CB7C2A">
          <w:rPr>
            <w:rStyle w:val="Hyperlink"/>
            <w:noProof/>
          </w:rPr>
          <w:t>Chapter 5: Cost-Benefit Comparison and Conclusions</w:t>
        </w:r>
        <w:r w:rsidR="00406A98">
          <w:rPr>
            <w:noProof/>
            <w:webHidden/>
          </w:rPr>
          <w:tab/>
        </w:r>
        <w:r w:rsidR="00406A98">
          <w:rPr>
            <w:noProof/>
            <w:webHidden/>
          </w:rPr>
          <w:fldChar w:fldCharType="begin"/>
        </w:r>
        <w:r w:rsidR="00406A98">
          <w:rPr>
            <w:noProof/>
            <w:webHidden/>
          </w:rPr>
          <w:instrText xml:space="preserve"> PAGEREF _Toc132187817 \h </w:instrText>
        </w:r>
        <w:r w:rsidR="00406A98">
          <w:rPr>
            <w:noProof/>
            <w:webHidden/>
          </w:rPr>
        </w:r>
        <w:r w:rsidR="00406A98">
          <w:rPr>
            <w:noProof/>
            <w:webHidden/>
          </w:rPr>
          <w:fldChar w:fldCharType="separate"/>
        </w:r>
        <w:r w:rsidR="00406A98">
          <w:rPr>
            <w:noProof/>
            <w:webHidden/>
          </w:rPr>
          <w:t>47</w:t>
        </w:r>
        <w:r w:rsidR="00406A98">
          <w:rPr>
            <w:noProof/>
            <w:webHidden/>
          </w:rPr>
          <w:fldChar w:fldCharType="end"/>
        </w:r>
      </w:hyperlink>
    </w:p>
    <w:p w14:paraId="5229F819" w14:textId="60BB9CDF" w:rsidR="00406A98" w:rsidRDefault="00000000">
      <w:pPr>
        <w:pStyle w:val="TOC3"/>
        <w:rPr>
          <w:rFonts w:eastAsiaTheme="minorEastAsia" w:cstheme="minorBidi"/>
          <w:noProof/>
          <w:sz w:val="22"/>
          <w:szCs w:val="22"/>
        </w:rPr>
      </w:pPr>
      <w:hyperlink w:anchor="_Toc132187818" w:history="1">
        <w:r w:rsidR="00406A98" w:rsidRPr="00CB7C2A">
          <w:rPr>
            <w:rStyle w:val="Hyperlink"/>
            <w:noProof/>
          </w:rPr>
          <w:t>Timing of audit documents</w:t>
        </w:r>
        <w:r w:rsidR="00406A98">
          <w:rPr>
            <w:noProof/>
            <w:webHidden/>
          </w:rPr>
          <w:tab/>
        </w:r>
        <w:r w:rsidR="00406A98">
          <w:rPr>
            <w:noProof/>
            <w:webHidden/>
          </w:rPr>
          <w:fldChar w:fldCharType="begin"/>
        </w:r>
        <w:r w:rsidR="00406A98">
          <w:rPr>
            <w:noProof/>
            <w:webHidden/>
          </w:rPr>
          <w:instrText xml:space="preserve"> PAGEREF _Toc132187818 \h </w:instrText>
        </w:r>
        <w:r w:rsidR="00406A98">
          <w:rPr>
            <w:noProof/>
            <w:webHidden/>
          </w:rPr>
        </w:r>
        <w:r w:rsidR="00406A98">
          <w:rPr>
            <w:noProof/>
            <w:webHidden/>
          </w:rPr>
          <w:fldChar w:fldCharType="separate"/>
        </w:r>
        <w:r w:rsidR="00406A98">
          <w:rPr>
            <w:noProof/>
            <w:webHidden/>
          </w:rPr>
          <w:t>48</w:t>
        </w:r>
        <w:r w:rsidR="00406A98">
          <w:rPr>
            <w:noProof/>
            <w:webHidden/>
          </w:rPr>
          <w:fldChar w:fldCharType="end"/>
        </w:r>
      </w:hyperlink>
    </w:p>
    <w:p w14:paraId="2F1FACA7" w14:textId="02147E1B" w:rsidR="00406A98" w:rsidRDefault="00000000">
      <w:pPr>
        <w:pStyle w:val="TOC3"/>
        <w:rPr>
          <w:rFonts w:eastAsiaTheme="minorEastAsia" w:cstheme="minorBidi"/>
          <w:noProof/>
          <w:sz w:val="22"/>
          <w:szCs w:val="22"/>
        </w:rPr>
      </w:pPr>
      <w:hyperlink w:anchor="_Toc132187819" w:history="1">
        <w:r w:rsidR="00406A98" w:rsidRPr="00CB7C2A">
          <w:rPr>
            <w:rStyle w:val="Hyperlink"/>
            <w:noProof/>
          </w:rPr>
          <w:t>Noncompliance notifications</w:t>
        </w:r>
        <w:r w:rsidR="00406A98">
          <w:rPr>
            <w:noProof/>
            <w:webHidden/>
          </w:rPr>
          <w:tab/>
        </w:r>
        <w:r w:rsidR="00406A98">
          <w:rPr>
            <w:noProof/>
            <w:webHidden/>
          </w:rPr>
          <w:fldChar w:fldCharType="begin"/>
        </w:r>
        <w:r w:rsidR="00406A98">
          <w:rPr>
            <w:noProof/>
            <w:webHidden/>
          </w:rPr>
          <w:instrText xml:space="preserve"> PAGEREF _Toc132187819 \h </w:instrText>
        </w:r>
        <w:r w:rsidR="00406A98">
          <w:rPr>
            <w:noProof/>
            <w:webHidden/>
          </w:rPr>
        </w:r>
        <w:r w:rsidR="00406A98">
          <w:rPr>
            <w:noProof/>
            <w:webHidden/>
          </w:rPr>
          <w:fldChar w:fldCharType="separate"/>
        </w:r>
        <w:r w:rsidR="00406A98">
          <w:rPr>
            <w:noProof/>
            <w:webHidden/>
          </w:rPr>
          <w:t>49</w:t>
        </w:r>
        <w:r w:rsidR="00406A98">
          <w:rPr>
            <w:noProof/>
            <w:webHidden/>
          </w:rPr>
          <w:fldChar w:fldCharType="end"/>
        </w:r>
      </w:hyperlink>
    </w:p>
    <w:p w14:paraId="6D2F46C6" w14:textId="43618676" w:rsidR="00406A98" w:rsidRDefault="00000000">
      <w:pPr>
        <w:pStyle w:val="TOC1"/>
        <w:rPr>
          <w:rFonts w:eastAsiaTheme="minorEastAsia" w:cstheme="minorBidi"/>
          <w:b w:val="0"/>
          <w:bCs w:val="0"/>
          <w:noProof/>
          <w:sz w:val="22"/>
          <w:szCs w:val="22"/>
        </w:rPr>
      </w:pPr>
      <w:hyperlink w:anchor="_Toc132187820" w:history="1">
        <w:r w:rsidR="00406A98" w:rsidRPr="00CB7C2A">
          <w:rPr>
            <w:rStyle w:val="Hyperlink"/>
            <w:noProof/>
          </w:rPr>
          <w:t>Chapter 6: Least-Burdensome Alternative Analysis</w:t>
        </w:r>
        <w:r w:rsidR="00406A98">
          <w:rPr>
            <w:noProof/>
            <w:webHidden/>
          </w:rPr>
          <w:tab/>
        </w:r>
        <w:r w:rsidR="00406A98">
          <w:rPr>
            <w:noProof/>
            <w:webHidden/>
          </w:rPr>
          <w:fldChar w:fldCharType="begin"/>
        </w:r>
        <w:r w:rsidR="00406A98">
          <w:rPr>
            <w:noProof/>
            <w:webHidden/>
          </w:rPr>
          <w:instrText xml:space="preserve"> PAGEREF _Toc132187820 \h </w:instrText>
        </w:r>
        <w:r w:rsidR="00406A98">
          <w:rPr>
            <w:noProof/>
            <w:webHidden/>
          </w:rPr>
        </w:r>
        <w:r w:rsidR="00406A98">
          <w:rPr>
            <w:noProof/>
            <w:webHidden/>
          </w:rPr>
          <w:fldChar w:fldCharType="separate"/>
        </w:r>
        <w:r w:rsidR="00406A98">
          <w:rPr>
            <w:noProof/>
            <w:webHidden/>
          </w:rPr>
          <w:t>50</w:t>
        </w:r>
        <w:r w:rsidR="00406A98">
          <w:rPr>
            <w:noProof/>
            <w:webHidden/>
          </w:rPr>
          <w:fldChar w:fldCharType="end"/>
        </w:r>
      </w:hyperlink>
    </w:p>
    <w:p w14:paraId="49BB1E67" w14:textId="1BD5AC80" w:rsidR="00406A98" w:rsidRDefault="00000000">
      <w:pPr>
        <w:pStyle w:val="TOC3"/>
        <w:rPr>
          <w:rFonts w:eastAsiaTheme="minorEastAsia" w:cstheme="minorBidi"/>
          <w:noProof/>
          <w:sz w:val="22"/>
          <w:szCs w:val="22"/>
        </w:rPr>
      </w:pPr>
      <w:hyperlink w:anchor="_Toc132187821" w:history="1">
        <w:r w:rsidR="00406A98" w:rsidRPr="00CB7C2A">
          <w:rPr>
            <w:rStyle w:val="Hyperlink"/>
            <w:noProof/>
          </w:rPr>
          <w:t>6.3.1 Excluding FIFRA-regulated and aerosol containers from all requirements</w:t>
        </w:r>
        <w:r w:rsidR="00406A98">
          <w:rPr>
            <w:noProof/>
            <w:webHidden/>
          </w:rPr>
          <w:tab/>
        </w:r>
        <w:r w:rsidR="00406A98">
          <w:rPr>
            <w:noProof/>
            <w:webHidden/>
          </w:rPr>
          <w:fldChar w:fldCharType="begin"/>
        </w:r>
        <w:r w:rsidR="00406A98">
          <w:rPr>
            <w:noProof/>
            <w:webHidden/>
          </w:rPr>
          <w:instrText xml:space="preserve"> PAGEREF _Toc132187821 \h </w:instrText>
        </w:r>
        <w:r w:rsidR="00406A98">
          <w:rPr>
            <w:noProof/>
            <w:webHidden/>
          </w:rPr>
        </w:r>
        <w:r w:rsidR="00406A98">
          <w:rPr>
            <w:noProof/>
            <w:webHidden/>
          </w:rPr>
          <w:fldChar w:fldCharType="separate"/>
        </w:r>
        <w:r w:rsidR="00406A98">
          <w:rPr>
            <w:noProof/>
            <w:webHidden/>
          </w:rPr>
          <w:t>52</w:t>
        </w:r>
        <w:r w:rsidR="00406A98">
          <w:rPr>
            <w:noProof/>
            <w:webHidden/>
          </w:rPr>
          <w:fldChar w:fldCharType="end"/>
        </w:r>
      </w:hyperlink>
    </w:p>
    <w:p w14:paraId="2A8A34A7" w14:textId="00200FB4" w:rsidR="00406A98" w:rsidRDefault="00000000">
      <w:pPr>
        <w:pStyle w:val="TOC3"/>
        <w:rPr>
          <w:rFonts w:eastAsiaTheme="minorEastAsia" w:cstheme="minorBidi"/>
          <w:noProof/>
          <w:sz w:val="22"/>
          <w:szCs w:val="22"/>
        </w:rPr>
      </w:pPr>
      <w:hyperlink w:anchor="_Toc132187822" w:history="1">
        <w:r w:rsidR="00406A98" w:rsidRPr="00CB7C2A">
          <w:rPr>
            <w:rStyle w:val="Hyperlink"/>
            <w:noProof/>
          </w:rPr>
          <w:t>6.3.2 Exempting all federally regulated packaging in the exclusions section of the definition of household cleaning product</w:t>
        </w:r>
        <w:r w:rsidR="00406A98">
          <w:rPr>
            <w:noProof/>
            <w:webHidden/>
          </w:rPr>
          <w:tab/>
        </w:r>
        <w:r w:rsidR="00406A98">
          <w:rPr>
            <w:noProof/>
            <w:webHidden/>
          </w:rPr>
          <w:fldChar w:fldCharType="begin"/>
        </w:r>
        <w:r w:rsidR="00406A98">
          <w:rPr>
            <w:noProof/>
            <w:webHidden/>
          </w:rPr>
          <w:instrText xml:space="preserve"> PAGEREF _Toc132187822 \h </w:instrText>
        </w:r>
        <w:r w:rsidR="00406A98">
          <w:rPr>
            <w:noProof/>
            <w:webHidden/>
          </w:rPr>
        </w:r>
        <w:r w:rsidR="00406A98">
          <w:rPr>
            <w:noProof/>
            <w:webHidden/>
          </w:rPr>
          <w:fldChar w:fldCharType="separate"/>
        </w:r>
        <w:r w:rsidR="00406A98">
          <w:rPr>
            <w:noProof/>
            <w:webHidden/>
          </w:rPr>
          <w:t>52</w:t>
        </w:r>
        <w:r w:rsidR="00406A98">
          <w:rPr>
            <w:noProof/>
            <w:webHidden/>
          </w:rPr>
          <w:fldChar w:fldCharType="end"/>
        </w:r>
      </w:hyperlink>
    </w:p>
    <w:p w14:paraId="1312BF57" w14:textId="62E7672B" w:rsidR="00406A98" w:rsidRDefault="00000000">
      <w:pPr>
        <w:pStyle w:val="TOC3"/>
        <w:rPr>
          <w:rFonts w:eastAsiaTheme="minorEastAsia" w:cstheme="minorBidi"/>
          <w:noProof/>
          <w:sz w:val="22"/>
          <w:szCs w:val="22"/>
        </w:rPr>
      </w:pPr>
      <w:hyperlink w:anchor="_Toc132187823" w:history="1">
        <w:r w:rsidR="00406A98" w:rsidRPr="00CB7C2A">
          <w:rPr>
            <w:rStyle w:val="Hyperlink"/>
            <w:noProof/>
          </w:rPr>
          <w:t>6.3.3 Alternative definitions of producer</w:t>
        </w:r>
        <w:r w:rsidR="00406A98">
          <w:rPr>
            <w:noProof/>
            <w:webHidden/>
          </w:rPr>
          <w:tab/>
        </w:r>
        <w:r w:rsidR="00406A98">
          <w:rPr>
            <w:noProof/>
            <w:webHidden/>
          </w:rPr>
          <w:fldChar w:fldCharType="begin"/>
        </w:r>
        <w:r w:rsidR="00406A98">
          <w:rPr>
            <w:noProof/>
            <w:webHidden/>
          </w:rPr>
          <w:instrText xml:space="preserve"> PAGEREF _Toc132187823 \h </w:instrText>
        </w:r>
        <w:r w:rsidR="00406A98">
          <w:rPr>
            <w:noProof/>
            <w:webHidden/>
          </w:rPr>
        </w:r>
        <w:r w:rsidR="00406A98">
          <w:rPr>
            <w:noProof/>
            <w:webHidden/>
          </w:rPr>
          <w:fldChar w:fldCharType="separate"/>
        </w:r>
        <w:r w:rsidR="00406A98">
          <w:rPr>
            <w:noProof/>
            <w:webHidden/>
          </w:rPr>
          <w:t>54</w:t>
        </w:r>
        <w:r w:rsidR="00406A98">
          <w:rPr>
            <w:noProof/>
            <w:webHidden/>
          </w:rPr>
          <w:fldChar w:fldCharType="end"/>
        </w:r>
      </w:hyperlink>
    </w:p>
    <w:p w14:paraId="514329D2" w14:textId="65BC4A88" w:rsidR="00406A98" w:rsidRDefault="00000000">
      <w:pPr>
        <w:pStyle w:val="TOC3"/>
        <w:rPr>
          <w:rFonts w:eastAsiaTheme="minorEastAsia" w:cstheme="minorBidi"/>
          <w:noProof/>
          <w:sz w:val="22"/>
          <w:szCs w:val="22"/>
        </w:rPr>
      </w:pPr>
      <w:hyperlink w:anchor="_Toc132187824" w:history="1">
        <w:r w:rsidR="00406A98" w:rsidRPr="00CB7C2A">
          <w:rPr>
            <w:rStyle w:val="Hyperlink"/>
            <w:noProof/>
          </w:rPr>
          <w:t>6.3.4 Removing coffee creamers from items listed as beverages</w:t>
        </w:r>
        <w:r w:rsidR="00406A98">
          <w:rPr>
            <w:noProof/>
            <w:webHidden/>
          </w:rPr>
          <w:tab/>
        </w:r>
        <w:r w:rsidR="00406A98">
          <w:rPr>
            <w:noProof/>
            <w:webHidden/>
          </w:rPr>
          <w:fldChar w:fldCharType="begin"/>
        </w:r>
        <w:r w:rsidR="00406A98">
          <w:rPr>
            <w:noProof/>
            <w:webHidden/>
          </w:rPr>
          <w:instrText xml:space="preserve"> PAGEREF _Toc132187824 \h </w:instrText>
        </w:r>
        <w:r w:rsidR="00406A98">
          <w:rPr>
            <w:noProof/>
            <w:webHidden/>
          </w:rPr>
        </w:r>
        <w:r w:rsidR="00406A98">
          <w:rPr>
            <w:noProof/>
            <w:webHidden/>
          </w:rPr>
          <w:fldChar w:fldCharType="separate"/>
        </w:r>
        <w:r w:rsidR="00406A98">
          <w:rPr>
            <w:noProof/>
            <w:webHidden/>
          </w:rPr>
          <w:t>54</w:t>
        </w:r>
        <w:r w:rsidR="00406A98">
          <w:rPr>
            <w:noProof/>
            <w:webHidden/>
          </w:rPr>
          <w:fldChar w:fldCharType="end"/>
        </w:r>
      </w:hyperlink>
    </w:p>
    <w:p w14:paraId="18A8467E" w14:textId="08F42A50" w:rsidR="00406A98" w:rsidRDefault="00000000">
      <w:pPr>
        <w:pStyle w:val="TOC3"/>
        <w:rPr>
          <w:rFonts w:eastAsiaTheme="minorEastAsia" w:cstheme="minorBidi"/>
          <w:noProof/>
          <w:sz w:val="22"/>
          <w:szCs w:val="22"/>
        </w:rPr>
      </w:pPr>
      <w:hyperlink w:anchor="_Toc132187825" w:history="1">
        <w:r w:rsidR="00406A98" w:rsidRPr="00CB7C2A">
          <w:rPr>
            <w:rStyle w:val="Hyperlink"/>
            <w:noProof/>
          </w:rPr>
          <w:t>6.3.5 Adding "offered for sale to individual consumers" to exclude sales to businesses</w:t>
        </w:r>
        <w:r w:rsidR="00406A98">
          <w:rPr>
            <w:noProof/>
            <w:webHidden/>
          </w:rPr>
          <w:tab/>
        </w:r>
        <w:r w:rsidR="00406A98">
          <w:rPr>
            <w:noProof/>
            <w:webHidden/>
          </w:rPr>
          <w:fldChar w:fldCharType="begin"/>
        </w:r>
        <w:r w:rsidR="00406A98">
          <w:rPr>
            <w:noProof/>
            <w:webHidden/>
          </w:rPr>
          <w:instrText xml:space="preserve"> PAGEREF _Toc132187825 \h </w:instrText>
        </w:r>
        <w:r w:rsidR="00406A98">
          <w:rPr>
            <w:noProof/>
            <w:webHidden/>
          </w:rPr>
        </w:r>
        <w:r w:rsidR="00406A98">
          <w:rPr>
            <w:noProof/>
            <w:webHidden/>
          </w:rPr>
          <w:fldChar w:fldCharType="separate"/>
        </w:r>
        <w:r w:rsidR="00406A98">
          <w:rPr>
            <w:noProof/>
            <w:webHidden/>
          </w:rPr>
          <w:t>55</w:t>
        </w:r>
        <w:r w:rsidR="00406A98">
          <w:rPr>
            <w:noProof/>
            <w:webHidden/>
          </w:rPr>
          <w:fldChar w:fldCharType="end"/>
        </w:r>
      </w:hyperlink>
    </w:p>
    <w:p w14:paraId="0AA50427" w14:textId="17957044" w:rsidR="00406A98" w:rsidRDefault="00000000">
      <w:pPr>
        <w:pStyle w:val="TOC3"/>
        <w:rPr>
          <w:rFonts w:eastAsiaTheme="minorEastAsia" w:cstheme="minorBidi"/>
          <w:noProof/>
          <w:sz w:val="22"/>
          <w:szCs w:val="22"/>
        </w:rPr>
      </w:pPr>
      <w:hyperlink w:anchor="_Toc132187826" w:history="1">
        <w:r w:rsidR="00406A98" w:rsidRPr="00CB7C2A">
          <w:rPr>
            <w:rStyle w:val="Hyperlink"/>
            <w:noProof/>
          </w:rPr>
          <w:t>6.3.6 Removing "multi-resin" from the definition of plastic beverage containers</w:t>
        </w:r>
        <w:r w:rsidR="00406A98">
          <w:rPr>
            <w:noProof/>
            <w:webHidden/>
          </w:rPr>
          <w:tab/>
        </w:r>
        <w:r w:rsidR="00406A98">
          <w:rPr>
            <w:noProof/>
            <w:webHidden/>
          </w:rPr>
          <w:fldChar w:fldCharType="begin"/>
        </w:r>
        <w:r w:rsidR="00406A98">
          <w:rPr>
            <w:noProof/>
            <w:webHidden/>
          </w:rPr>
          <w:instrText xml:space="preserve"> PAGEREF _Toc132187826 \h </w:instrText>
        </w:r>
        <w:r w:rsidR="00406A98">
          <w:rPr>
            <w:noProof/>
            <w:webHidden/>
          </w:rPr>
        </w:r>
        <w:r w:rsidR="00406A98">
          <w:rPr>
            <w:noProof/>
            <w:webHidden/>
          </w:rPr>
          <w:fldChar w:fldCharType="separate"/>
        </w:r>
        <w:r w:rsidR="00406A98">
          <w:rPr>
            <w:noProof/>
            <w:webHidden/>
          </w:rPr>
          <w:t>55</w:t>
        </w:r>
        <w:r w:rsidR="00406A98">
          <w:rPr>
            <w:noProof/>
            <w:webHidden/>
          </w:rPr>
          <w:fldChar w:fldCharType="end"/>
        </w:r>
      </w:hyperlink>
    </w:p>
    <w:p w14:paraId="779CFE5E" w14:textId="13162444" w:rsidR="00406A98" w:rsidRDefault="00000000">
      <w:pPr>
        <w:pStyle w:val="TOC3"/>
        <w:rPr>
          <w:rFonts w:eastAsiaTheme="minorEastAsia" w:cstheme="minorBidi"/>
          <w:noProof/>
          <w:sz w:val="22"/>
          <w:szCs w:val="22"/>
        </w:rPr>
      </w:pPr>
      <w:hyperlink w:anchor="_Toc132187827" w:history="1">
        <w:r w:rsidR="00406A98" w:rsidRPr="00CB7C2A">
          <w:rPr>
            <w:rStyle w:val="Hyperlink"/>
            <w:noProof/>
          </w:rPr>
          <w:t>6.3.7 Removing items that are not readily or easily recycled from the list of covered products</w:t>
        </w:r>
        <w:r w:rsidR="00406A98">
          <w:rPr>
            <w:noProof/>
            <w:webHidden/>
          </w:rPr>
          <w:tab/>
        </w:r>
        <w:r w:rsidR="00406A98">
          <w:rPr>
            <w:noProof/>
            <w:webHidden/>
          </w:rPr>
          <w:fldChar w:fldCharType="begin"/>
        </w:r>
        <w:r w:rsidR="00406A98">
          <w:rPr>
            <w:noProof/>
            <w:webHidden/>
          </w:rPr>
          <w:instrText xml:space="preserve"> PAGEREF _Toc132187827 \h </w:instrText>
        </w:r>
        <w:r w:rsidR="00406A98">
          <w:rPr>
            <w:noProof/>
            <w:webHidden/>
          </w:rPr>
        </w:r>
        <w:r w:rsidR="00406A98">
          <w:rPr>
            <w:noProof/>
            <w:webHidden/>
          </w:rPr>
          <w:fldChar w:fldCharType="separate"/>
        </w:r>
        <w:r w:rsidR="00406A98">
          <w:rPr>
            <w:noProof/>
            <w:webHidden/>
          </w:rPr>
          <w:t>55</w:t>
        </w:r>
        <w:r w:rsidR="00406A98">
          <w:rPr>
            <w:noProof/>
            <w:webHidden/>
          </w:rPr>
          <w:fldChar w:fldCharType="end"/>
        </w:r>
      </w:hyperlink>
    </w:p>
    <w:p w14:paraId="5CD750CF" w14:textId="3418E847" w:rsidR="00406A98" w:rsidRDefault="00000000">
      <w:pPr>
        <w:pStyle w:val="TOC3"/>
        <w:rPr>
          <w:rFonts w:eastAsiaTheme="minorEastAsia" w:cstheme="minorBidi"/>
          <w:noProof/>
          <w:sz w:val="22"/>
          <w:szCs w:val="22"/>
        </w:rPr>
      </w:pPr>
      <w:hyperlink w:anchor="_Toc132187828" w:history="1">
        <w:r w:rsidR="00406A98" w:rsidRPr="00CB7C2A">
          <w:rPr>
            <w:rStyle w:val="Hyperlink"/>
            <w:noProof/>
          </w:rPr>
          <w:t>6.3.8 Using the California definition of household cleaning products</w:t>
        </w:r>
        <w:r w:rsidR="00406A98">
          <w:rPr>
            <w:noProof/>
            <w:webHidden/>
          </w:rPr>
          <w:tab/>
        </w:r>
        <w:r w:rsidR="00406A98">
          <w:rPr>
            <w:noProof/>
            <w:webHidden/>
          </w:rPr>
          <w:fldChar w:fldCharType="begin"/>
        </w:r>
        <w:r w:rsidR="00406A98">
          <w:rPr>
            <w:noProof/>
            <w:webHidden/>
          </w:rPr>
          <w:instrText xml:space="preserve"> PAGEREF _Toc132187828 \h </w:instrText>
        </w:r>
        <w:r w:rsidR="00406A98">
          <w:rPr>
            <w:noProof/>
            <w:webHidden/>
          </w:rPr>
        </w:r>
        <w:r w:rsidR="00406A98">
          <w:rPr>
            <w:noProof/>
            <w:webHidden/>
          </w:rPr>
          <w:fldChar w:fldCharType="separate"/>
        </w:r>
        <w:r w:rsidR="00406A98">
          <w:rPr>
            <w:noProof/>
            <w:webHidden/>
          </w:rPr>
          <w:t>55</w:t>
        </w:r>
        <w:r w:rsidR="00406A98">
          <w:rPr>
            <w:noProof/>
            <w:webHidden/>
          </w:rPr>
          <w:fldChar w:fldCharType="end"/>
        </w:r>
      </w:hyperlink>
    </w:p>
    <w:p w14:paraId="4B440E5C" w14:textId="4BF21C6C" w:rsidR="00406A98" w:rsidRDefault="00000000">
      <w:pPr>
        <w:pStyle w:val="TOC3"/>
        <w:rPr>
          <w:rFonts w:eastAsiaTheme="minorEastAsia" w:cstheme="minorBidi"/>
          <w:noProof/>
          <w:sz w:val="22"/>
          <w:szCs w:val="22"/>
        </w:rPr>
      </w:pPr>
      <w:hyperlink w:anchor="_Toc132187829" w:history="1">
        <w:r w:rsidR="00406A98" w:rsidRPr="00CB7C2A">
          <w:rPr>
            <w:rStyle w:val="Hyperlink"/>
            <w:noProof/>
          </w:rPr>
          <w:t>6.3.9 Adding surface polishes, air cleaners, and other products to the definition of household cleaning products</w:t>
        </w:r>
        <w:r w:rsidR="00406A98">
          <w:rPr>
            <w:noProof/>
            <w:webHidden/>
          </w:rPr>
          <w:tab/>
        </w:r>
        <w:r w:rsidR="00406A98">
          <w:rPr>
            <w:noProof/>
            <w:webHidden/>
          </w:rPr>
          <w:fldChar w:fldCharType="begin"/>
        </w:r>
        <w:r w:rsidR="00406A98">
          <w:rPr>
            <w:noProof/>
            <w:webHidden/>
          </w:rPr>
          <w:instrText xml:space="preserve"> PAGEREF _Toc132187829 \h </w:instrText>
        </w:r>
        <w:r w:rsidR="00406A98">
          <w:rPr>
            <w:noProof/>
            <w:webHidden/>
          </w:rPr>
        </w:r>
        <w:r w:rsidR="00406A98">
          <w:rPr>
            <w:noProof/>
            <w:webHidden/>
          </w:rPr>
          <w:fldChar w:fldCharType="separate"/>
        </w:r>
        <w:r w:rsidR="00406A98">
          <w:rPr>
            <w:noProof/>
            <w:webHidden/>
          </w:rPr>
          <w:t>56</w:t>
        </w:r>
        <w:r w:rsidR="00406A98">
          <w:rPr>
            <w:noProof/>
            <w:webHidden/>
          </w:rPr>
          <w:fldChar w:fldCharType="end"/>
        </w:r>
      </w:hyperlink>
    </w:p>
    <w:p w14:paraId="0CE7AE40" w14:textId="04B4A18C" w:rsidR="00406A98" w:rsidRDefault="00000000">
      <w:pPr>
        <w:pStyle w:val="TOC3"/>
        <w:rPr>
          <w:rFonts w:eastAsiaTheme="minorEastAsia" w:cstheme="minorBidi"/>
          <w:noProof/>
          <w:sz w:val="22"/>
          <w:szCs w:val="22"/>
        </w:rPr>
      </w:pPr>
      <w:hyperlink w:anchor="_Toc132187830" w:history="1">
        <w:r w:rsidR="00406A98" w:rsidRPr="00CB7C2A">
          <w:rPr>
            <w:rStyle w:val="Hyperlink"/>
            <w:noProof/>
          </w:rPr>
          <w:t>6.3.10 Using the dictionary definition of household</w:t>
        </w:r>
        <w:r w:rsidR="00406A98">
          <w:rPr>
            <w:noProof/>
            <w:webHidden/>
          </w:rPr>
          <w:tab/>
        </w:r>
        <w:r w:rsidR="00406A98">
          <w:rPr>
            <w:noProof/>
            <w:webHidden/>
          </w:rPr>
          <w:fldChar w:fldCharType="begin"/>
        </w:r>
        <w:r w:rsidR="00406A98">
          <w:rPr>
            <w:noProof/>
            <w:webHidden/>
          </w:rPr>
          <w:instrText xml:space="preserve"> PAGEREF _Toc132187830 \h </w:instrText>
        </w:r>
        <w:r w:rsidR="00406A98">
          <w:rPr>
            <w:noProof/>
            <w:webHidden/>
          </w:rPr>
        </w:r>
        <w:r w:rsidR="00406A98">
          <w:rPr>
            <w:noProof/>
            <w:webHidden/>
          </w:rPr>
          <w:fldChar w:fldCharType="separate"/>
        </w:r>
        <w:r w:rsidR="00406A98">
          <w:rPr>
            <w:noProof/>
            <w:webHidden/>
          </w:rPr>
          <w:t>56</w:t>
        </w:r>
        <w:r w:rsidR="00406A98">
          <w:rPr>
            <w:noProof/>
            <w:webHidden/>
          </w:rPr>
          <w:fldChar w:fldCharType="end"/>
        </w:r>
      </w:hyperlink>
    </w:p>
    <w:p w14:paraId="2F148406" w14:textId="6ED1DD17" w:rsidR="00406A98" w:rsidRDefault="00000000">
      <w:pPr>
        <w:pStyle w:val="TOC3"/>
        <w:rPr>
          <w:rFonts w:eastAsiaTheme="minorEastAsia" w:cstheme="minorBidi"/>
          <w:noProof/>
          <w:sz w:val="22"/>
          <w:szCs w:val="22"/>
        </w:rPr>
      </w:pPr>
      <w:hyperlink w:anchor="_Toc132187831" w:history="1">
        <w:r w:rsidR="00406A98" w:rsidRPr="00CB7C2A">
          <w:rPr>
            <w:rStyle w:val="Hyperlink"/>
            <w:noProof/>
          </w:rPr>
          <w:t>6.3.11 Extending PCRC requirements to include caps, labels, trigger sprayers, and attachments</w:t>
        </w:r>
        <w:r w:rsidR="00406A98">
          <w:rPr>
            <w:noProof/>
            <w:webHidden/>
          </w:rPr>
          <w:tab/>
        </w:r>
        <w:r w:rsidR="00406A98">
          <w:rPr>
            <w:noProof/>
            <w:webHidden/>
          </w:rPr>
          <w:fldChar w:fldCharType="begin"/>
        </w:r>
        <w:r w:rsidR="00406A98">
          <w:rPr>
            <w:noProof/>
            <w:webHidden/>
          </w:rPr>
          <w:instrText xml:space="preserve"> PAGEREF _Toc132187831 \h </w:instrText>
        </w:r>
        <w:r w:rsidR="00406A98">
          <w:rPr>
            <w:noProof/>
            <w:webHidden/>
          </w:rPr>
        </w:r>
        <w:r w:rsidR="00406A98">
          <w:rPr>
            <w:noProof/>
            <w:webHidden/>
          </w:rPr>
          <w:fldChar w:fldCharType="separate"/>
        </w:r>
        <w:r w:rsidR="00406A98">
          <w:rPr>
            <w:noProof/>
            <w:webHidden/>
          </w:rPr>
          <w:t>56</w:t>
        </w:r>
        <w:r w:rsidR="00406A98">
          <w:rPr>
            <w:noProof/>
            <w:webHidden/>
          </w:rPr>
          <w:fldChar w:fldCharType="end"/>
        </w:r>
      </w:hyperlink>
    </w:p>
    <w:p w14:paraId="4119AB8D" w14:textId="739CB07A" w:rsidR="00406A98" w:rsidRDefault="00000000">
      <w:pPr>
        <w:pStyle w:val="TOC3"/>
        <w:rPr>
          <w:rFonts w:eastAsiaTheme="minorEastAsia" w:cstheme="minorBidi"/>
          <w:noProof/>
          <w:sz w:val="22"/>
          <w:szCs w:val="22"/>
        </w:rPr>
      </w:pPr>
      <w:hyperlink w:anchor="_Toc132187832" w:history="1">
        <w:r w:rsidR="00406A98" w:rsidRPr="00CB7C2A">
          <w:rPr>
            <w:rStyle w:val="Hyperlink"/>
            <w:noProof/>
          </w:rPr>
          <w:t>6.3.12 Structuring fees such that producers are only required to pay fees once their category has been phased into the requirement</w:t>
        </w:r>
        <w:r w:rsidR="00406A98">
          <w:rPr>
            <w:noProof/>
            <w:webHidden/>
          </w:rPr>
          <w:tab/>
        </w:r>
        <w:r w:rsidR="00406A98">
          <w:rPr>
            <w:noProof/>
            <w:webHidden/>
          </w:rPr>
          <w:fldChar w:fldCharType="begin"/>
        </w:r>
        <w:r w:rsidR="00406A98">
          <w:rPr>
            <w:noProof/>
            <w:webHidden/>
          </w:rPr>
          <w:instrText xml:space="preserve"> PAGEREF _Toc132187832 \h </w:instrText>
        </w:r>
        <w:r w:rsidR="00406A98">
          <w:rPr>
            <w:noProof/>
            <w:webHidden/>
          </w:rPr>
        </w:r>
        <w:r w:rsidR="00406A98">
          <w:rPr>
            <w:noProof/>
            <w:webHidden/>
          </w:rPr>
          <w:fldChar w:fldCharType="separate"/>
        </w:r>
        <w:r w:rsidR="00406A98">
          <w:rPr>
            <w:noProof/>
            <w:webHidden/>
          </w:rPr>
          <w:t>56</w:t>
        </w:r>
        <w:r w:rsidR="00406A98">
          <w:rPr>
            <w:noProof/>
            <w:webHidden/>
          </w:rPr>
          <w:fldChar w:fldCharType="end"/>
        </w:r>
      </w:hyperlink>
    </w:p>
    <w:p w14:paraId="10D7241B" w14:textId="4F5F5A42" w:rsidR="00406A98" w:rsidRDefault="00000000">
      <w:pPr>
        <w:pStyle w:val="TOC3"/>
        <w:rPr>
          <w:rFonts w:eastAsiaTheme="minorEastAsia" w:cstheme="minorBidi"/>
          <w:noProof/>
          <w:sz w:val="22"/>
          <w:szCs w:val="22"/>
        </w:rPr>
      </w:pPr>
      <w:hyperlink w:anchor="_Toc132187833" w:history="1">
        <w:r w:rsidR="00406A98" w:rsidRPr="00CB7C2A">
          <w:rPr>
            <w:rStyle w:val="Hyperlink"/>
            <w:noProof/>
          </w:rPr>
          <w:t>6.3.13 Not requiring de minimis producer notification</w:t>
        </w:r>
        <w:r w:rsidR="00406A98">
          <w:rPr>
            <w:noProof/>
            <w:webHidden/>
          </w:rPr>
          <w:tab/>
        </w:r>
        <w:r w:rsidR="00406A98">
          <w:rPr>
            <w:noProof/>
            <w:webHidden/>
          </w:rPr>
          <w:fldChar w:fldCharType="begin"/>
        </w:r>
        <w:r w:rsidR="00406A98">
          <w:rPr>
            <w:noProof/>
            <w:webHidden/>
          </w:rPr>
          <w:instrText xml:space="preserve"> PAGEREF _Toc132187833 \h </w:instrText>
        </w:r>
        <w:r w:rsidR="00406A98">
          <w:rPr>
            <w:noProof/>
            <w:webHidden/>
          </w:rPr>
        </w:r>
        <w:r w:rsidR="00406A98">
          <w:rPr>
            <w:noProof/>
            <w:webHidden/>
          </w:rPr>
          <w:fldChar w:fldCharType="separate"/>
        </w:r>
        <w:r w:rsidR="00406A98">
          <w:rPr>
            <w:noProof/>
            <w:webHidden/>
          </w:rPr>
          <w:t>57</w:t>
        </w:r>
        <w:r w:rsidR="00406A98">
          <w:rPr>
            <w:noProof/>
            <w:webHidden/>
          </w:rPr>
          <w:fldChar w:fldCharType="end"/>
        </w:r>
      </w:hyperlink>
    </w:p>
    <w:p w14:paraId="2890D828" w14:textId="22193784" w:rsidR="00406A98" w:rsidRDefault="00000000">
      <w:pPr>
        <w:pStyle w:val="TOC3"/>
        <w:rPr>
          <w:rFonts w:eastAsiaTheme="minorEastAsia" w:cstheme="minorBidi"/>
          <w:noProof/>
          <w:sz w:val="22"/>
          <w:szCs w:val="22"/>
        </w:rPr>
      </w:pPr>
      <w:hyperlink w:anchor="_Toc132187834" w:history="1">
        <w:r w:rsidR="00406A98" w:rsidRPr="00CB7C2A">
          <w:rPr>
            <w:rStyle w:val="Hyperlink"/>
            <w:noProof/>
          </w:rPr>
          <w:t>6.3.14 Defining manufacturer</w:t>
        </w:r>
        <w:r w:rsidR="00406A98">
          <w:rPr>
            <w:noProof/>
            <w:webHidden/>
          </w:rPr>
          <w:tab/>
        </w:r>
        <w:r w:rsidR="00406A98">
          <w:rPr>
            <w:noProof/>
            <w:webHidden/>
          </w:rPr>
          <w:fldChar w:fldCharType="begin"/>
        </w:r>
        <w:r w:rsidR="00406A98">
          <w:rPr>
            <w:noProof/>
            <w:webHidden/>
          </w:rPr>
          <w:instrText xml:space="preserve"> PAGEREF _Toc132187834 \h </w:instrText>
        </w:r>
        <w:r w:rsidR="00406A98">
          <w:rPr>
            <w:noProof/>
            <w:webHidden/>
          </w:rPr>
        </w:r>
        <w:r w:rsidR="00406A98">
          <w:rPr>
            <w:noProof/>
            <w:webHidden/>
          </w:rPr>
          <w:fldChar w:fldCharType="separate"/>
        </w:r>
        <w:r w:rsidR="00406A98">
          <w:rPr>
            <w:noProof/>
            <w:webHidden/>
          </w:rPr>
          <w:t>57</w:t>
        </w:r>
        <w:r w:rsidR="00406A98">
          <w:rPr>
            <w:noProof/>
            <w:webHidden/>
          </w:rPr>
          <w:fldChar w:fldCharType="end"/>
        </w:r>
      </w:hyperlink>
    </w:p>
    <w:p w14:paraId="57C140C9" w14:textId="3F88EEDD" w:rsidR="00406A98" w:rsidRDefault="00000000">
      <w:pPr>
        <w:pStyle w:val="TOC3"/>
        <w:rPr>
          <w:rFonts w:eastAsiaTheme="minorEastAsia" w:cstheme="minorBidi"/>
          <w:noProof/>
          <w:sz w:val="22"/>
          <w:szCs w:val="22"/>
        </w:rPr>
      </w:pPr>
      <w:hyperlink w:anchor="_Toc132187835" w:history="1">
        <w:r w:rsidR="00406A98" w:rsidRPr="00CB7C2A">
          <w:rPr>
            <w:rStyle w:val="Hyperlink"/>
            <w:noProof/>
          </w:rPr>
          <w:t>6.3.15 Adding an opportunity to add a step to ensure that disagreements over confidential data will be handled before being published</w:t>
        </w:r>
        <w:r w:rsidR="00406A98">
          <w:rPr>
            <w:noProof/>
            <w:webHidden/>
          </w:rPr>
          <w:tab/>
        </w:r>
        <w:r w:rsidR="00406A98">
          <w:rPr>
            <w:noProof/>
            <w:webHidden/>
          </w:rPr>
          <w:fldChar w:fldCharType="begin"/>
        </w:r>
        <w:r w:rsidR="00406A98">
          <w:rPr>
            <w:noProof/>
            <w:webHidden/>
          </w:rPr>
          <w:instrText xml:space="preserve"> PAGEREF _Toc132187835 \h </w:instrText>
        </w:r>
        <w:r w:rsidR="00406A98">
          <w:rPr>
            <w:noProof/>
            <w:webHidden/>
          </w:rPr>
        </w:r>
        <w:r w:rsidR="00406A98">
          <w:rPr>
            <w:noProof/>
            <w:webHidden/>
          </w:rPr>
          <w:fldChar w:fldCharType="separate"/>
        </w:r>
        <w:r w:rsidR="00406A98">
          <w:rPr>
            <w:noProof/>
            <w:webHidden/>
          </w:rPr>
          <w:t>57</w:t>
        </w:r>
        <w:r w:rsidR="00406A98">
          <w:rPr>
            <w:noProof/>
            <w:webHidden/>
          </w:rPr>
          <w:fldChar w:fldCharType="end"/>
        </w:r>
      </w:hyperlink>
    </w:p>
    <w:p w14:paraId="2BDF3916" w14:textId="50331D01" w:rsidR="00406A98" w:rsidRDefault="00000000">
      <w:pPr>
        <w:pStyle w:val="TOC3"/>
        <w:rPr>
          <w:rFonts w:eastAsiaTheme="minorEastAsia" w:cstheme="minorBidi"/>
          <w:noProof/>
          <w:sz w:val="22"/>
          <w:szCs w:val="22"/>
        </w:rPr>
      </w:pPr>
      <w:hyperlink w:anchor="_Toc132187836" w:history="1">
        <w:r w:rsidR="00406A98" w:rsidRPr="00CB7C2A">
          <w:rPr>
            <w:rStyle w:val="Hyperlink"/>
            <w:noProof/>
          </w:rPr>
          <w:t>6.3.16 Requiring third-party verification</w:t>
        </w:r>
        <w:r w:rsidR="00406A98">
          <w:rPr>
            <w:noProof/>
            <w:webHidden/>
          </w:rPr>
          <w:tab/>
        </w:r>
        <w:r w:rsidR="00406A98">
          <w:rPr>
            <w:noProof/>
            <w:webHidden/>
          </w:rPr>
          <w:fldChar w:fldCharType="begin"/>
        </w:r>
        <w:r w:rsidR="00406A98">
          <w:rPr>
            <w:noProof/>
            <w:webHidden/>
          </w:rPr>
          <w:instrText xml:space="preserve"> PAGEREF _Toc132187836 \h </w:instrText>
        </w:r>
        <w:r w:rsidR="00406A98">
          <w:rPr>
            <w:noProof/>
            <w:webHidden/>
          </w:rPr>
        </w:r>
        <w:r w:rsidR="00406A98">
          <w:rPr>
            <w:noProof/>
            <w:webHidden/>
          </w:rPr>
          <w:fldChar w:fldCharType="separate"/>
        </w:r>
        <w:r w:rsidR="00406A98">
          <w:rPr>
            <w:noProof/>
            <w:webHidden/>
          </w:rPr>
          <w:t>57</w:t>
        </w:r>
        <w:r w:rsidR="00406A98">
          <w:rPr>
            <w:noProof/>
            <w:webHidden/>
          </w:rPr>
          <w:fldChar w:fldCharType="end"/>
        </w:r>
      </w:hyperlink>
    </w:p>
    <w:p w14:paraId="2D9DC135" w14:textId="02A31F14" w:rsidR="00406A98" w:rsidRDefault="00000000">
      <w:pPr>
        <w:pStyle w:val="TOC3"/>
        <w:rPr>
          <w:rFonts w:eastAsiaTheme="minorEastAsia" w:cstheme="minorBidi"/>
          <w:noProof/>
          <w:sz w:val="22"/>
          <w:szCs w:val="22"/>
        </w:rPr>
      </w:pPr>
      <w:hyperlink w:anchor="_Toc132187837" w:history="1">
        <w:r w:rsidR="00406A98" w:rsidRPr="00CB7C2A">
          <w:rPr>
            <w:rStyle w:val="Hyperlink"/>
            <w:noProof/>
          </w:rPr>
          <w:t>6.3.17 Distributing fees differently</w:t>
        </w:r>
        <w:r w:rsidR="00406A98">
          <w:rPr>
            <w:noProof/>
            <w:webHidden/>
          </w:rPr>
          <w:tab/>
        </w:r>
        <w:r w:rsidR="00406A98">
          <w:rPr>
            <w:noProof/>
            <w:webHidden/>
          </w:rPr>
          <w:fldChar w:fldCharType="begin"/>
        </w:r>
        <w:r w:rsidR="00406A98">
          <w:rPr>
            <w:noProof/>
            <w:webHidden/>
          </w:rPr>
          <w:instrText xml:space="preserve"> PAGEREF _Toc132187837 \h </w:instrText>
        </w:r>
        <w:r w:rsidR="00406A98">
          <w:rPr>
            <w:noProof/>
            <w:webHidden/>
          </w:rPr>
        </w:r>
        <w:r w:rsidR="00406A98">
          <w:rPr>
            <w:noProof/>
            <w:webHidden/>
          </w:rPr>
          <w:fldChar w:fldCharType="separate"/>
        </w:r>
        <w:r w:rsidR="00406A98">
          <w:rPr>
            <w:noProof/>
            <w:webHidden/>
          </w:rPr>
          <w:t>58</w:t>
        </w:r>
        <w:r w:rsidR="00406A98">
          <w:rPr>
            <w:noProof/>
            <w:webHidden/>
          </w:rPr>
          <w:fldChar w:fldCharType="end"/>
        </w:r>
      </w:hyperlink>
    </w:p>
    <w:p w14:paraId="1809DB48" w14:textId="6976CCE3" w:rsidR="00406A98" w:rsidRDefault="00000000">
      <w:pPr>
        <w:pStyle w:val="TOC1"/>
        <w:rPr>
          <w:rFonts w:eastAsiaTheme="minorEastAsia" w:cstheme="minorBidi"/>
          <w:b w:val="0"/>
          <w:bCs w:val="0"/>
          <w:noProof/>
          <w:sz w:val="22"/>
          <w:szCs w:val="22"/>
        </w:rPr>
      </w:pPr>
      <w:hyperlink w:anchor="_Toc132187838" w:history="1">
        <w:r w:rsidR="00406A98" w:rsidRPr="00CB7C2A">
          <w:rPr>
            <w:rStyle w:val="Hyperlink"/>
            <w:noProof/>
          </w:rPr>
          <w:t>Chapter 7: Regulatory Fairness Act Compliance</w:t>
        </w:r>
        <w:r w:rsidR="00406A98">
          <w:rPr>
            <w:noProof/>
            <w:webHidden/>
          </w:rPr>
          <w:tab/>
        </w:r>
        <w:r w:rsidR="00406A98">
          <w:rPr>
            <w:noProof/>
            <w:webHidden/>
          </w:rPr>
          <w:fldChar w:fldCharType="begin"/>
        </w:r>
        <w:r w:rsidR="00406A98">
          <w:rPr>
            <w:noProof/>
            <w:webHidden/>
          </w:rPr>
          <w:instrText xml:space="preserve"> PAGEREF _Toc132187838 \h </w:instrText>
        </w:r>
        <w:r w:rsidR="00406A98">
          <w:rPr>
            <w:noProof/>
            <w:webHidden/>
          </w:rPr>
        </w:r>
        <w:r w:rsidR="00406A98">
          <w:rPr>
            <w:noProof/>
            <w:webHidden/>
          </w:rPr>
          <w:fldChar w:fldCharType="separate"/>
        </w:r>
        <w:r w:rsidR="00406A98">
          <w:rPr>
            <w:noProof/>
            <w:webHidden/>
          </w:rPr>
          <w:t>59</w:t>
        </w:r>
        <w:r w:rsidR="00406A98">
          <w:rPr>
            <w:noProof/>
            <w:webHidden/>
          </w:rPr>
          <w:fldChar w:fldCharType="end"/>
        </w:r>
      </w:hyperlink>
    </w:p>
    <w:p w14:paraId="4D2E2881" w14:textId="6EA53476" w:rsidR="00406A98" w:rsidRDefault="00000000">
      <w:pPr>
        <w:pStyle w:val="TOC1"/>
        <w:rPr>
          <w:rFonts w:eastAsiaTheme="minorEastAsia" w:cstheme="minorBidi"/>
          <w:b w:val="0"/>
          <w:bCs w:val="0"/>
          <w:noProof/>
          <w:sz w:val="22"/>
          <w:szCs w:val="22"/>
        </w:rPr>
      </w:pPr>
      <w:hyperlink w:anchor="_Toc132187839" w:history="1">
        <w:r w:rsidR="00406A98" w:rsidRPr="00CB7C2A">
          <w:rPr>
            <w:rStyle w:val="Hyperlink"/>
            <w:noProof/>
          </w:rPr>
          <w:t>References</w:t>
        </w:r>
        <w:r w:rsidR="00406A98">
          <w:rPr>
            <w:noProof/>
            <w:webHidden/>
          </w:rPr>
          <w:tab/>
        </w:r>
        <w:r w:rsidR="00406A98">
          <w:rPr>
            <w:noProof/>
            <w:webHidden/>
          </w:rPr>
          <w:fldChar w:fldCharType="begin"/>
        </w:r>
        <w:r w:rsidR="00406A98">
          <w:rPr>
            <w:noProof/>
            <w:webHidden/>
          </w:rPr>
          <w:instrText xml:space="preserve"> PAGEREF _Toc132187839 \h </w:instrText>
        </w:r>
        <w:r w:rsidR="00406A98">
          <w:rPr>
            <w:noProof/>
            <w:webHidden/>
          </w:rPr>
        </w:r>
        <w:r w:rsidR="00406A98">
          <w:rPr>
            <w:noProof/>
            <w:webHidden/>
          </w:rPr>
          <w:fldChar w:fldCharType="separate"/>
        </w:r>
        <w:r w:rsidR="00406A98">
          <w:rPr>
            <w:noProof/>
            <w:webHidden/>
          </w:rPr>
          <w:t>65</w:t>
        </w:r>
        <w:r w:rsidR="00406A98">
          <w:rPr>
            <w:noProof/>
            <w:webHidden/>
          </w:rPr>
          <w:fldChar w:fldCharType="end"/>
        </w:r>
      </w:hyperlink>
    </w:p>
    <w:p w14:paraId="7ED4C469" w14:textId="1BB4DE78" w:rsidR="00406A98" w:rsidRDefault="00000000">
      <w:pPr>
        <w:pStyle w:val="TOC1"/>
        <w:rPr>
          <w:rFonts w:eastAsiaTheme="minorEastAsia" w:cstheme="minorBidi"/>
          <w:b w:val="0"/>
          <w:bCs w:val="0"/>
          <w:noProof/>
          <w:sz w:val="22"/>
          <w:szCs w:val="22"/>
        </w:rPr>
      </w:pPr>
      <w:hyperlink w:anchor="_Toc132187840" w:history="1">
        <w:r w:rsidR="00406A98" w:rsidRPr="00CB7C2A">
          <w:rPr>
            <w:rStyle w:val="Hyperlink"/>
            <w:noProof/>
          </w:rPr>
          <w:t>Appendix A: Administrative Procedure Act (RCW 34.05.328) Determinations</w:t>
        </w:r>
        <w:r w:rsidR="00406A98">
          <w:rPr>
            <w:noProof/>
            <w:webHidden/>
          </w:rPr>
          <w:tab/>
        </w:r>
        <w:r w:rsidR="00406A98">
          <w:rPr>
            <w:noProof/>
            <w:webHidden/>
          </w:rPr>
          <w:fldChar w:fldCharType="begin"/>
        </w:r>
        <w:r w:rsidR="00406A98">
          <w:rPr>
            <w:noProof/>
            <w:webHidden/>
          </w:rPr>
          <w:instrText xml:space="preserve"> PAGEREF _Toc132187840 \h </w:instrText>
        </w:r>
        <w:r w:rsidR="00406A98">
          <w:rPr>
            <w:noProof/>
            <w:webHidden/>
          </w:rPr>
        </w:r>
        <w:r w:rsidR="00406A98">
          <w:rPr>
            <w:noProof/>
            <w:webHidden/>
          </w:rPr>
          <w:fldChar w:fldCharType="separate"/>
        </w:r>
        <w:r w:rsidR="00406A98">
          <w:rPr>
            <w:noProof/>
            <w:webHidden/>
          </w:rPr>
          <w:t>66</w:t>
        </w:r>
        <w:r w:rsidR="00406A98">
          <w:rPr>
            <w:noProof/>
            <w:webHidden/>
          </w:rPr>
          <w:fldChar w:fldCharType="end"/>
        </w:r>
      </w:hyperlink>
    </w:p>
    <w:p w14:paraId="1D76220A" w14:textId="437FF165" w:rsidR="00D5571C" w:rsidRDefault="008E2A16" w:rsidP="008E2A16">
      <w:r>
        <w:fldChar w:fldCharType="end"/>
      </w:r>
      <w:r w:rsidR="00D5571C">
        <w:br w:type="page"/>
      </w:r>
    </w:p>
    <w:p w14:paraId="58048F6E" w14:textId="77777777" w:rsidR="00D5571C" w:rsidRDefault="00D5571C" w:rsidP="00DE1A35">
      <w:pPr>
        <w:pStyle w:val="RMChaptertitle"/>
      </w:pPr>
      <w:bookmarkStart w:id="5" w:name="_Toc132187779"/>
      <w:r w:rsidRPr="008E2A16">
        <w:lastRenderedPageBreak/>
        <w:t>Tables</w:t>
      </w:r>
      <w:bookmarkEnd w:id="5"/>
    </w:p>
    <w:p w14:paraId="3DEED23E" w14:textId="22BF0221" w:rsidR="004E46F3" w:rsidRDefault="008E2A16">
      <w:pPr>
        <w:pStyle w:val="TableofFigures"/>
        <w:tabs>
          <w:tab w:val="right" w:leader="dot" w:pos="9350"/>
        </w:tabs>
        <w:rPr>
          <w:rFonts w:eastAsiaTheme="minorEastAsia"/>
          <w:noProof/>
          <w:sz w:val="22"/>
        </w:rPr>
      </w:pPr>
      <w:r>
        <w:fldChar w:fldCharType="begin"/>
      </w:r>
      <w:r>
        <w:instrText xml:space="preserve"> TOC \h \z \c "Table" </w:instrText>
      </w:r>
      <w:r>
        <w:fldChar w:fldCharType="separate"/>
      </w:r>
      <w:hyperlink w:anchor="_Toc133303720" w:history="1">
        <w:r w:rsidR="004E46F3" w:rsidRPr="00BA60C7">
          <w:rPr>
            <w:rStyle w:val="Hyperlink"/>
            <w:noProof/>
          </w:rPr>
          <w:t>Table 1. Cost summary.</w:t>
        </w:r>
        <w:r w:rsidR="004E46F3">
          <w:rPr>
            <w:noProof/>
            <w:webHidden/>
          </w:rPr>
          <w:tab/>
        </w:r>
        <w:r w:rsidR="004E46F3">
          <w:rPr>
            <w:noProof/>
            <w:webHidden/>
          </w:rPr>
          <w:fldChar w:fldCharType="begin"/>
        </w:r>
        <w:r w:rsidR="004E46F3">
          <w:rPr>
            <w:noProof/>
            <w:webHidden/>
          </w:rPr>
          <w:instrText xml:space="preserve"> PAGEREF _Toc133303720 \h </w:instrText>
        </w:r>
        <w:r w:rsidR="004E46F3">
          <w:rPr>
            <w:noProof/>
            <w:webHidden/>
          </w:rPr>
        </w:r>
        <w:r w:rsidR="004E46F3">
          <w:rPr>
            <w:noProof/>
            <w:webHidden/>
          </w:rPr>
          <w:fldChar w:fldCharType="separate"/>
        </w:r>
        <w:r w:rsidR="004E46F3">
          <w:rPr>
            <w:noProof/>
            <w:webHidden/>
          </w:rPr>
          <w:t>11</w:t>
        </w:r>
        <w:r w:rsidR="004E46F3">
          <w:rPr>
            <w:noProof/>
            <w:webHidden/>
          </w:rPr>
          <w:fldChar w:fldCharType="end"/>
        </w:r>
      </w:hyperlink>
    </w:p>
    <w:p w14:paraId="0E047110" w14:textId="542DDC48" w:rsidR="004E46F3" w:rsidRDefault="00000000">
      <w:pPr>
        <w:pStyle w:val="TableofFigures"/>
        <w:tabs>
          <w:tab w:val="right" w:leader="dot" w:pos="9350"/>
        </w:tabs>
        <w:rPr>
          <w:rFonts w:eastAsiaTheme="minorEastAsia"/>
          <w:noProof/>
          <w:sz w:val="22"/>
        </w:rPr>
      </w:pPr>
      <w:hyperlink w:anchor="_Toc133303721" w:history="1">
        <w:r w:rsidR="004E46F3" w:rsidRPr="00BA60C7">
          <w:rPr>
            <w:rStyle w:val="Hyperlink"/>
            <w:noProof/>
          </w:rPr>
          <w:t>Table 2. Postconsumer recycled content requirement and phases.</w:t>
        </w:r>
        <w:r w:rsidR="004E46F3">
          <w:rPr>
            <w:noProof/>
            <w:webHidden/>
          </w:rPr>
          <w:tab/>
        </w:r>
        <w:r w:rsidR="004E46F3">
          <w:rPr>
            <w:noProof/>
            <w:webHidden/>
          </w:rPr>
          <w:fldChar w:fldCharType="begin"/>
        </w:r>
        <w:r w:rsidR="004E46F3">
          <w:rPr>
            <w:noProof/>
            <w:webHidden/>
          </w:rPr>
          <w:instrText xml:space="preserve"> PAGEREF _Toc133303721 \h </w:instrText>
        </w:r>
        <w:r w:rsidR="004E46F3">
          <w:rPr>
            <w:noProof/>
            <w:webHidden/>
          </w:rPr>
        </w:r>
        <w:r w:rsidR="004E46F3">
          <w:rPr>
            <w:noProof/>
            <w:webHidden/>
          </w:rPr>
          <w:fldChar w:fldCharType="separate"/>
        </w:r>
        <w:r w:rsidR="004E46F3">
          <w:rPr>
            <w:noProof/>
            <w:webHidden/>
          </w:rPr>
          <w:t>25</w:t>
        </w:r>
        <w:r w:rsidR="004E46F3">
          <w:rPr>
            <w:noProof/>
            <w:webHidden/>
          </w:rPr>
          <w:fldChar w:fldCharType="end"/>
        </w:r>
      </w:hyperlink>
    </w:p>
    <w:p w14:paraId="5B7232CD" w14:textId="4C4F79F5" w:rsidR="004E46F3" w:rsidRDefault="00000000">
      <w:pPr>
        <w:pStyle w:val="TableofFigures"/>
        <w:tabs>
          <w:tab w:val="right" w:leader="dot" w:pos="9350"/>
        </w:tabs>
        <w:rPr>
          <w:rFonts w:eastAsiaTheme="minorEastAsia"/>
          <w:noProof/>
          <w:sz w:val="22"/>
        </w:rPr>
      </w:pPr>
      <w:hyperlink w:anchor="_Toc133303722" w:history="1">
        <w:r w:rsidR="004E46F3" w:rsidRPr="00BA60C7">
          <w:rPr>
            <w:rStyle w:val="Hyperlink"/>
            <w:noProof/>
          </w:rPr>
          <w:t>Table 3. Annual cost of registration and reporting for each producer.</w:t>
        </w:r>
        <w:r w:rsidR="004E46F3">
          <w:rPr>
            <w:noProof/>
            <w:webHidden/>
          </w:rPr>
          <w:tab/>
        </w:r>
        <w:r w:rsidR="004E46F3">
          <w:rPr>
            <w:noProof/>
            <w:webHidden/>
          </w:rPr>
          <w:fldChar w:fldCharType="begin"/>
        </w:r>
        <w:r w:rsidR="004E46F3">
          <w:rPr>
            <w:noProof/>
            <w:webHidden/>
          </w:rPr>
          <w:instrText xml:space="preserve"> PAGEREF _Toc133303722 \h </w:instrText>
        </w:r>
        <w:r w:rsidR="004E46F3">
          <w:rPr>
            <w:noProof/>
            <w:webHidden/>
          </w:rPr>
        </w:r>
        <w:r w:rsidR="004E46F3">
          <w:rPr>
            <w:noProof/>
            <w:webHidden/>
          </w:rPr>
          <w:fldChar w:fldCharType="separate"/>
        </w:r>
        <w:r w:rsidR="004E46F3">
          <w:rPr>
            <w:noProof/>
            <w:webHidden/>
          </w:rPr>
          <w:t>31</w:t>
        </w:r>
        <w:r w:rsidR="004E46F3">
          <w:rPr>
            <w:noProof/>
            <w:webHidden/>
          </w:rPr>
          <w:fldChar w:fldCharType="end"/>
        </w:r>
      </w:hyperlink>
    </w:p>
    <w:p w14:paraId="4713C0F5" w14:textId="38CA443B" w:rsidR="004E46F3" w:rsidRDefault="00000000">
      <w:pPr>
        <w:pStyle w:val="TableofFigures"/>
        <w:tabs>
          <w:tab w:val="right" w:leader="dot" w:pos="9350"/>
        </w:tabs>
        <w:rPr>
          <w:rFonts w:eastAsiaTheme="minorEastAsia"/>
          <w:noProof/>
          <w:sz w:val="22"/>
        </w:rPr>
      </w:pPr>
      <w:hyperlink w:anchor="_Toc133303723" w:history="1">
        <w:r w:rsidR="004E46F3" w:rsidRPr="00BA60C7">
          <w:rPr>
            <w:rStyle w:val="Hyperlink"/>
            <w:noProof/>
          </w:rPr>
          <w:t>Table 4. Annual cost of de minimis notification.</w:t>
        </w:r>
        <w:r w:rsidR="004E46F3">
          <w:rPr>
            <w:noProof/>
            <w:webHidden/>
          </w:rPr>
          <w:tab/>
        </w:r>
        <w:r w:rsidR="004E46F3">
          <w:rPr>
            <w:noProof/>
            <w:webHidden/>
          </w:rPr>
          <w:fldChar w:fldCharType="begin"/>
        </w:r>
        <w:r w:rsidR="004E46F3">
          <w:rPr>
            <w:noProof/>
            <w:webHidden/>
          </w:rPr>
          <w:instrText xml:space="preserve"> PAGEREF _Toc133303723 \h </w:instrText>
        </w:r>
        <w:r w:rsidR="004E46F3">
          <w:rPr>
            <w:noProof/>
            <w:webHidden/>
          </w:rPr>
        </w:r>
        <w:r w:rsidR="004E46F3">
          <w:rPr>
            <w:noProof/>
            <w:webHidden/>
          </w:rPr>
          <w:fldChar w:fldCharType="separate"/>
        </w:r>
        <w:r w:rsidR="004E46F3">
          <w:rPr>
            <w:noProof/>
            <w:webHidden/>
          </w:rPr>
          <w:t>31</w:t>
        </w:r>
        <w:r w:rsidR="004E46F3">
          <w:rPr>
            <w:noProof/>
            <w:webHidden/>
          </w:rPr>
          <w:fldChar w:fldCharType="end"/>
        </w:r>
      </w:hyperlink>
    </w:p>
    <w:p w14:paraId="5BDE52B7" w14:textId="7093359A" w:rsidR="004E46F3" w:rsidRDefault="00000000">
      <w:pPr>
        <w:pStyle w:val="TableofFigures"/>
        <w:tabs>
          <w:tab w:val="right" w:leader="dot" w:pos="9350"/>
        </w:tabs>
        <w:rPr>
          <w:rFonts w:eastAsiaTheme="minorEastAsia"/>
          <w:noProof/>
          <w:sz w:val="22"/>
        </w:rPr>
      </w:pPr>
      <w:hyperlink w:anchor="_Toc133303724" w:history="1">
        <w:r w:rsidR="004E46F3" w:rsidRPr="00BA60C7">
          <w:rPr>
            <w:rStyle w:val="Hyperlink"/>
            <w:noProof/>
          </w:rPr>
          <w:t>Table 5. PCRC implementation cost by covered product category.</w:t>
        </w:r>
        <w:r w:rsidR="004E46F3">
          <w:rPr>
            <w:noProof/>
            <w:webHidden/>
          </w:rPr>
          <w:tab/>
        </w:r>
        <w:r w:rsidR="004E46F3">
          <w:rPr>
            <w:noProof/>
            <w:webHidden/>
          </w:rPr>
          <w:fldChar w:fldCharType="begin"/>
        </w:r>
        <w:r w:rsidR="004E46F3">
          <w:rPr>
            <w:noProof/>
            <w:webHidden/>
          </w:rPr>
          <w:instrText xml:space="preserve"> PAGEREF _Toc133303724 \h </w:instrText>
        </w:r>
        <w:r w:rsidR="004E46F3">
          <w:rPr>
            <w:noProof/>
            <w:webHidden/>
          </w:rPr>
        </w:r>
        <w:r w:rsidR="004E46F3">
          <w:rPr>
            <w:noProof/>
            <w:webHidden/>
          </w:rPr>
          <w:fldChar w:fldCharType="separate"/>
        </w:r>
        <w:r w:rsidR="004E46F3">
          <w:rPr>
            <w:noProof/>
            <w:webHidden/>
          </w:rPr>
          <w:t>33</w:t>
        </w:r>
        <w:r w:rsidR="004E46F3">
          <w:rPr>
            <w:noProof/>
            <w:webHidden/>
          </w:rPr>
          <w:fldChar w:fldCharType="end"/>
        </w:r>
      </w:hyperlink>
    </w:p>
    <w:p w14:paraId="7B181CE7" w14:textId="6A33C24D" w:rsidR="004E46F3" w:rsidRDefault="00000000">
      <w:pPr>
        <w:pStyle w:val="TableofFigures"/>
        <w:tabs>
          <w:tab w:val="right" w:leader="dot" w:pos="9350"/>
        </w:tabs>
        <w:rPr>
          <w:rFonts w:eastAsiaTheme="minorEastAsia"/>
          <w:noProof/>
          <w:sz w:val="22"/>
        </w:rPr>
      </w:pPr>
      <w:hyperlink w:anchor="_Toc133303725" w:history="1">
        <w:r w:rsidR="004E46F3" w:rsidRPr="00BA60C7">
          <w:rPr>
            <w:rStyle w:val="Hyperlink"/>
            <w:noProof/>
          </w:rPr>
          <w:t>Table 6. Fee impacts of rule cost distribution by registered plastic resin weight ranges, compared to an equal fee for each producer, based on FY 2023 fees.</w:t>
        </w:r>
        <w:r w:rsidR="004E46F3">
          <w:rPr>
            <w:noProof/>
            <w:webHidden/>
          </w:rPr>
          <w:tab/>
        </w:r>
        <w:r w:rsidR="004E46F3">
          <w:rPr>
            <w:noProof/>
            <w:webHidden/>
          </w:rPr>
          <w:fldChar w:fldCharType="begin"/>
        </w:r>
        <w:r w:rsidR="004E46F3">
          <w:rPr>
            <w:noProof/>
            <w:webHidden/>
          </w:rPr>
          <w:instrText xml:space="preserve"> PAGEREF _Toc133303725 \h </w:instrText>
        </w:r>
        <w:r w:rsidR="004E46F3">
          <w:rPr>
            <w:noProof/>
            <w:webHidden/>
          </w:rPr>
        </w:r>
        <w:r w:rsidR="004E46F3">
          <w:rPr>
            <w:noProof/>
            <w:webHidden/>
          </w:rPr>
          <w:fldChar w:fldCharType="separate"/>
        </w:r>
        <w:r w:rsidR="004E46F3">
          <w:rPr>
            <w:noProof/>
            <w:webHidden/>
          </w:rPr>
          <w:t>35</w:t>
        </w:r>
        <w:r w:rsidR="004E46F3">
          <w:rPr>
            <w:noProof/>
            <w:webHidden/>
          </w:rPr>
          <w:fldChar w:fldCharType="end"/>
        </w:r>
      </w:hyperlink>
    </w:p>
    <w:p w14:paraId="6719D5BB" w14:textId="45249442" w:rsidR="004E46F3" w:rsidRDefault="00000000">
      <w:pPr>
        <w:pStyle w:val="TableofFigures"/>
        <w:tabs>
          <w:tab w:val="right" w:leader="dot" w:pos="9350"/>
        </w:tabs>
        <w:rPr>
          <w:rFonts w:eastAsiaTheme="minorEastAsia"/>
          <w:noProof/>
          <w:sz w:val="22"/>
        </w:rPr>
      </w:pPr>
      <w:hyperlink w:anchor="_Toc133303726" w:history="1">
        <w:r w:rsidR="004E46F3" w:rsidRPr="00BA60C7">
          <w:rPr>
            <w:rStyle w:val="Hyperlink"/>
            <w:noProof/>
          </w:rPr>
          <w:t>Table 7. Fee impacts of rule cost distribution by plastic resin weights compared to the mean resin weight value among all producers, compared to an equal fee for each producer, based on FY 2023 fees.</w:t>
        </w:r>
        <w:r w:rsidR="004E46F3">
          <w:rPr>
            <w:noProof/>
            <w:webHidden/>
          </w:rPr>
          <w:tab/>
        </w:r>
        <w:r w:rsidR="004E46F3">
          <w:rPr>
            <w:noProof/>
            <w:webHidden/>
          </w:rPr>
          <w:fldChar w:fldCharType="begin"/>
        </w:r>
        <w:r w:rsidR="004E46F3">
          <w:rPr>
            <w:noProof/>
            <w:webHidden/>
          </w:rPr>
          <w:instrText xml:space="preserve"> PAGEREF _Toc133303726 \h </w:instrText>
        </w:r>
        <w:r w:rsidR="004E46F3">
          <w:rPr>
            <w:noProof/>
            <w:webHidden/>
          </w:rPr>
        </w:r>
        <w:r w:rsidR="004E46F3">
          <w:rPr>
            <w:noProof/>
            <w:webHidden/>
          </w:rPr>
          <w:fldChar w:fldCharType="separate"/>
        </w:r>
        <w:r w:rsidR="004E46F3">
          <w:rPr>
            <w:noProof/>
            <w:webHidden/>
          </w:rPr>
          <w:t>36</w:t>
        </w:r>
        <w:r w:rsidR="004E46F3">
          <w:rPr>
            <w:noProof/>
            <w:webHidden/>
          </w:rPr>
          <w:fldChar w:fldCharType="end"/>
        </w:r>
      </w:hyperlink>
    </w:p>
    <w:p w14:paraId="65296509" w14:textId="23A50F21" w:rsidR="004E46F3" w:rsidRDefault="00000000">
      <w:pPr>
        <w:pStyle w:val="TableofFigures"/>
        <w:tabs>
          <w:tab w:val="right" w:leader="dot" w:pos="9350"/>
        </w:tabs>
        <w:rPr>
          <w:rFonts w:eastAsiaTheme="minorEastAsia"/>
          <w:noProof/>
          <w:sz w:val="22"/>
        </w:rPr>
      </w:pPr>
      <w:hyperlink w:anchor="_Toc133303727" w:history="1">
        <w:r w:rsidR="004E46F3" w:rsidRPr="00BA60C7">
          <w:rPr>
            <w:rStyle w:val="Hyperlink"/>
            <w:noProof/>
          </w:rPr>
          <w:t>Table 8. Fee impacts of rule cost distribution by registered plastic resin weight ranges, compared to an equal fee for each producer, based on ongoing annual cost estimates from the fiscal note.</w:t>
        </w:r>
        <w:r w:rsidR="004E46F3">
          <w:rPr>
            <w:noProof/>
            <w:webHidden/>
          </w:rPr>
          <w:tab/>
        </w:r>
        <w:r w:rsidR="004E46F3">
          <w:rPr>
            <w:noProof/>
            <w:webHidden/>
          </w:rPr>
          <w:fldChar w:fldCharType="begin"/>
        </w:r>
        <w:r w:rsidR="004E46F3">
          <w:rPr>
            <w:noProof/>
            <w:webHidden/>
          </w:rPr>
          <w:instrText xml:space="preserve"> PAGEREF _Toc133303727 \h </w:instrText>
        </w:r>
        <w:r w:rsidR="004E46F3">
          <w:rPr>
            <w:noProof/>
            <w:webHidden/>
          </w:rPr>
        </w:r>
        <w:r w:rsidR="004E46F3">
          <w:rPr>
            <w:noProof/>
            <w:webHidden/>
          </w:rPr>
          <w:fldChar w:fldCharType="separate"/>
        </w:r>
        <w:r w:rsidR="004E46F3">
          <w:rPr>
            <w:noProof/>
            <w:webHidden/>
          </w:rPr>
          <w:t>36</w:t>
        </w:r>
        <w:r w:rsidR="004E46F3">
          <w:rPr>
            <w:noProof/>
            <w:webHidden/>
          </w:rPr>
          <w:fldChar w:fldCharType="end"/>
        </w:r>
      </w:hyperlink>
    </w:p>
    <w:p w14:paraId="0015FF03" w14:textId="5781B10C" w:rsidR="004E46F3" w:rsidRDefault="00000000">
      <w:pPr>
        <w:pStyle w:val="TableofFigures"/>
        <w:tabs>
          <w:tab w:val="right" w:leader="dot" w:pos="9350"/>
        </w:tabs>
        <w:rPr>
          <w:rFonts w:eastAsiaTheme="minorEastAsia"/>
          <w:noProof/>
          <w:sz w:val="22"/>
        </w:rPr>
      </w:pPr>
      <w:hyperlink w:anchor="_Toc133303728" w:history="1">
        <w:r w:rsidR="004E46F3" w:rsidRPr="00BA60C7">
          <w:rPr>
            <w:rStyle w:val="Hyperlink"/>
            <w:noProof/>
          </w:rPr>
          <w:t>Table 9. Fee impacts of rule cost distribution by plastic resin weights compared to the mean resin weight value among all producers, compared to an equal fee for each producer, based on ongoing annual cost estimates from the fiscal note.</w:t>
        </w:r>
        <w:r w:rsidR="004E46F3">
          <w:rPr>
            <w:noProof/>
            <w:webHidden/>
          </w:rPr>
          <w:tab/>
        </w:r>
        <w:r w:rsidR="004E46F3">
          <w:rPr>
            <w:noProof/>
            <w:webHidden/>
          </w:rPr>
          <w:fldChar w:fldCharType="begin"/>
        </w:r>
        <w:r w:rsidR="004E46F3">
          <w:rPr>
            <w:noProof/>
            <w:webHidden/>
          </w:rPr>
          <w:instrText xml:space="preserve"> PAGEREF _Toc133303728 \h </w:instrText>
        </w:r>
        <w:r w:rsidR="004E46F3">
          <w:rPr>
            <w:noProof/>
            <w:webHidden/>
          </w:rPr>
        </w:r>
        <w:r w:rsidR="004E46F3">
          <w:rPr>
            <w:noProof/>
            <w:webHidden/>
          </w:rPr>
          <w:fldChar w:fldCharType="separate"/>
        </w:r>
        <w:r w:rsidR="004E46F3">
          <w:rPr>
            <w:noProof/>
            <w:webHidden/>
          </w:rPr>
          <w:t>36</w:t>
        </w:r>
        <w:r w:rsidR="004E46F3">
          <w:rPr>
            <w:noProof/>
            <w:webHidden/>
          </w:rPr>
          <w:fldChar w:fldCharType="end"/>
        </w:r>
      </w:hyperlink>
    </w:p>
    <w:p w14:paraId="66E4C96A" w14:textId="2D1BA48D" w:rsidR="004E46F3" w:rsidRDefault="00000000">
      <w:pPr>
        <w:pStyle w:val="TableofFigures"/>
        <w:tabs>
          <w:tab w:val="right" w:leader="dot" w:pos="9350"/>
        </w:tabs>
        <w:rPr>
          <w:rFonts w:eastAsiaTheme="minorEastAsia"/>
          <w:noProof/>
          <w:sz w:val="22"/>
        </w:rPr>
      </w:pPr>
      <w:hyperlink w:anchor="_Toc133303729" w:history="1">
        <w:r w:rsidR="004E46F3" w:rsidRPr="00BA60C7">
          <w:rPr>
            <w:rStyle w:val="Hyperlink"/>
            <w:noProof/>
          </w:rPr>
          <w:t>Table 10. Annual cost of PCRC temporary exclusion request for producers (per entity).</w:t>
        </w:r>
        <w:r w:rsidR="004E46F3">
          <w:rPr>
            <w:noProof/>
            <w:webHidden/>
          </w:rPr>
          <w:tab/>
        </w:r>
        <w:r w:rsidR="004E46F3">
          <w:rPr>
            <w:noProof/>
            <w:webHidden/>
          </w:rPr>
          <w:fldChar w:fldCharType="begin"/>
        </w:r>
        <w:r w:rsidR="004E46F3">
          <w:rPr>
            <w:noProof/>
            <w:webHidden/>
          </w:rPr>
          <w:instrText xml:space="preserve"> PAGEREF _Toc133303729 \h </w:instrText>
        </w:r>
        <w:r w:rsidR="004E46F3">
          <w:rPr>
            <w:noProof/>
            <w:webHidden/>
          </w:rPr>
        </w:r>
        <w:r w:rsidR="004E46F3">
          <w:rPr>
            <w:noProof/>
            <w:webHidden/>
          </w:rPr>
          <w:fldChar w:fldCharType="separate"/>
        </w:r>
        <w:r w:rsidR="004E46F3">
          <w:rPr>
            <w:noProof/>
            <w:webHidden/>
          </w:rPr>
          <w:t>37</w:t>
        </w:r>
        <w:r w:rsidR="004E46F3">
          <w:rPr>
            <w:noProof/>
            <w:webHidden/>
          </w:rPr>
          <w:fldChar w:fldCharType="end"/>
        </w:r>
      </w:hyperlink>
    </w:p>
    <w:p w14:paraId="720FD19B" w14:textId="79397780" w:rsidR="004E46F3" w:rsidRDefault="00000000">
      <w:pPr>
        <w:pStyle w:val="TableofFigures"/>
        <w:tabs>
          <w:tab w:val="right" w:leader="dot" w:pos="9350"/>
        </w:tabs>
        <w:rPr>
          <w:rFonts w:eastAsiaTheme="minorEastAsia"/>
          <w:noProof/>
          <w:sz w:val="22"/>
        </w:rPr>
      </w:pPr>
      <w:hyperlink w:anchor="_Toc133303730" w:history="1">
        <w:r w:rsidR="004E46F3" w:rsidRPr="00BA60C7">
          <w:rPr>
            <w:rStyle w:val="Hyperlink"/>
            <w:noProof/>
          </w:rPr>
          <w:t>Table 11. 20-year present value cost estimation of exclusion request considering various proportion of producers.</w:t>
        </w:r>
        <w:r w:rsidR="004E46F3">
          <w:rPr>
            <w:noProof/>
            <w:webHidden/>
          </w:rPr>
          <w:tab/>
        </w:r>
        <w:r w:rsidR="004E46F3">
          <w:rPr>
            <w:noProof/>
            <w:webHidden/>
          </w:rPr>
          <w:fldChar w:fldCharType="begin"/>
        </w:r>
        <w:r w:rsidR="004E46F3">
          <w:rPr>
            <w:noProof/>
            <w:webHidden/>
          </w:rPr>
          <w:instrText xml:space="preserve"> PAGEREF _Toc133303730 \h </w:instrText>
        </w:r>
        <w:r w:rsidR="004E46F3">
          <w:rPr>
            <w:noProof/>
            <w:webHidden/>
          </w:rPr>
        </w:r>
        <w:r w:rsidR="004E46F3">
          <w:rPr>
            <w:noProof/>
            <w:webHidden/>
          </w:rPr>
          <w:fldChar w:fldCharType="separate"/>
        </w:r>
        <w:r w:rsidR="004E46F3">
          <w:rPr>
            <w:noProof/>
            <w:webHidden/>
          </w:rPr>
          <w:t>38</w:t>
        </w:r>
        <w:r w:rsidR="004E46F3">
          <w:rPr>
            <w:noProof/>
            <w:webHidden/>
          </w:rPr>
          <w:fldChar w:fldCharType="end"/>
        </w:r>
      </w:hyperlink>
    </w:p>
    <w:p w14:paraId="63E91693" w14:textId="569C6D67" w:rsidR="004E46F3" w:rsidRDefault="00000000">
      <w:pPr>
        <w:pStyle w:val="TableofFigures"/>
        <w:tabs>
          <w:tab w:val="right" w:leader="dot" w:pos="9350"/>
        </w:tabs>
        <w:rPr>
          <w:rFonts w:eastAsiaTheme="minorEastAsia"/>
          <w:noProof/>
          <w:sz w:val="22"/>
        </w:rPr>
      </w:pPr>
      <w:hyperlink w:anchor="_Toc133303731" w:history="1">
        <w:r w:rsidR="004E46F3" w:rsidRPr="00BA60C7">
          <w:rPr>
            <w:rStyle w:val="Hyperlink"/>
            <w:noProof/>
          </w:rPr>
          <w:t>Table 12. Annual cost of PCRC adjustment request by PCRC industry.</w:t>
        </w:r>
        <w:r w:rsidR="004E46F3">
          <w:rPr>
            <w:noProof/>
            <w:webHidden/>
          </w:rPr>
          <w:tab/>
        </w:r>
        <w:r w:rsidR="004E46F3">
          <w:rPr>
            <w:noProof/>
            <w:webHidden/>
          </w:rPr>
          <w:fldChar w:fldCharType="begin"/>
        </w:r>
        <w:r w:rsidR="004E46F3">
          <w:rPr>
            <w:noProof/>
            <w:webHidden/>
          </w:rPr>
          <w:instrText xml:space="preserve"> PAGEREF _Toc133303731 \h </w:instrText>
        </w:r>
        <w:r w:rsidR="004E46F3">
          <w:rPr>
            <w:noProof/>
            <w:webHidden/>
          </w:rPr>
        </w:r>
        <w:r w:rsidR="004E46F3">
          <w:rPr>
            <w:noProof/>
            <w:webHidden/>
          </w:rPr>
          <w:fldChar w:fldCharType="separate"/>
        </w:r>
        <w:r w:rsidR="004E46F3">
          <w:rPr>
            <w:noProof/>
            <w:webHidden/>
          </w:rPr>
          <w:t>39</w:t>
        </w:r>
        <w:r w:rsidR="004E46F3">
          <w:rPr>
            <w:noProof/>
            <w:webHidden/>
          </w:rPr>
          <w:fldChar w:fldCharType="end"/>
        </w:r>
      </w:hyperlink>
    </w:p>
    <w:p w14:paraId="0013FB92" w14:textId="224AC765" w:rsidR="004E46F3" w:rsidRDefault="00000000">
      <w:pPr>
        <w:pStyle w:val="TableofFigures"/>
        <w:tabs>
          <w:tab w:val="right" w:leader="dot" w:pos="9350"/>
        </w:tabs>
        <w:rPr>
          <w:rFonts w:eastAsiaTheme="minorEastAsia"/>
          <w:noProof/>
          <w:sz w:val="22"/>
        </w:rPr>
      </w:pPr>
      <w:hyperlink w:anchor="_Toc133303732" w:history="1">
        <w:r w:rsidR="004E46F3" w:rsidRPr="00BA60C7">
          <w:rPr>
            <w:rStyle w:val="Hyperlink"/>
            <w:noProof/>
          </w:rPr>
          <w:t>Table 13. Costs associated with spending a dollar at various times.</w:t>
        </w:r>
        <w:r w:rsidR="004E46F3">
          <w:rPr>
            <w:noProof/>
            <w:webHidden/>
          </w:rPr>
          <w:tab/>
        </w:r>
        <w:r w:rsidR="004E46F3">
          <w:rPr>
            <w:noProof/>
            <w:webHidden/>
          </w:rPr>
          <w:fldChar w:fldCharType="begin"/>
        </w:r>
        <w:r w:rsidR="004E46F3">
          <w:rPr>
            <w:noProof/>
            <w:webHidden/>
          </w:rPr>
          <w:instrText xml:space="preserve"> PAGEREF _Toc133303732 \h </w:instrText>
        </w:r>
        <w:r w:rsidR="004E46F3">
          <w:rPr>
            <w:noProof/>
            <w:webHidden/>
          </w:rPr>
        </w:r>
        <w:r w:rsidR="004E46F3">
          <w:rPr>
            <w:noProof/>
            <w:webHidden/>
          </w:rPr>
          <w:fldChar w:fldCharType="separate"/>
        </w:r>
        <w:r w:rsidR="004E46F3">
          <w:rPr>
            <w:noProof/>
            <w:webHidden/>
          </w:rPr>
          <w:t>40</w:t>
        </w:r>
        <w:r w:rsidR="004E46F3">
          <w:rPr>
            <w:noProof/>
            <w:webHidden/>
          </w:rPr>
          <w:fldChar w:fldCharType="end"/>
        </w:r>
      </w:hyperlink>
    </w:p>
    <w:p w14:paraId="19A6AE50" w14:textId="1FCA3AFB" w:rsidR="004E46F3" w:rsidRDefault="00000000">
      <w:pPr>
        <w:pStyle w:val="TableofFigures"/>
        <w:tabs>
          <w:tab w:val="right" w:leader="dot" w:pos="9350"/>
        </w:tabs>
        <w:rPr>
          <w:rFonts w:eastAsiaTheme="minorEastAsia"/>
          <w:noProof/>
          <w:sz w:val="22"/>
        </w:rPr>
      </w:pPr>
      <w:hyperlink w:anchor="_Toc133303733" w:history="1">
        <w:r w:rsidR="004E46F3" w:rsidRPr="00BA60C7">
          <w:rPr>
            <w:rStyle w:val="Hyperlink"/>
            <w:noProof/>
          </w:rPr>
          <w:t>Table 1</w:t>
        </w:r>
        <w:r w:rsidR="005D331A">
          <w:rPr>
            <w:rStyle w:val="Hyperlink"/>
            <w:noProof/>
          </w:rPr>
          <w:t>4</w:t>
        </w:r>
        <w:r w:rsidR="004E46F3" w:rsidRPr="00BA60C7">
          <w:rPr>
            <w:rStyle w:val="Hyperlink"/>
            <w:noProof/>
          </w:rPr>
          <w:t>. Cost summary.</w:t>
        </w:r>
        <w:r w:rsidR="004E46F3">
          <w:rPr>
            <w:noProof/>
            <w:webHidden/>
          </w:rPr>
          <w:tab/>
        </w:r>
        <w:r w:rsidR="004E46F3">
          <w:rPr>
            <w:noProof/>
            <w:webHidden/>
          </w:rPr>
          <w:fldChar w:fldCharType="begin"/>
        </w:r>
        <w:r w:rsidR="004E46F3">
          <w:rPr>
            <w:noProof/>
            <w:webHidden/>
          </w:rPr>
          <w:instrText xml:space="preserve"> PAGEREF _Toc133303733 \h </w:instrText>
        </w:r>
        <w:r w:rsidR="004E46F3">
          <w:rPr>
            <w:noProof/>
            <w:webHidden/>
          </w:rPr>
        </w:r>
        <w:r w:rsidR="004E46F3">
          <w:rPr>
            <w:noProof/>
            <w:webHidden/>
          </w:rPr>
          <w:fldChar w:fldCharType="separate"/>
        </w:r>
        <w:r w:rsidR="004E46F3">
          <w:rPr>
            <w:noProof/>
            <w:webHidden/>
          </w:rPr>
          <w:t>47</w:t>
        </w:r>
        <w:r w:rsidR="004E46F3">
          <w:rPr>
            <w:noProof/>
            <w:webHidden/>
          </w:rPr>
          <w:fldChar w:fldCharType="end"/>
        </w:r>
      </w:hyperlink>
    </w:p>
    <w:p w14:paraId="2A79F53A" w14:textId="0555579A" w:rsidR="004E46F3" w:rsidRDefault="00000000">
      <w:pPr>
        <w:pStyle w:val="TableofFigures"/>
        <w:tabs>
          <w:tab w:val="right" w:leader="dot" w:pos="9350"/>
        </w:tabs>
        <w:rPr>
          <w:rFonts w:eastAsiaTheme="minorEastAsia"/>
          <w:noProof/>
          <w:sz w:val="22"/>
        </w:rPr>
      </w:pPr>
      <w:hyperlink w:anchor="_Toc133303734" w:history="1">
        <w:r w:rsidR="004E46F3" w:rsidRPr="00BA60C7">
          <w:rPr>
            <w:rStyle w:val="Hyperlink"/>
            <w:noProof/>
          </w:rPr>
          <w:t xml:space="preserve">Table </w:t>
        </w:r>
        <w:r w:rsidR="005D331A">
          <w:rPr>
            <w:rStyle w:val="Hyperlink"/>
            <w:noProof/>
          </w:rPr>
          <w:t>15</w:t>
        </w:r>
        <w:r w:rsidR="004E46F3" w:rsidRPr="00BA60C7">
          <w:rPr>
            <w:rStyle w:val="Hyperlink"/>
            <w:noProof/>
          </w:rPr>
          <w:t>. Compliance costs per employee.</w:t>
        </w:r>
        <w:r w:rsidR="004E46F3">
          <w:rPr>
            <w:noProof/>
            <w:webHidden/>
          </w:rPr>
          <w:tab/>
        </w:r>
        <w:r w:rsidR="004E46F3">
          <w:rPr>
            <w:noProof/>
            <w:webHidden/>
          </w:rPr>
          <w:fldChar w:fldCharType="begin"/>
        </w:r>
        <w:r w:rsidR="004E46F3">
          <w:rPr>
            <w:noProof/>
            <w:webHidden/>
          </w:rPr>
          <w:instrText xml:space="preserve"> PAGEREF _Toc133303734 \h </w:instrText>
        </w:r>
        <w:r w:rsidR="004E46F3">
          <w:rPr>
            <w:noProof/>
            <w:webHidden/>
          </w:rPr>
        </w:r>
        <w:r w:rsidR="004E46F3">
          <w:rPr>
            <w:noProof/>
            <w:webHidden/>
          </w:rPr>
          <w:fldChar w:fldCharType="separate"/>
        </w:r>
        <w:r w:rsidR="004E46F3">
          <w:rPr>
            <w:noProof/>
            <w:webHidden/>
          </w:rPr>
          <w:t>61</w:t>
        </w:r>
        <w:r w:rsidR="004E46F3">
          <w:rPr>
            <w:noProof/>
            <w:webHidden/>
          </w:rPr>
          <w:fldChar w:fldCharType="end"/>
        </w:r>
      </w:hyperlink>
    </w:p>
    <w:p w14:paraId="23C1821D" w14:textId="6CA02BDF" w:rsidR="004E46F3" w:rsidRDefault="00000000">
      <w:pPr>
        <w:pStyle w:val="TableofFigures"/>
        <w:tabs>
          <w:tab w:val="right" w:leader="dot" w:pos="9350"/>
        </w:tabs>
        <w:rPr>
          <w:rFonts w:eastAsiaTheme="minorEastAsia"/>
          <w:noProof/>
          <w:sz w:val="22"/>
        </w:rPr>
      </w:pPr>
      <w:hyperlink w:anchor="_Toc133303735" w:history="1">
        <w:r w:rsidR="004E46F3" w:rsidRPr="00BA60C7">
          <w:rPr>
            <w:rStyle w:val="Hyperlink"/>
            <w:noProof/>
          </w:rPr>
          <w:t xml:space="preserve">Table </w:t>
        </w:r>
        <w:r w:rsidR="005D331A">
          <w:rPr>
            <w:rStyle w:val="Hyperlink"/>
            <w:noProof/>
          </w:rPr>
          <w:t>16</w:t>
        </w:r>
        <w:r w:rsidR="004E46F3" w:rsidRPr="00BA60C7">
          <w:rPr>
            <w:rStyle w:val="Hyperlink"/>
            <w:noProof/>
          </w:rPr>
          <w:t>. Impact to the value of statewide and industry output.</w:t>
        </w:r>
        <w:r w:rsidR="004E46F3">
          <w:rPr>
            <w:noProof/>
            <w:webHidden/>
          </w:rPr>
          <w:tab/>
        </w:r>
        <w:r w:rsidR="004E46F3">
          <w:rPr>
            <w:noProof/>
            <w:webHidden/>
          </w:rPr>
          <w:fldChar w:fldCharType="begin"/>
        </w:r>
        <w:r w:rsidR="004E46F3">
          <w:rPr>
            <w:noProof/>
            <w:webHidden/>
          </w:rPr>
          <w:instrText xml:space="preserve"> PAGEREF _Toc133303735 \h </w:instrText>
        </w:r>
        <w:r w:rsidR="004E46F3">
          <w:rPr>
            <w:noProof/>
            <w:webHidden/>
          </w:rPr>
        </w:r>
        <w:r w:rsidR="004E46F3">
          <w:rPr>
            <w:noProof/>
            <w:webHidden/>
          </w:rPr>
          <w:fldChar w:fldCharType="separate"/>
        </w:r>
        <w:r w:rsidR="004E46F3">
          <w:rPr>
            <w:noProof/>
            <w:webHidden/>
          </w:rPr>
          <w:t>62</w:t>
        </w:r>
        <w:r w:rsidR="004E46F3">
          <w:rPr>
            <w:noProof/>
            <w:webHidden/>
          </w:rPr>
          <w:fldChar w:fldCharType="end"/>
        </w:r>
      </w:hyperlink>
    </w:p>
    <w:p w14:paraId="51A96435" w14:textId="4D591E00" w:rsidR="004E46F3" w:rsidRDefault="00000000">
      <w:pPr>
        <w:pStyle w:val="TableofFigures"/>
        <w:tabs>
          <w:tab w:val="right" w:leader="dot" w:pos="9350"/>
        </w:tabs>
        <w:rPr>
          <w:rFonts w:eastAsiaTheme="minorEastAsia"/>
          <w:noProof/>
          <w:sz w:val="22"/>
        </w:rPr>
      </w:pPr>
      <w:hyperlink w:anchor="_Toc133303736" w:history="1">
        <w:r w:rsidR="004E46F3" w:rsidRPr="00BA60C7">
          <w:rPr>
            <w:rStyle w:val="Hyperlink"/>
            <w:noProof/>
          </w:rPr>
          <w:t xml:space="preserve">Table </w:t>
        </w:r>
        <w:r w:rsidR="005D331A">
          <w:rPr>
            <w:rStyle w:val="Hyperlink"/>
            <w:noProof/>
          </w:rPr>
          <w:t>17</w:t>
        </w:r>
        <w:r w:rsidR="004E46F3" w:rsidRPr="00BA60C7">
          <w:rPr>
            <w:rStyle w:val="Hyperlink"/>
            <w:noProof/>
          </w:rPr>
          <w:t>. NAICS categories of likely impacted businesses.</w:t>
        </w:r>
        <w:r w:rsidR="004E46F3">
          <w:rPr>
            <w:noProof/>
            <w:webHidden/>
          </w:rPr>
          <w:tab/>
        </w:r>
        <w:r w:rsidR="004E46F3">
          <w:rPr>
            <w:noProof/>
            <w:webHidden/>
          </w:rPr>
          <w:fldChar w:fldCharType="begin"/>
        </w:r>
        <w:r w:rsidR="004E46F3">
          <w:rPr>
            <w:noProof/>
            <w:webHidden/>
          </w:rPr>
          <w:instrText xml:space="preserve"> PAGEREF _Toc133303736 \h </w:instrText>
        </w:r>
        <w:r w:rsidR="004E46F3">
          <w:rPr>
            <w:noProof/>
            <w:webHidden/>
          </w:rPr>
        </w:r>
        <w:r w:rsidR="004E46F3">
          <w:rPr>
            <w:noProof/>
            <w:webHidden/>
          </w:rPr>
          <w:fldChar w:fldCharType="separate"/>
        </w:r>
        <w:r w:rsidR="004E46F3">
          <w:rPr>
            <w:noProof/>
            <w:webHidden/>
          </w:rPr>
          <w:t>64</w:t>
        </w:r>
        <w:r w:rsidR="004E46F3">
          <w:rPr>
            <w:noProof/>
            <w:webHidden/>
          </w:rPr>
          <w:fldChar w:fldCharType="end"/>
        </w:r>
      </w:hyperlink>
    </w:p>
    <w:p w14:paraId="6A761EA4" w14:textId="5D88AB54" w:rsidR="004E46F3" w:rsidRDefault="00000000">
      <w:pPr>
        <w:pStyle w:val="TableofFigures"/>
        <w:tabs>
          <w:tab w:val="right" w:leader="dot" w:pos="9350"/>
        </w:tabs>
        <w:rPr>
          <w:rFonts w:eastAsiaTheme="minorEastAsia"/>
          <w:noProof/>
          <w:sz w:val="22"/>
        </w:rPr>
      </w:pPr>
      <w:hyperlink w:anchor="_Toc133303737" w:history="1">
        <w:r w:rsidR="004E46F3" w:rsidRPr="00BA60C7">
          <w:rPr>
            <w:rStyle w:val="Hyperlink"/>
            <w:noProof/>
          </w:rPr>
          <w:t xml:space="preserve">Table </w:t>
        </w:r>
        <w:r w:rsidR="005D331A">
          <w:rPr>
            <w:rStyle w:val="Hyperlink"/>
            <w:noProof/>
          </w:rPr>
          <w:t>18</w:t>
        </w:r>
        <w:r w:rsidR="004E46F3" w:rsidRPr="00BA60C7">
          <w:rPr>
            <w:rStyle w:val="Hyperlink"/>
            <w:noProof/>
          </w:rPr>
          <w:t>. High-cost impact on jobs for the top five highest impacted industries.</w:t>
        </w:r>
        <w:r w:rsidR="004E46F3">
          <w:rPr>
            <w:noProof/>
            <w:webHidden/>
          </w:rPr>
          <w:tab/>
        </w:r>
        <w:r w:rsidR="004E46F3">
          <w:rPr>
            <w:noProof/>
            <w:webHidden/>
          </w:rPr>
          <w:fldChar w:fldCharType="begin"/>
        </w:r>
        <w:r w:rsidR="004E46F3">
          <w:rPr>
            <w:noProof/>
            <w:webHidden/>
          </w:rPr>
          <w:instrText xml:space="preserve"> PAGEREF _Toc133303737 \h </w:instrText>
        </w:r>
        <w:r w:rsidR="004E46F3">
          <w:rPr>
            <w:noProof/>
            <w:webHidden/>
          </w:rPr>
        </w:r>
        <w:r w:rsidR="004E46F3">
          <w:rPr>
            <w:noProof/>
            <w:webHidden/>
          </w:rPr>
          <w:fldChar w:fldCharType="separate"/>
        </w:r>
        <w:r w:rsidR="004E46F3">
          <w:rPr>
            <w:noProof/>
            <w:webHidden/>
          </w:rPr>
          <w:t>65</w:t>
        </w:r>
        <w:r w:rsidR="004E46F3">
          <w:rPr>
            <w:noProof/>
            <w:webHidden/>
          </w:rPr>
          <w:fldChar w:fldCharType="end"/>
        </w:r>
      </w:hyperlink>
    </w:p>
    <w:p w14:paraId="41FF58D6" w14:textId="50826E2A" w:rsidR="00D5571C" w:rsidRDefault="008E2A16" w:rsidP="008E2A16">
      <w:r>
        <w:fldChar w:fldCharType="end"/>
      </w:r>
      <w:r w:rsidR="00D5571C">
        <w:br w:type="page"/>
      </w:r>
    </w:p>
    <w:p w14:paraId="7BFFD677" w14:textId="405BDC42" w:rsidR="00D5571C" w:rsidRDefault="00F06FF2" w:rsidP="00DE1A35">
      <w:pPr>
        <w:pStyle w:val="RMChaptertitle"/>
      </w:pPr>
      <w:bookmarkStart w:id="6" w:name="_Toc132187780"/>
      <w:r>
        <w:lastRenderedPageBreak/>
        <w:t>Abbreviations</w:t>
      </w:r>
      <w:bookmarkEnd w:id="6"/>
    </w:p>
    <w:p w14:paraId="529CE5BA" w14:textId="34E02CEC" w:rsidR="001606C6" w:rsidRDefault="001606C6" w:rsidP="001606C6">
      <w:r>
        <w:t>APA</w:t>
      </w:r>
      <w:r w:rsidR="00AF50A4">
        <w:tab/>
      </w:r>
      <w:r w:rsidR="00AF50A4">
        <w:tab/>
        <w:t>Administrative Procedure Act</w:t>
      </w:r>
    </w:p>
    <w:p w14:paraId="799FEBB3" w14:textId="16F11FF2" w:rsidR="001606C6" w:rsidRDefault="001606C6" w:rsidP="001606C6">
      <w:r>
        <w:t>CBA</w:t>
      </w:r>
      <w:r w:rsidR="00AF50A4">
        <w:tab/>
      </w:r>
      <w:r w:rsidR="00AF50A4">
        <w:tab/>
        <w:t>Cost-Benefit Analysis</w:t>
      </w:r>
    </w:p>
    <w:p w14:paraId="5983ADAA" w14:textId="46DD96EF" w:rsidR="00E21F48" w:rsidRDefault="00E21F48" w:rsidP="001606C6">
      <w:r>
        <w:t>CO2e</w:t>
      </w:r>
      <w:r w:rsidR="00AF50A4">
        <w:tab/>
      </w:r>
      <w:r w:rsidR="00AF50A4">
        <w:tab/>
        <w:t>Carbon dioxide equivalent</w:t>
      </w:r>
    </w:p>
    <w:p w14:paraId="0B7F0DE8" w14:textId="48F9CBDD" w:rsidR="00E21F48" w:rsidRDefault="00E21F48" w:rsidP="001606C6">
      <w:r>
        <w:t>CY</w:t>
      </w:r>
      <w:r w:rsidR="00AF50A4">
        <w:tab/>
      </w:r>
      <w:r w:rsidR="00AF50A4">
        <w:tab/>
        <w:t>Calendar year</w:t>
      </w:r>
    </w:p>
    <w:p w14:paraId="6290A3E1" w14:textId="069494DE" w:rsidR="00E21F48" w:rsidRDefault="00E21F48" w:rsidP="001606C6">
      <w:r>
        <w:t>EPA</w:t>
      </w:r>
      <w:r w:rsidR="00AF50A4">
        <w:tab/>
      </w:r>
      <w:r w:rsidR="00AF50A4">
        <w:tab/>
        <w:t>US Environmental Protection Agency</w:t>
      </w:r>
    </w:p>
    <w:p w14:paraId="39B27BD0" w14:textId="3F48B151" w:rsidR="00E21F48" w:rsidRDefault="00E21F48" w:rsidP="001606C6">
      <w:r>
        <w:t>FIFRA</w:t>
      </w:r>
      <w:r w:rsidR="00AF50A4">
        <w:tab/>
      </w:r>
      <w:r w:rsidR="00AF50A4">
        <w:tab/>
      </w:r>
      <w:r w:rsidR="00AF50A4" w:rsidRPr="00AF50A4">
        <w:t>Federal Insecticide, Fungicide, and Rodenticide Act</w:t>
      </w:r>
    </w:p>
    <w:p w14:paraId="74833008" w14:textId="6BFB1A8E" w:rsidR="00E21F48" w:rsidRDefault="00E21F48" w:rsidP="001606C6">
      <w:r>
        <w:t>FY</w:t>
      </w:r>
      <w:r w:rsidR="00AF50A4">
        <w:tab/>
      </w:r>
      <w:r w:rsidR="00AF50A4">
        <w:tab/>
        <w:t>Fiscal year</w:t>
      </w:r>
    </w:p>
    <w:p w14:paraId="6493B1B1" w14:textId="40844472" w:rsidR="00E21F48" w:rsidRDefault="00E21F48" w:rsidP="001606C6">
      <w:r>
        <w:t>GHG</w:t>
      </w:r>
      <w:r w:rsidR="00AF50A4">
        <w:tab/>
      </w:r>
      <w:r w:rsidR="00AF50A4">
        <w:tab/>
        <w:t>Greenhouse gas</w:t>
      </w:r>
    </w:p>
    <w:p w14:paraId="4AEFC2EA" w14:textId="17EE7293" w:rsidR="00E21F48" w:rsidRDefault="00E21F48" w:rsidP="001606C6">
      <w:r>
        <w:t>ISO</w:t>
      </w:r>
      <w:r w:rsidR="00AF50A4">
        <w:tab/>
      </w:r>
      <w:r w:rsidR="00AF50A4">
        <w:tab/>
      </w:r>
      <w:r w:rsidR="00AF50A4" w:rsidRPr="00AF50A4">
        <w:t>International Organization for Standardization</w:t>
      </w:r>
    </w:p>
    <w:p w14:paraId="32E30CCF" w14:textId="52696B67" w:rsidR="001606C6" w:rsidRDefault="001606C6" w:rsidP="001606C6">
      <w:r>
        <w:t>LBA</w:t>
      </w:r>
      <w:r w:rsidR="00AF50A4">
        <w:tab/>
      </w:r>
      <w:r w:rsidR="00AF50A4">
        <w:tab/>
        <w:t>Least-Burdensome Alternative</w:t>
      </w:r>
    </w:p>
    <w:p w14:paraId="052D3619" w14:textId="4F5831B3" w:rsidR="00E21F48" w:rsidRDefault="00E21F48" w:rsidP="001606C6">
      <w:r>
        <w:t>MMT</w:t>
      </w:r>
      <w:r w:rsidR="00AF50A4">
        <w:tab/>
      </w:r>
      <w:r w:rsidR="00AF50A4">
        <w:tab/>
        <w:t>Million metric tons</w:t>
      </w:r>
    </w:p>
    <w:p w14:paraId="258C8C79" w14:textId="251174B4" w:rsidR="00E21F48" w:rsidRDefault="00E21F48" w:rsidP="001606C6">
      <w:r>
        <w:t>MSW</w:t>
      </w:r>
      <w:r w:rsidR="00AF50A4">
        <w:tab/>
      </w:r>
      <w:r w:rsidR="00AF50A4">
        <w:tab/>
        <w:t>Municipal solid waste</w:t>
      </w:r>
    </w:p>
    <w:p w14:paraId="3810DDD9" w14:textId="5CC1F45E" w:rsidR="00E21F48" w:rsidRDefault="00E21F48" w:rsidP="001606C6">
      <w:r>
        <w:t>NAICS</w:t>
      </w:r>
      <w:r w:rsidR="00AF50A4">
        <w:tab/>
      </w:r>
      <w:r w:rsidR="00AF50A4">
        <w:tab/>
        <w:t>North American Industry Classification System</w:t>
      </w:r>
    </w:p>
    <w:p w14:paraId="0754B2E3" w14:textId="245D7A7E" w:rsidR="001606C6" w:rsidRDefault="001606C6" w:rsidP="001606C6">
      <w:r>
        <w:t>PCRC</w:t>
      </w:r>
      <w:r w:rsidR="00AF50A4">
        <w:tab/>
      </w:r>
      <w:r w:rsidR="00AF50A4">
        <w:tab/>
      </w:r>
      <w:r w:rsidR="000C7507">
        <w:t>Postconsumer</w:t>
      </w:r>
      <w:r w:rsidR="00AF50A4">
        <w:t xml:space="preserve"> recycled content</w:t>
      </w:r>
    </w:p>
    <w:p w14:paraId="26EE5853" w14:textId="56ECAE33" w:rsidR="001606C6" w:rsidRDefault="001606C6" w:rsidP="001606C6">
      <w:r>
        <w:t>RCW</w:t>
      </w:r>
      <w:r w:rsidR="00AF50A4">
        <w:tab/>
      </w:r>
      <w:r w:rsidR="00AF50A4">
        <w:tab/>
        <w:t>Revised Code of Washington</w:t>
      </w:r>
    </w:p>
    <w:p w14:paraId="1887D23D" w14:textId="03060B34" w:rsidR="001606C6" w:rsidRDefault="001606C6" w:rsidP="001606C6">
      <w:r>
        <w:t>RFA</w:t>
      </w:r>
      <w:r w:rsidR="00AF50A4">
        <w:tab/>
      </w:r>
      <w:r w:rsidR="00AF50A4">
        <w:tab/>
        <w:t>Regulatory Fairness Act</w:t>
      </w:r>
    </w:p>
    <w:p w14:paraId="78D1AC84" w14:textId="3EAEDE15" w:rsidR="00E21F48" w:rsidRDefault="00E21F48" w:rsidP="00E21F48">
      <w:r>
        <w:t>SBEIS</w:t>
      </w:r>
      <w:r w:rsidR="00AF50A4">
        <w:tab/>
      </w:r>
      <w:r w:rsidR="00AF50A4">
        <w:tab/>
        <w:t>Small Business Economic Impact Statement</w:t>
      </w:r>
    </w:p>
    <w:p w14:paraId="34BA94D8" w14:textId="67C3DC27" w:rsidR="00E21F48" w:rsidRDefault="00E21F48" w:rsidP="001606C6">
      <w:r>
        <w:t>TIN</w:t>
      </w:r>
      <w:r w:rsidR="00AF50A4">
        <w:tab/>
      </w:r>
      <w:r w:rsidR="00AF50A4">
        <w:tab/>
        <w:t>Taxpayer identification number</w:t>
      </w:r>
    </w:p>
    <w:p w14:paraId="61F8279A" w14:textId="413FD2A5" w:rsidR="00E21F48" w:rsidRDefault="001606C6" w:rsidP="001606C6">
      <w:r>
        <w:t>WAC</w:t>
      </w:r>
      <w:r w:rsidR="00AF50A4">
        <w:tab/>
      </w:r>
      <w:r w:rsidR="00AF50A4">
        <w:tab/>
        <w:t>Washington Administrative Code</w:t>
      </w:r>
    </w:p>
    <w:p w14:paraId="20D3936F" w14:textId="3C362345" w:rsidR="00D5571C" w:rsidRDefault="00E21F48" w:rsidP="001606C6">
      <w:r>
        <w:t>WARM</w:t>
      </w:r>
      <w:r w:rsidR="00AF50A4">
        <w:tab/>
      </w:r>
      <w:r w:rsidR="00AF50A4">
        <w:tab/>
        <w:t>EPA Waste Reduction Model</w:t>
      </w:r>
    </w:p>
    <w:p w14:paraId="7139D1FA" w14:textId="77777777" w:rsidR="00415F12" w:rsidRDefault="00415F12" w:rsidP="00FE152C">
      <w:pPr>
        <w:pStyle w:val="RMChaptertitle"/>
        <w:rPr>
          <w:highlight w:val="cyan"/>
        </w:rPr>
        <w:sectPr w:rsidR="00415F12">
          <w:footerReference w:type="default" r:id="rId21"/>
          <w:pgSz w:w="12240" w:h="15840"/>
          <w:pgMar w:top="1440" w:right="1440" w:bottom="1440" w:left="1440" w:header="720" w:footer="720" w:gutter="0"/>
          <w:cols w:space="720"/>
        </w:sectPr>
      </w:pPr>
    </w:p>
    <w:p w14:paraId="6FCBDB12" w14:textId="746E97D8" w:rsidR="00D5571C" w:rsidRPr="00DE1A35" w:rsidRDefault="00D5571C" w:rsidP="00FE152C">
      <w:pPr>
        <w:pStyle w:val="RMChaptertitle"/>
      </w:pPr>
      <w:bookmarkStart w:id="7" w:name="_Toc132187781"/>
      <w:r w:rsidRPr="00BD5B6D">
        <w:lastRenderedPageBreak/>
        <w:t>Executive Summary</w:t>
      </w:r>
      <w:bookmarkEnd w:id="7"/>
    </w:p>
    <w:p w14:paraId="518379CD" w14:textId="20BC8C2A" w:rsidR="00EE71C2" w:rsidRPr="00087615" w:rsidRDefault="00EE71C2" w:rsidP="00EE71C2">
      <w:pPr>
        <w:pStyle w:val="Paragraph"/>
      </w:pPr>
      <w:r>
        <w:t>This report presents the determinations made by the Washington State Department of Ecology as required under Chapters 34.05 RCW and 19.85 RCW, for the proposed Postconsumer Recycled Content in Plastic Containers rule (</w:t>
      </w:r>
      <w:r w:rsidRPr="000268D6">
        <w:t>Chapter 173-925 WAC</w:t>
      </w:r>
      <w:r>
        <w:t>; the “rule”). This includes the:</w:t>
      </w:r>
    </w:p>
    <w:p w14:paraId="3BE48A76" w14:textId="77777777" w:rsidR="00EE71C2" w:rsidRPr="00087615" w:rsidRDefault="00EE71C2" w:rsidP="006632CB">
      <w:pPr>
        <w:pStyle w:val="ListParagraph"/>
      </w:pPr>
      <w:r w:rsidRPr="00087615">
        <w:t>Preliminary Cost-Benefit Analysis (CBA)</w:t>
      </w:r>
    </w:p>
    <w:p w14:paraId="49A0944D" w14:textId="77777777" w:rsidR="00EE71C2" w:rsidRPr="00087615" w:rsidRDefault="00EE71C2" w:rsidP="006632CB">
      <w:pPr>
        <w:pStyle w:val="ListParagraph"/>
      </w:pPr>
      <w:r w:rsidRPr="00087615">
        <w:t>Least-Burdensome Alternative Analysis (LBA)</w:t>
      </w:r>
    </w:p>
    <w:p w14:paraId="30663A18" w14:textId="77777777" w:rsidR="00EE71C2" w:rsidRPr="00087615" w:rsidRDefault="00EE71C2" w:rsidP="006632CB">
      <w:pPr>
        <w:pStyle w:val="ListParagraph"/>
      </w:pPr>
      <w:r w:rsidRPr="00087615">
        <w:t>Administrative Procedure Act Determinations</w:t>
      </w:r>
    </w:p>
    <w:p w14:paraId="5CCF88AD" w14:textId="77777777" w:rsidR="00EE71C2" w:rsidRPr="00087615" w:rsidRDefault="00EE71C2" w:rsidP="006632CB">
      <w:pPr>
        <w:pStyle w:val="ListParagraph"/>
      </w:pPr>
      <w:r w:rsidRPr="00087615">
        <w:t>Regulatory Fairness Act Compliance</w:t>
      </w:r>
    </w:p>
    <w:p w14:paraId="20BB4C83" w14:textId="77777777" w:rsidR="00EE71C2" w:rsidRDefault="00EE71C2" w:rsidP="00EE71C2">
      <w:pPr>
        <w:pStyle w:val="Paragraph"/>
      </w:pPr>
      <w:r>
        <w:t>The Washington Administrative Procedure Act (APA; RCW 34.05.328(1)(d)) requires Ecology to evaluate significant legislative rules to “determine that the probable benefits of the rule are greater than its probable costs, taking into account both the qualitative and quantitative benefits and costs and the specific directives of the law being implemented.” Chapters 1 – 5 of this document describe that determination.</w:t>
      </w:r>
    </w:p>
    <w:p w14:paraId="4C72F423" w14:textId="77777777" w:rsidR="00EE71C2" w:rsidRDefault="00EE71C2" w:rsidP="00EE71C2">
      <w:pPr>
        <w:pStyle w:val="Paragraph"/>
      </w:pPr>
      <w:r>
        <w:t>The APA also requires Ecology to “determine, after considering alternative versions of the rule…that the rule being adopted is the least burdensome alternative for those required to comply with it that will achieve the general goals and specific objectives” of the governing and authorizing statutes. Chapter 6 of this document describes that determination.</w:t>
      </w:r>
    </w:p>
    <w:p w14:paraId="710CC58B" w14:textId="77777777" w:rsidR="00EE71C2" w:rsidRDefault="00EE71C2" w:rsidP="00EE71C2">
      <w:pPr>
        <w:pStyle w:val="Paragraph"/>
      </w:pPr>
      <w:r>
        <w:t>The APA also requires Ecology to make several other determinations (RCW 34.05.328(1)(a) – (c) and (f) – (h)) about the rule, including authorization, need, context, and coordination. Appendix A of this document provides the documentation for these determinations.</w:t>
      </w:r>
    </w:p>
    <w:p w14:paraId="120355BE" w14:textId="77777777" w:rsidR="00EE71C2" w:rsidRDefault="00EE71C2" w:rsidP="00EE71C2">
      <w:pPr>
        <w:pStyle w:val="Paragraph"/>
      </w:pPr>
      <w:r>
        <w:t>The Washington Regulatory Fairness Act (RFA; Chapter 19.85 RCW) requires Ecology to evaluate the relative impact of proposed rules that impose costs on businesses in an industry. It compares the relative compliance costs for small businesses to those of the largest businesses affected. Chapter 7 of this document documents that analysis, when applicable.</w:t>
      </w:r>
    </w:p>
    <w:p w14:paraId="24FD1166" w14:textId="77777777" w:rsidR="00EE71C2" w:rsidRDefault="00EE71C2" w:rsidP="00EE71C2">
      <w:pPr>
        <w:pStyle w:val="Paragraph"/>
      </w:pPr>
      <w:r>
        <w:t>All determinations are based on the best available information at the time of publication. We encourage feedback (including specific data) that may improve the accuracy of this analysis.</w:t>
      </w:r>
    </w:p>
    <w:p w14:paraId="63F6D4BC" w14:textId="77777777" w:rsidR="00EE71C2" w:rsidRDefault="00EE71C2" w:rsidP="008E2C46">
      <w:pPr>
        <w:pStyle w:val="RMHeading3"/>
      </w:pPr>
      <w:r>
        <w:t>Background</w:t>
      </w:r>
    </w:p>
    <w:p w14:paraId="5F3A6A21" w14:textId="1A5DFE0A" w:rsidR="00EE71C2" w:rsidRDefault="00EE71C2" w:rsidP="00EE71C2">
      <w:pPr>
        <w:pStyle w:val="Paragraph"/>
      </w:pPr>
      <w:r>
        <w:t xml:space="preserve">The purpose of this </w:t>
      </w:r>
      <w:r w:rsidR="00C00008">
        <w:t xml:space="preserve">proposed </w:t>
      </w:r>
      <w:r>
        <w:t xml:space="preserve">rule is to implement the requirements in RCW 70A.245 – Recycling, Waste, and Litter Reduction - that requires Ecology to establish a </w:t>
      </w:r>
      <w:r w:rsidR="000C7507">
        <w:t>Postconsumer</w:t>
      </w:r>
      <w:r>
        <w:t xml:space="preserve"> Recycled </w:t>
      </w:r>
      <w:r w:rsidR="008F4D7A">
        <w:t>C</w:t>
      </w:r>
      <w:r>
        <w:t xml:space="preserve">ontent (PCRC) program for producers of covered products </w:t>
      </w:r>
      <w:r w:rsidR="00702325">
        <w:t>(</w:t>
      </w:r>
      <w:r w:rsidR="00702325" w:rsidRPr="00364832">
        <w:t>plastic beverage containers, trash bags, and household cleaning and personal care product containers</w:t>
      </w:r>
      <w:r w:rsidR="00702325">
        <w:t>)</w:t>
      </w:r>
      <w:r w:rsidR="00702325" w:rsidRPr="00364832">
        <w:t xml:space="preserve"> </w:t>
      </w:r>
      <w:r>
        <w:t>and require them to annually:</w:t>
      </w:r>
    </w:p>
    <w:p w14:paraId="5F0669B3" w14:textId="77777777" w:rsidR="00EE71C2" w:rsidRDefault="00EE71C2" w:rsidP="006632CB">
      <w:pPr>
        <w:pStyle w:val="ListParagraph"/>
      </w:pPr>
      <w:r>
        <w:t>Register covered products.</w:t>
      </w:r>
    </w:p>
    <w:p w14:paraId="1411DF95" w14:textId="77777777" w:rsidR="00EE71C2" w:rsidRDefault="00EE71C2" w:rsidP="006632CB">
      <w:pPr>
        <w:pStyle w:val="ListParagraph"/>
      </w:pPr>
      <w:r>
        <w:t>Pay fees to cover agency oversight costs.</w:t>
      </w:r>
    </w:p>
    <w:p w14:paraId="0CBB0BA8" w14:textId="219B0B3A" w:rsidR="00EE71C2" w:rsidRDefault="00EE71C2" w:rsidP="006632CB">
      <w:pPr>
        <w:pStyle w:val="ListParagraph"/>
      </w:pPr>
      <w:r>
        <w:lastRenderedPageBreak/>
        <w:t xml:space="preserve">Report PCRC and </w:t>
      </w:r>
      <w:r w:rsidR="008F4D7A">
        <w:t xml:space="preserve">virgin </w:t>
      </w:r>
      <w:r>
        <w:t>plastic resin data.</w:t>
      </w:r>
    </w:p>
    <w:p w14:paraId="7EBAEC2B" w14:textId="77777777" w:rsidR="00EE71C2" w:rsidRDefault="00EE71C2" w:rsidP="006632CB">
      <w:pPr>
        <w:pStyle w:val="ListParagraph"/>
      </w:pPr>
      <w:r>
        <w:t>Meet minimum PCRC percentage requirements.</w:t>
      </w:r>
    </w:p>
    <w:p w14:paraId="667ECDEB" w14:textId="0AB64264" w:rsidR="003F76E1" w:rsidRDefault="00EE71C2" w:rsidP="00EE71C2">
      <w:pPr>
        <w:pStyle w:val="Paragraph"/>
      </w:pPr>
      <w:r w:rsidRPr="00B6324E">
        <w:t xml:space="preserve">Many </w:t>
      </w:r>
      <w:r w:rsidR="00D2622A">
        <w:t>producers</w:t>
      </w:r>
      <w:r w:rsidRPr="00B6324E">
        <w:t xml:space="preserve"> have committed to voluntary recycled content standards for their plastic </w:t>
      </w:r>
      <w:r w:rsidR="00D2622A">
        <w:t>containers</w:t>
      </w:r>
      <w:r w:rsidRPr="00B6324E">
        <w:t xml:space="preserve">, but </w:t>
      </w:r>
      <w:r w:rsidR="00093E53">
        <w:t xml:space="preserve">how well </w:t>
      </w:r>
      <w:r w:rsidR="00F106F1">
        <w:t>they</w:t>
      </w:r>
      <w:r w:rsidR="009723CA">
        <w:t xml:space="preserve"> comply with</w:t>
      </w:r>
      <w:r w:rsidR="00F106F1">
        <w:t xml:space="preserve"> those </w:t>
      </w:r>
      <w:r>
        <w:t xml:space="preserve">recycled content standards is </w:t>
      </w:r>
      <w:r w:rsidR="009723CA">
        <w:t>un</w:t>
      </w:r>
      <w:r w:rsidR="00093E53">
        <w:t xml:space="preserve">known because </w:t>
      </w:r>
      <w:r w:rsidR="009723CA">
        <w:t xml:space="preserve">it is </w:t>
      </w:r>
      <w:r>
        <w:t>not tracked.</w:t>
      </w:r>
      <w:r w:rsidRPr="00B6324E">
        <w:t xml:space="preserve"> </w:t>
      </w:r>
      <w:bookmarkStart w:id="8" w:name="_Hlk130810865"/>
      <w:r w:rsidR="009723CA">
        <w:t xml:space="preserve">Requiring </w:t>
      </w:r>
      <w:r w:rsidR="00D2622A">
        <w:t>producers</w:t>
      </w:r>
      <w:r w:rsidR="009723CA">
        <w:t xml:space="preserve"> to comply with the </w:t>
      </w:r>
      <w:r w:rsidRPr="00B6324E">
        <w:t>PCR</w:t>
      </w:r>
      <w:r>
        <w:t>C</w:t>
      </w:r>
      <w:r w:rsidRPr="00B6324E">
        <w:t xml:space="preserve"> requirements</w:t>
      </w:r>
      <w:r w:rsidR="00D2622A">
        <w:t xml:space="preserve"> in the law</w:t>
      </w:r>
      <w:r w:rsidR="009723CA">
        <w:t>,</w:t>
      </w:r>
      <w:r w:rsidRPr="00B6324E">
        <w:t xml:space="preserve"> </w:t>
      </w:r>
      <w:r w:rsidR="008F4D7A">
        <w:t>for covered products</w:t>
      </w:r>
      <w:r w:rsidR="009723CA">
        <w:t>,</w:t>
      </w:r>
      <w:r w:rsidR="008F4D7A">
        <w:t xml:space="preserve"> </w:t>
      </w:r>
      <w:r w:rsidR="009723CA">
        <w:t xml:space="preserve">is </w:t>
      </w:r>
      <w:r>
        <w:t>intended</w:t>
      </w:r>
      <w:r w:rsidRPr="00B6324E">
        <w:t xml:space="preserve"> to motivate</w:t>
      </w:r>
      <w:r w:rsidR="009723CA">
        <w:t xml:space="preserve"> </w:t>
      </w:r>
      <w:r w:rsidR="00D2622A">
        <w:t>producers</w:t>
      </w:r>
      <w:r w:rsidR="009723CA">
        <w:t xml:space="preserve"> to</w:t>
      </w:r>
      <w:r w:rsidRPr="00B6324E">
        <w:t xml:space="preserve"> increase</w:t>
      </w:r>
      <w:r w:rsidR="003F76E1">
        <w:t xml:space="preserve"> </w:t>
      </w:r>
      <w:r w:rsidR="009723CA">
        <w:t xml:space="preserve">the amount of </w:t>
      </w:r>
      <w:r w:rsidR="009723CA" w:rsidRPr="00B6324E">
        <w:t>plastic packaging</w:t>
      </w:r>
      <w:r w:rsidRPr="00B6324E">
        <w:t xml:space="preserve"> </w:t>
      </w:r>
      <w:r w:rsidR="009723CA">
        <w:t xml:space="preserve">they </w:t>
      </w:r>
      <w:r w:rsidRPr="00B6324E">
        <w:t xml:space="preserve">recover </w:t>
      </w:r>
      <w:r w:rsidR="003F76E1">
        <w:t xml:space="preserve">so </w:t>
      </w:r>
      <w:r w:rsidR="003F76E1" w:rsidRPr="00B6324E">
        <w:t xml:space="preserve">producers </w:t>
      </w:r>
      <w:r w:rsidR="003F76E1">
        <w:t xml:space="preserve">have enough </w:t>
      </w:r>
      <w:r w:rsidRPr="00B6324E">
        <w:t>recyclable feedstock to meet the</w:t>
      </w:r>
      <w:r w:rsidR="003F76E1">
        <w:t xml:space="preserve"> minimum PCRC</w:t>
      </w:r>
      <w:r w:rsidRPr="00B6324E">
        <w:t xml:space="preserve"> requirements. </w:t>
      </w:r>
      <w:bookmarkEnd w:id="8"/>
    </w:p>
    <w:p w14:paraId="64031A0A" w14:textId="39A973FD" w:rsidR="00EE71C2" w:rsidRDefault="003F76E1" w:rsidP="00EE71C2">
      <w:pPr>
        <w:pStyle w:val="Paragraph"/>
      </w:pPr>
      <w:r>
        <w:t>Increasing the u</w:t>
      </w:r>
      <w:r w:rsidR="00EE71C2" w:rsidRPr="00B6324E">
        <w:t xml:space="preserve">se of recycled content plastic </w:t>
      </w:r>
      <w:r>
        <w:t>would</w:t>
      </w:r>
      <w:r w:rsidRPr="00B6324E">
        <w:t xml:space="preserve"> </w:t>
      </w:r>
      <w:r w:rsidR="00EE71C2" w:rsidRPr="00B6324E">
        <w:t xml:space="preserve">reduce the </w:t>
      </w:r>
      <w:r w:rsidR="008F4D7A">
        <w:t>demand for</w:t>
      </w:r>
      <w:r w:rsidR="00EE71C2" w:rsidRPr="00B6324E">
        <w:t xml:space="preserve"> virgin plastic to manufacture plastic containers</w:t>
      </w:r>
      <w:r w:rsidR="008F4D7A">
        <w:t xml:space="preserve">. Use of </w:t>
      </w:r>
      <w:r w:rsidR="009E1486">
        <w:t>recycled</w:t>
      </w:r>
      <w:r w:rsidR="008F4D7A">
        <w:t xml:space="preserve"> plastic</w:t>
      </w:r>
      <w:r w:rsidR="009E1486">
        <w:t>s</w:t>
      </w:r>
      <w:r w:rsidR="00EE71C2" w:rsidDel="008F4D7A">
        <w:t xml:space="preserve"> </w:t>
      </w:r>
      <w:r w:rsidR="00EE71C2">
        <w:t>lower</w:t>
      </w:r>
      <w:r w:rsidR="008F4D7A">
        <w:t>s energy use and</w:t>
      </w:r>
      <w:r w:rsidR="00EE71C2" w:rsidRPr="00B6324E" w:rsidDel="008F4D7A">
        <w:t xml:space="preserve"> </w:t>
      </w:r>
      <w:r w:rsidR="00EE71C2" w:rsidRPr="00B6324E">
        <w:t>greenhouse gas emissions.</w:t>
      </w:r>
      <w:r w:rsidR="00EE71C2">
        <w:t xml:space="preserve"> The demand to meet the new requirements </w:t>
      </w:r>
      <w:r w:rsidR="008F4D7A">
        <w:t>may</w:t>
      </w:r>
      <w:r w:rsidR="00EE71C2">
        <w:t xml:space="preserve"> raise the value of PCRC as an end-market product</w:t>
      </w:r>
      <w:r>
        <w:t>. This could</w:t>
      </w:r>
      <w:r w:rsidR="00EE71C2">
        <w:t xml:space="preserve"> incentiv</w:t>
      </w:r>
      <w:r w:rsidR="009E1486">
        <w:t>ize</w:t>
      </w:r>
      <w:r w:rsidR="00EE71C2">
        <w:t xml:space="preserve"> ongoing improvement</w:t>
      </w:r>
      <w:r w:rsidR="008F4D7A">
        <w:t>s</w:t>
      </w:r>
      <w:r w:rsidR="00EE71C2">
        <w:t xml:space="preserve"> to the statewide recycling system.</w:t>
      </w:r>
    </w:p>
    <w:p w14:paraId="5822EBEC" w14:textId="77777777" w:rsidR="005648E3" w:rsidRDefault="00EE71C2" w:rsidP="006632CB">
      <w:pPr>
        <w:pStyle w:val="Paragraph"/>
      </w:pPr>
      <w:r>
        <w:t xml:space="preserve">In </w:t>
      </w:r>
      <w:r w:rsidRPr="00B6324E">
        <w:t>2021</w:t>
      </w:r>
      <w:r>
        <w:t>, the</w:t>
      </w:r>
      <w:r w:rsidRPr="00B6324E">
        <w:t xml:space="preserve"> Legislature passed Chapter 70A.245 RCW to</w:t>
      </w:r>
      <w:r w:rsidR="005648E3">
        <w:t>:</w:t>
      </w:r>
    </w:p>
    <w:p w14:paraId="790FB806" w14:textId="1AEE5503" w:rsidR="003F76E1" w:rsidRPr="005648E3" w:rsidRDefault="005648E3" w:rsidP="005648E3">
      <w:pPr>
        <w:pStyle w:val="ListParagraph"/>
        <w:numPr>
          <w:ilvl w:val="0"/>
          <w:numId w:val="41"/>
        </w:numPr>
      </w:pPr>
      <w:r>
        <w:t>I</w:t>
      </w:r>
      <w:r w:rsidR="00EE71C2" w:rsidRPr="005648E3">
        <w:t>ncrease recycled content in specific categories of plastic packaging</w:t>
      </w:r>
      <w:r w:rsidR="009E1486">
        <w:t>.</w:t>
      </w:r>
    </w:p>
    <w:p w14:paraId="0A4F76AE" w14:textId="08C3F348" w:rsidR="003F76E1" w:rsidRDefault="003F76E1" w:rsidP="003F76E1">
      <w:pPr>
        <w:pStyle w:val="ListParagraph"/>
        <w:numPr>
          <w:ilvl w:val="0"/>
          <w:numId w:val="36"/>
        </w:numPr>
      </w:pPr>
      <w:r>
        <w:t>R</w:t>
      </w:r>
      <w:r w:rsidR="00EE71C2" w:rsidRPr="003F76E1">
        <w:t>educe new plastic production</w:t>
      </w:r>
      <w:r>
        <w:t>.</w:t>
      </w:r>
    </w:p>
    <w:p w14:paraId="4435162E" w14:textId="68952A85" w:rsidR="003F76E1" w:rsidRDefault="007C3FBA" w:rsidP="003F76E1">
      <w:pPr>
        <w:pStyle w:val="ListParagraph"/>
        <w:numPr>
          <w:ilvl w:val="0"/>
          <w:numId w:val="36"/>
        </w:numPr>
      </w:pPr>
      <w:r>
        <w:t>P</w:t>
      </w:r>
      <w:r w:rsidR="00EE71C2" w:rsidRPr="003F76E1">
        <w:t>romote material circularity</w:t>
      </w:r>
      <w:r>
        <w:t>.</w:t>
      </w:r>
      <w:r w:rsidR="00EE71C2" w:rsidRPr="003F76E1">
        <w:t xml:space="preserve"> </w:t>
      </w:r>
    </w:p>
    <w:p w14:paraId="06493799" w14:textId="439C0117" w:rsidR="003F76E1" w:rsidRDefault="007C3FBA" w:rsidP="003F76E1">
      <w:pPr>
        <w:pStyle w:val="ListParagraph"/>
        <w:numPr>
          <w:ilvl w:val="0"/>
          <w:numId w:val="36"/>
        </w:numPr>
      </w:pPr>
      <w:r>
        <w:t>I</w:t>
      </w:r>
      <w:r w:rsidR="00EE71C2" w:rsidRPr="003F76E1">
        <w:t xml:space="preserve">mprove plastic packaging collection, processing, and markets. </w:t>
      </w:r>
    </w:p>
    <w:p w14:paraId="51C87D88" w14:textId="2303687A" w:rsidR="007C3FBA" w:rsidRDefault="00EE71C2" w:rsidP="006632CB">
      <w:pPr>
        <w:pStyle w:val="Paragraph"/>
      </w:pPr>
      <w:r w:rsidRPr="003F76E1">
        <w:t xml:space="preserve">Under certain conditions, the law </w:t>
      </w:r>
      <w:r w:rsidR="007C3FBA">
        <w:t>gives</w:t>
      </w:r>
      <w:r w:rsidRPr="003F76E1">
        <w:t xml:space="preserve"> Ecology the authority to</w:t>
      </w:r>
      <w:r w:rsidR="007C3FBA">
        <w:t>:</w:t>
      </w:r>
    </w:p>
    <w:p w14:paraId="298DDDF0" w14:textId="513763A1" w:rsidR="007C3FBA" w:rsidRDefault="007C3FBA" w:rsidP="007C3FBA">
      <w:pPr>
        <w:pStyle w:val="ListParagraph"/>
        <w:numPr>
          <w:ilvl w:val="0"/>
          <w:numId w:val="37"/>
        </w:numPr>
      </w:pPr>
      <w:r>
        <w:t>T</w:t>
      </w:r>
      <w:r w:rsidR="00EE71C2" w:rsidRPr="003F76E1">
        <w:t>emporarily adjust the PCRC targets</w:t>
      </w:r>
      <w:r>
        <w:t>.</w:t>
      </w:r>
      <w:r w:rsidR="00EE71C2" w:rsidRPr="003F76E1">
        <w:t xml:space="preserve"> </w:t>
      </w:r>
    </w:p>
    <w:p w14:paraId="4AFB9E29" w14:textId="3B5E75FC" w:rsidR="007C3FBA" w:rsidRDefault="007C3FBA" w:rsidP="007C3FBA">
      <w:pPr>
        <w:pStyle w:val="ListParagraph"/>
        <w:numPr>
          <w:ilvl w:val="0"/>
          <w:numId w:val="37"/>
        </w:numPr>
      </w:pPr>
      <w:r>
        <w:t>A</w:t>
      </w:r>
      <w:r w:rsidR="00EE71C2" w:rsidRPr="003F76E1">
        <w:t>pprove exclusions from meeting the targets</w:t>
      </w:r>
      <w:r>
        <w:t>.</w:t>
      </w:r>
    </w:p>
    <w:p w14:paraId="4155C520" w14:textId="4E9EEB60" w:rsidR="007C3FBA" w:rsidRDefault="007C3FBA" w:rsidP="007C3FBA">
      <w:pPr>
        <w:pStyle w:val="ListParagraph"/>
        <w:numPr>
          <w:ilvl w:val="0"/>
          <w:numId w:val="37"/>
        </w:numPr>
      </w:pPr>
      <w:r>
        <w:t>E</w:t>
      </w:r>
      <w:r w:rsidR="00EE71C2" w:rsidRPr="003F76E1">
        <w:t>stablish corrective action plans in lieu of penalties</w:t>
      </w:r>
      <w:r>
        <w:t>.</w:t>
      </w:r>
      <w:r w:rsidR="00EE71C2" w:rsidRPr="003F76E1">
        <w:t xml:space="preserve"> </w:t>
      </w:r>
    </w:p>
    <w:p w14:paraId="2653017C" w14:textId="09892064" w:rsidR="007C3FBA" w:rsidRDefault="007C3FBA" w:rsidP="007C3FBA">
      <w:pPr>
        <w:pStyle w:val="ListParagraph"/>
        <w:numPr>
          <w:ilvl w:val="0"/>
          <w:numId w:val="37"/>
        </w:numPr>
      </w:pPr>
      <w:r>
        <w:t>O</w:t>
      </w:r>
      <w:r w:rsidR="00EE71C2" w:rsidRPr="003F76E1">
        <w:t xml:space="preserve">ffer penalty reductions. </w:t>
      </w:r>
    </w:p>
    <w:p w14:paraId="42119321" w14:textId="0FDE219B" w:rsidR="008E6392" w:rsidRPr="008C7D98" w:rsidRDefault="008C7D98" w:rsidP="008E2C46">
      <w:pPr>
        <w:pStyle w:val="RMHeading3"/>
      </w:pPr>
      <w:r w:rsidRPr="008C7D98">
        <w:t>Summary of p</w:t>
      </w:r>
      <w:r w:rsidR="008E6392" w:rsidRPr="008C7D98">
        <w:t>roposed rule</w:t>
      </w:r>
    </w:p>
    <w:p w14:paraId="59F1EC76" w14:textId="1B896AE4" w:rsidR="00EE71C2" w:rsidRDefault="00EE71C2" w:rsidP="00EE71C2">
      <w:pPr>
        <w:pStyle w:val="Paragraph"/>
      </w:pPr>
      <w:r w:rsidRPr="003F76E1">
        <w:t xml:space="preserve">The proposed rule </w:t>
      </w:r>
      <w:r w:rsidR="007C3FBA">
        <w:t xml:space="preserve">would </w:t>
      </w:r>
      <w:r w:rsidRPr="003F76E1">
        <w:t xml:space="preserve">establish the processes </w:t>
      </w:r>
      <w:r w:rsidR="008E6392">
        <w:t xml:space="preserve">Ecology and </w:t>
      </w:r>
      <w:r w:rsidR="009E1486">
        <w:t>producers of covered products</w:t>
      </w:r>
      <w:r w:rsidR="008E6392">
        <w:t xml:space="preserve"> would follow to ensure </w:t>
      </w:r>
      <w:r w:rsidRPr="003F76E1">
        <w:t>compliance</w:t>
      </w:r>
      <w:r w:rsidR="008E6392">
        <w:t xml:space="preserve"> with the law</w:t>
      </w:r>
      <w:r w:rsidRPr="003F76E1">
        <w:t xml:space="preserve">, </w:t>
      </w:r>
      <w:r w:rsidR="008E6392">
        <w:t xml:space="preserve">including </w:t>
      </w:r>
      <w:r w:rsidR="006E57E2">
        <w:t>calculation of</w:t>
      </w:r>
      <w:r w:rsidRPr="003F76E1">
        <w:t xml:space="preserve"> annual fees</w:t>
      </w:r>
      <w:r w:rsidR="004819CE" w:rsidRPr="003F76E1">
        <w:t>.</w:t>
      </w:r>
      <w:r w:rsidRPr="003F76E1">
        <w:t xml:space="preserve"> </w:t>
      </w:r>
      <w:r>
        <w:t>The proposed rule would</w:t>
      </w:r>
      <w:r w:rsidR="008E6392">
        <w:t xml:space="preserve"> specifically</w:t>
      </w:r>
      <w:r>
        <w:t>:</w:t>
      </w:r>
    </w:p>
    <w:p w14:paraId="310963CD" w14:textId="76A48D12" w:rsidR="00EE71C2" w:rsidRPr="00600796" w:rsidRDefault="00EE71C2" w:rsidP="002A0928">
      <w:pPr>
        <w:pStyle w:val="ListParagraph"/>
        <w:numPr>
          <w:ilvl w:val="0"/>
          <w:numId w:val="6"/>
        </w:numPr>
        <w:spacing w:line="252" w:lineRule="auto"/>
        <w:rPr>
          <w:rFonts w:eastAsia="Times New Roman"/>
          <w:sz w:val="22"/>
        </w:rPr>
      </w:pPr>
      <w:r w:rsidRPr="00600796">
        <w:rPr>
          <w:rFonts w:eastAsia="Times New Roman"/>
        </w:rPr>
        <w:t xml:space="preserve">Add or clarify definitions </w:t>
      </w:r>
      <w:r w:rsidR="001A5AD6" w:rsidRPr="00600796">
        <w:rPr>
          <w:rFonts w:eastAsia="Times New Roman"/>
        </w:rPr>
        <w:t>needed</w:t>
      </w:r>
      <w:r w:rsidRPr="00600796">
        <w:rPr>
          <w:rFonts w:eastAsia="Times New Roman"/>
        </w:rPr>
        <w:t xml:space="preserve"> </w:t>
      </w:r>
      <w:r w:rsidR="001A5AD6">
        <w:rPr>
          <w:rFonts w:eastAsia="Times New Roman"/>
        </w:rPr>
        <w:t>to comply with</w:t>
      </w:r>
      <w:r w:rsidRPr="00600796">
        <w:rPr>
          <w:rFonts w:eastAsia="Times New Roman"/>
        </w:rPr>
        <w:t xml:space="preserve"> the </w:t>
      </w:r>
      <w:r w:rsidR="00CB3B35">
        <w:rPr>
          <w:rFonts w:eastAsia="Times New Roman"/>
        </w:rPr>
        <w:t>law</w:t>
      </w:r>
      <w:r w:rsidRPr="00600796">
        <w:rPr>
          <w:rFonts w:eastAsia="Times New Roman"/>
        </w:rPr>
        <w:t>.</w:t>
      </w:r>
    </w:p>
    <w:p w14:paraId="50468FC1" w14:textId="77777777" w:rsidR="00EE71C2" w:rsidRPr="00600796" w:rsidRDefault="00EE71C2" w:rsidP="002A0928">
      <w:pPr>
        <w:pStyle w:val="ListParagraph"/>
        <w:numPr>
          <w:ilvl w:val="0"/>
          <w:numId w:val="6"/>
        </w:numPr>
        <w:spacing w:line="252" w:lineRule="auto"/>
        <w:rPr>
          <w:rFonts w:eastAsia="Times New Roman"/>
        </w:rPr>
      </w:pPr>
      <w:r w:rsidRPr="00600796">
        <w:rPr>
          <w:rFonts w:eastAsia="Times New Roman"/>
        </w:rPr>
        <w:t>Set requirements for registration and reporting.</w:t>
      </w:r>
    </w:p>
    <w:p w14:paraId="0AE68831" w14:textId="114FA251" w:rsidR="007555DA" w:rsidRDefault="00EE71C2" w:rsidP="002A0928">
      <w:pPr>
        <w:pStyle w:val="ListParagraph"/>
        <w:numPr>
          <w:ilvl w:val="0"/>
          <w:numId w:val="6"/>
        </w:numPr>
        <w:spacing w:line="252" w:lineRule="auto"/>
        <w:rPr>
          <w:rFonts w:eastAsia="Times New Roman"/>
        </w:rPr>
      </w:pPr>
      <w:r w:rsidRPr="00600796">
        <w:rPr>
          <w:rFonts w:eastAsia="Times New Roman"/>
        </w:rPr>
        <w:t xml:space="preserve">Establish </w:t>
      </w:r>
      <w:r w:rsidR="001A5AD6">
        <w:rPr>
          <w:rFonts w:eastAsia="Times New Roman"/>
        </w:rPr>
        <w:t>a</w:t>
      </w:r>
      <w:r w:rsidR="007555DA">
        <w:rPr>
          <w:rFonts w:eastAsia="Times New Roman"/>
        </w:rPr>
        <w:t xml:space="preserve"> process to ensure </w:t>
      </w:r>
      <w:r w:rsidRPr="00600796">
        <w:rPr>
          <w:rFonts w:eastAsia="Times New Roman"/>
        </w:rPr>
        <w:t xml:space="preserve">fee allocation methods </w:t>
      </w:r>
      <w:r w:rsidR="0048012C">
        <w:rPr>
          <w:rFonts w:eastAsia="Times New Roman"/>
        </w:rPr>
        <w:t>are equitable.</w:t>
      </w:r>
    </w:p>
    <w:p w14:paraId="3E05C89D" w14:textId="67DD3874" w:rsidR="00EE71C2" w:rsidRPr="00600796" w:rsidRDefault="007555DA" w:rsidP="002A0928">
      <w:pPr>
        <w:pStyle w:val="ListParagraph"/>
        <w:numPr>
          <w:ilvl w:val="0"/>
          <w:numId w:val="6"/>
        </w:numPr>
        <w:spacing w:line="252" w:lineRule="auto"/>
        <w:rPr>
          <w:rFonts w:eastAsia="Times New Roman"/>
        </w:rPr>
      </w:pPr>
      <w:r>
        <w:rPr>
          <w:rFonts w:eastAsia="Times New Roman"/>
        </w:rPr>
        <w:t xml:space="preserve">Establish the </w:t>
      </w:r>
      <w:r w:rsidR="006E57E2">
        <w:rPr>
          <w:rFonts w:eastAsia="Times New Roman"/>
        </w:rPr>
        <w:t xml:space="preserve">annual producer </w:t>
      </w:r>
      <w:r w:rsidR="0048012C">
        <w:rPr>
          <w:rFonts w:eastAsia="Times New Roman"/>
        </w:rPr>
        <w:t xml:space="preserve">fee </w:t>
      </w:r>
      <w:r w:rsidR="00EE71C2" w:rsidRPr="00600796">
        <w:rPr>
          <w:rFonts w:eastAsia="Times New Roman"/>
        </w:rPr>
        <w:t>billing proc</w:t>
      </w:r>
      <w:r>
        <w:rPr>
          <w:rFonts w:eastAsia="Times New Roman"/>
        </w:rPr>
        <w:t>ess</w:t>
      </w:r>
      <w:r w:rsidR="00EE71C2" w:rsidRPr="00600796">
        <w:rPr>
          <w:rFonts w:eastAsia="Times New Roman"/>
        </w:rPr>
        <w:t>.</w:t>
      </w:r>
    </w:p>
    <w:p w14:paraId="7EEDFF48" w14:textId="207771D2" w:rsidR="00EE71C2" w:rsidRPr="00600796" w:rsidRDefault="00CB3B35" w:rsidP="002A0928">
      <w:pPr>
        <w:pStyle w:val="ListParagraph"/>
        <w:numPr>
          <w:ilvl w:val="0"/>
          <w:numId w:val="6"/>
        </w:numPr>
        <w:spacing w:line="252" w:lineRule="auto"/>
        <w:rPr>
          <w:rFonts w:eastAsia="Times New Roman"/>
        </w:rPr>
      </w:pPr>
      <w:r>
        <w:rPr>
          <w:rFonts w:eastAsia="Times New Roman"/>
        </w:rPr>
        <w:t>Clarify</w:t>
      </w:r>
      <w:r w:rsidR="00EE71C2" w:rsidRPr="00600796">
        <w:rPr>
          <w:rFonts w:eastAsia="Times New Roman"/>
        </w:rPr>
        <w:t xml:space="preserve"> requirements for PCRC weight calculations.</w:t>
      </w:r>
    </w:p>
    <w:p w14:paraId="0B675B9B" w14:textId="7368A121" w:rsidR="00EE71C2" w:rsidRPr="00600796" w:rsidRDefault="00366B34" w:rsidP="002A0928">
      <w:pPr>
        <w:pStyle w:val="ListParagraph"/>
        <w:numPr>
          <w:ilvl w:val="0"/>
          <w:numId w:val="6"/>
        </w:numPr>
        <w:spacing w:line="252" w:lineRule="auto"/>
        <w:rPr>
          <w:rFonts w:eastAsia="Times New Roman"/>
        </w:rPr>
      </w:pPr>
      <w:r>
        <w:rPr>
          <w:rFonts w:eastAsia="Times New Roman"/>
        </w:rPr>
        <w:t>Clarify</w:t>
      </w:r>
      <w:r w:rsidRPr="00600796">
        <w:rPr>
          <w:rFonts w:eastAsia="Times New Roman"/>
        </w:rPr>
        <w:t xml:space="preserve"> </w:t>
      </w:r>
      <w:r w:rsidR="00EE71C2" w:rsidRPr="00600796">
        <w:rPr>
          <w:rFonts w:eastAsia="Times New Roman"/>
        </w:rPr>
        <w:t>requirements for temporary exclusion requests.</w:t>
      </w:r>
    </w:p>
    <w:p w14:paraId="1731F2E6" w14:textId="4FC468E4" w:rsidR="00EE71C2" w:rsidRDefault="00EE71C2" w:rsidP="002A0928">
      <w:pPr>
        <w:pStyle w:val="ListParagraph"/>
        <w:numPr>
          <w:ilvl w:val="0"/>
          <w:numId w:val="6"/>
        </w:numPr>
        <w:spacing w:line="252" w:lineRule="auto"/>
        <w:rPr>
          <w:rFonts w:eastAsia="Times New Roman"/>
        </w:rPr>
      </w:pPr>
      <w:r w:rsidRPr="00EA2055">
        <w:rPr>
          <w:rFonts w:eastAsia="Times New Roman"/>
        </w:rPr>
        <w:lastRenderedPageBreak/>
        <w:t>Limit timing for providing necessary audit documentation.</w:t>
      </w:r>
    </w:p>
    <w:p w14:paraId="72400DC2" w14:textId="237D6343" w:rsidR="00EE71C2" w:rsidRPr="00600796" w:rsidRDefault="00E13B54" w:rsidP="002A0928">
      <w:pPr>
        <w:pStyle w:val="ListParagraph"/>
        <w:numPr>
          <w:ilvl w:val="0"/>
          <w:numId w:val="6"/>
        </w:numPr>
        <w:spacing w:line="252" w:lineRule="auto"/>
        <w:rPr>
          <w:rFonts w:eastAsia="Times New Roman"/>
        </w:rPr>
      </w:pPr>
      <w:r>
        <w:rPr>
          <w:rFonts w:eastAsia="Times New Roman"/>
        </w:rPr>
        <w:t>Detail</w:t>
      </w:r>
      <w:r w:rsidR="009D3FA1">
        <w:rPr>
          <w:rFonts w:eastAsia="Times New Roman"/>
        </w:rPr>
        <w:t xml:space="preserve"> the process </w:t>
      </w:r>
      <w:r w:rsidR="00EE71C2" w:rsidRPr="00600796">
        <w:rPr>
          <w:rFonts w:eastAsia="Times New Roman"/>
        </w:rPr>
        <w:t>for warnings and penalties for noncompliance.</w:t>
      </w:r>
    </w:p>
    <w:p w14:paraId="4230E09C" w14:textId="6CEC4B14" w:rsidR="00EE71C2" w:rsidRPr="008C7D98" w:rsidRDefault="00E13B54" w:rsidP="00B94460">
      <w:pPr>
        <w:pStyle w:val="RMHeading3"/>
      </w:pPr>
      <w:r>
        <w:t>C</w:t>
      </w:r>
      <w:r w:rsidR="00EE71C2" w:rsidRPr="008C7D98">
        <w:t>osts</w:t>
      </w:r>
    </w:p>
    <w:p w14:paraId="3448F362" w14:textId="328CA32B" w:rsidR="009D3FA1" w:rsidRDefault="00B94460" w:rsidP="00B94460">
      <w:pPr>
        <w:pStyle w:val="Caption"/>
        <w:rPr>
          <w:b/>
          <w:bCs/>
        </w:rPr>
      </w:pPr>
      <w:bookmarkStart w:id="9" w:name="_Toc133303720"/>
      <w:r w:rsidRPr="00320A63">
        <w:t xml:space="preserve">Table </w:t>
      </w:r>
      <w:fldSimple w:instr=" SEQ Table \* ARABIC ">
        <w:r w:rsidRPr="00320A63">
          <w:rPr>
            <w:noProof/>
          </w:rPr>
          <w:t>1</w:t>
        </w:r>
      </w:fldSimple>
      <w:r w:rsidRPr="00320A63">
        <w:t>. Cost summary.</w:t>
      </w:r>
      <w:bookmarkEnd w:id="9"/>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cost summary"/>
      </w:tblPr>
      <w:tblGrid>
        <w:gridCol w:w="2695"/>
        <w:gridCol w:w="2160"/>
        <w:gridCol w:w="1985"/>
        <w:gridCol w:w="2510"/>
      </w:tblGrid>
      <w:tr w:rsidR="00181F63" w:rsidRPr="00AF0F30" w14:paraId="40DA10EF" w14:textId="77777777" w:rsidTr="00AF0F30">
        <w:trPr>
          <w:cantSplit/>
          <w:tblHeader/>
        </w:trPr>
        <w:tc>
          <w:tcPr>
            <w:tcW w:w="2695" w:type="dxa"/>
          </w:tcPr>
          <w:p w14:paraId="002F82F7" w14:textId="33466BE7" w:rsidR="00181F63" w:rsidRPr="00AF0F30" w:rsidRDefault="00765C60" w:rsidP="00FE2B3F">
            <w:pPr>
              <w:pStyle w:val="Tablecell"/>
              <w:jc w:val="center"/>
            </w:pPr>
            <w:r w:rsidRPr="00AF0F30">
              <w:t>Type of cost</w:t>
            </w:r>
          </w:p>
        </w:tc>
        <w:tc>
          <w:tcPr>
            <w:tcW w:w="2160" w:type="dxa"/>
          </w:tcPr>
          <w:p w14:paraId="39BFEA50" w14:textId="206B377A" w:rsidR="00181F63" w:rsidRPr="00AF0F30" w:rsidRDefault="00F4769D" w:rsidP="00FE2B3F">
            <w:pPr>
              <w:pStyle w:val="Tablecell"/>
              <w:jc w:val="center"/>
            </w:pPr>
            <w:r w:rsidRPr="00AF0F30">
              <w:t>Range of e</w:t>
            </w:r>
            <w:r w:rsidR="00181F63" w:rsidRPr="00AF0F30">
              <w:t xml:space="preserve">stimated </w:t>
            </w:r>
            <w:r w:rsidR="00C93592" w:rsidRPr="00AF0F30">
              <w:t xml:space="preserve">total </w:t>
            </w:r>
            <w:r w:rsidR="00181F63" w:rsidRPr="00AF0F30">
              <w:t>annual costs</w:t>
            </w:r>
          </w:p>
        </w:tc>
        <w:tc>
          <w:tcPr>
            <w:tcW w:w="1985" w:type="dxa"/>
          </w:tcPr>
          <w:p w14:paraId="5EFE6B16" w14:textId="0BECB358" w:rsidR="00E13B54" w:rsidRPr="00AF0F30" w:rsidRDefault="00E13B54" w:rsidP="00FE2B3F">
            <w:pPr>
              <w:pStyle w:val="Tablecell"/>
              <w:jc w:val="center"/>
            </w:pPr>
            <w:r w:rsidRPr="00AF0F30">
              <w:t xml:space="preserve">Average </w:t>
            </w:r>
            <w:r w:rsidR="00C93592" w:rsidRPr="00AF0F30">
              <w:t xml:space="preserve">annual </w:t>
            </w:r>
            <w:r w:rsidRPr="00AF0F30">
              <w:t>cost per producer</w:t>
            </w:r>
          </w:p>
        </w:tc>
        <w:tc>
          <w:tcPr>
            <w:tcW w:w="2510" w:type="dxa"/>
          </w:tcPr>
          <w:p w14:paraId="128CDBD4" w14:textId="63AF8140" w:rsidR="00181F63" w:rsidRPr="00AF0F30" w:rsidRDefault="00F4769D" w:rsidP="00FE2B3F">
            <w:pPr>
              <w:pStyle w:val="Tablecell"/>
              <w:jc w:val="center"/>
            </w:pPr>
            <w:r w:rsidRPr="00AF0F30">
              <w:t>Range of e</w:t>
            </w:r>
            <w:r w:rsidR="00181F63" w:rsidRPr="00AF0F30">
              <w:t>stimated cost over 20 years in present value</w:t>
            </w:r>
          </w:p>
        </w:tc>
      </w:tr>
      <w:tr w:rsidR="00181F63" w:rsidRPr="00AF0F30" w14:paraId="0D421F10" w14:textId="77777777" w:rsidTr="00AF0F30">
        <w:trPr>
          <w:cantSplit/>
        </w:trPr>
        <w:tc>
          <w:tcPr>
            <w:tcW w:w="2695" w:type="dxa"/>
          </w:tcPr>
          <w:p w14:paraId="08C86E27" w14:textId="67A3C0C4" w:rsidR="00181F63" w:rsidRPr="00AF0F30" w:rsidRDefault="00181F63" w:rsidP="00B863C8">
            <w:pPr>
              <w:pStyle w:val="Tablecell"/>
            </w:pPr>
            <w:r w:rsidRPr="00AF0F30">
              <w:t>Registration and reporting</w:t>
            </w:r>
          </w:p>
        </w:tc>
        <w:tc>
          <w:tcPr>
            <w:tcW w:w="2160" w:type="dxa"/>
          </w:tcPr>
          <w:p w14:paraId="0C369308" w14:textId="1E499CB9" w:rsidR="00181F63" w:rsidRPr="00AF0F30" w:rsidRDefault="00181F63" w:rsidP="00FE2B3F">
            <w:pPr>
              <w:pStyle w:val="Tablecell"/>
              <w:jc w:val="center"/>
              <w:rPr>
                <w:b/>
                <w:bCs/>
              </w:rPr>
            </w:pPr>
            <w:r w:rsidRPr="00AF0F30">
              <w:rPr>
                <w:b/>
                <w:bCs/>
              </w:rPr>
              <w:t>$14,8</w:t>
            </w:r>
            <w:r w:rsidR="001F37B9" w:rsidRPr="00AF0F30">
              <w:rPr>
                <w:b/>
                <w:bCs/>
              </w:rPr>
              <w:t>23</w:t>
            </w:r>
            <w:r w:rsidR="00FE2B3F" w:rsidRPr="00AF0F30">
              <w:rPr>
                <w:b/>
                <w:bCs/>
              </w:rPr>
              <w:t xml:space="preserve"> </w:t>
            </w:r>
            <w:r w:rsidR="001C0A07" w:rsidRPr="00AF0F30">
              <w:rPr>
                <w:b/>
                <w:bCs/>
              </w:rPr>
              <w:t>–</w:t>
            </w:r>
            <w:r w:rsidR="00B94460" w:rsidRPr="00AF0F30">
              <w:rPr>
                <w:b/>
                <w:bCs/>
              </w:rPr>
              <w:t xml:space="preserve"> </w:t>
            </w:r>
            <w:r w:rsidRPr="00AF0F30">
              <w:rPr>
                <w:b/>
                <w:bCs/>
              </w:rPr>
              <w:t>$31,1</w:t>
            </w:r>
            <w:r w:rsidR="001F37B9" w:rsidRPr="00AF0F30">
              <w:rPr>
                <w:b/>
                <w:bCs/>
              </w:rPr>
              <w:t>15</w:t>
            </w:r>
          </w:p>
        </w:tc>
        <w:tc>
          <w:tcPr>
            <w:tcW w:w="1985" w:type="dxa"/>
          </w:tcPr>
          <w:p w14:paraId="7AE2E446" w14:textId="372F9211" w:rsidR="00E13B54" w:rsidRPr="00AF0F30" w:rsidRDefault="001F37B9" w:rsidP="00FE2B3F">
            <w:pPr>
              <w:pStyle w:val="Tablecell"/>
              <w:jc w:val="center"/>
              <w:rPr>
                <w:b/>
                <w:bCs/>
              </w:rPr>
            </w:pPr>
            <w:r w:rsidRPr="00AF0F30">
              <w:rPr>
                <w:b/>
                <w:bCs/>
              </w:rPr>
              <w:t>$123</w:t>
            </w:r>
          </w:p>
        </w:tc>
        <w:tc>
          <w:tcPr>
            <w:tcW w:w="2510" w:type="dxa"/>
          </w:tcPr>
          <w:p w14:paraId="24B34A9D" w14:textId="162B966D" w:rsidR="00181F63" w:rsidRPr="00AF0F30" w:rsidRDefault="00181F63" w:rsidP="00FE2B3F">
            <w:pPr>
              <w:pStyle w:val="Tablecell"/>
              <w:jc w:val="center"/>
              <w:rPr>
                <w:b/>
                <w:bCs/>
              </w:rPr>
            </w:pPr>
            <w:r w:rsidRPr="00AF0F30">
              <w:rPr>
                <w:b/>
                <w:bCs/>
              </w:rPr>
              <w:t>$</w:t>
            </w:r>
            <w:r w:rsidR="00A46D74" w:rsidRPr="00AF0F30">
              <w:rPr>
                <w:b/>
                <w:bCs/>
              </w:rPr>
              <w:t>272,873</w:t>
            </w:r>
            <w:r w:rsidR="001C0A07" w:rsidRPr="00AF0F30">
              <w:rPr>
                <w:b/>
                <w:bCs/>
              </w:rPr>
              <w:t xml:space="preserve"> – </w:t>
            </w:r>
            <w:r w:rsidRPr="00AF0F30">
              <w:rPr>
                <w:b/>
                <w:bCs/>
              </w:rPr>
              <w:t>$</w:t>
            </w:r>
            <w:r w:rsidR="00A46D74" w:rsidRPr="00AF0F30">
              <w:rPr>
                <w:b/>
                <w:bCs/>
              </w:rPr>
              <w:t>572,808</w:t>
            </w:r>
          </w:p>
        </w:tc>
      </w:tr>
      <w:tr w:rsidR="00181F63" w:rsidRPr="00AF0F30" w14:paraId="0802E532" w14:textId="77777777" w:rsidTr="00AF0F30">
        <w:trPr>
          <w:cantSplit/>
        </w:trPr>
        <w:tc>
          <w:tcPr>
            <w:tcW w:w="2695" w:type="dxa"/>
          </w:tcPr>
          <w:p w14:paraId="3CAE5ADD" w14:textId="31155107" w:rsidR="00181F63" w:rsidRPr="00AF0F30" w:rsidRDefault="00181F63" w:rsidP="00B863C8">
            <w:pPr>
              <w:pStyle w:val="Tablecell"/>
            </w:pPr>
            <w:r w:rsidRPr="00AF0F30">
              <w:t>De minimis notifications</w:t>
            </w:r>
          </w:p>
        </w:tc>
        <w:tc>
          <w:tcPr>
            <w:tcW w:w="2160" w:type="dxa"/>
          </w:tcPr>
          <w:p w14:paraId="07E0B704" w14:textId="62379830" w:rsidR="00181F63" w:rsidRPr="00AF0F30" w:rsidRDefault="00C86B3D" w:rsidP="00FE2B3F">
            <w:pPr>
              <w:pStyle w:val="Tablecell"/>
              <w:jc w:val="center"/>
              <w:rPr>
                <w:b/>
                <w:bCs/>
              </w:rPr>
            </w:pPr>
            <w:r w:rsidRPr="00AF0F30">
              <w:rPr>
                <w:b/>
                <w:bCs/>
              </w:rPr>
              <w:t>$</w:t>
            </w:r>
            <w:r w:rsidR="003D6659" w:rsidRPr="00AF0F30">
              <w:rPr>
                <w:b/>
                <w:bCs/>
              </w:rPr>
              <w:t>5,391</w:t>
            </w:r>
            <w:r w:rsidR="001C0A07" w:rsidRPr="00AF0F30">
              <w:rPr>
                <w:b/>
                <w:bCs/>
              </w:rPr>
              <w:t xml:space="preserve"> – </w:t>
            </w:r>
            <w:r w:rsidRPr="00AF0F30">
              <w:rPr>
                <w:b/>
                <w:bCs/>
              </w:rPr>
              <w:t>$</w:t>
            </w:r>
            <w:r w:rsidR="003D6659" w:rsidRPr="00AF0F30">
              <w:rPr>
                <w:b/>
                <w:bCs/>
              </w:rPr>
              <w:t>11,302</w:t>
            </w:r>
          </w:p>
        </w:tc>
        <w:tc>
          <w:tcPr>
            <w:tcW w:w="1985" w:type="dxa"/>
          </w:tcPr>
          <w:p w14:paraId="6F94F668" w14:textId="71008831" w:rsidR="00E13B54" w:rsidRPr="00AF0F30" w:rsidRDefault="003D6659" w:rsidP="00FE2B3F">
            <w:pPr>
              <w:pStyle w:val="Tablecell"/>
              <w:jc w:val="center"/>
              <w:rPr>
                <w:b/>
                <w:bCs/>
              </w:rPr>
            </w:pPr>
            <w:r w:rsidRPr="00AF0F30">
              <w:rPr>
                <w:b/>
                <w:bCs/>
              </w:rPr>
              <w:t>$31</w:t>
            </w:r>
          </w:p>
        </w:tc>
        <w:tc>
          <w:tcPr>
            <w:tcW w:w="2510" w:type="dxa"/>
          </w:tcPr>
          <w:p w14:paraId="52D9C90D" w14:textId="43F9F4CC" w:rsidR="00181F63" w:rsidRPr="00AF0F30" w:rsidRDefault="00C86B3D" w:rsidP="00FE2B3F">
            <w:pPr>
              <w:pStyle w:val="Tablecell"/>
              <w:jc w:val="center"/>
              <w:rPr>
                <w:b/>
                <w:bCs/>
              </w:rPr>
            </w:pPr>
            <w:r w:rsidRPr="00AF0F30">
              <w:rPr>
                <w:b/>
                <w:bCs/>
              </w:rPr>
              <w:t>$</w:t>
            </w:r>
            <w:r w:rsidR="0010302E" w:rsidRPr="00AF0F30">
              <w:rPr>
                <w:b/>
                <w:bCs/>
              </w:rPr>
              <w:t>99,243</w:t>
            </w:r>
            <w:r w:rsidR="001C0A07" w:rsidRPr="00AF0F30">
              <w:rPr>
                <w:b/>
                <w:bCs/>
              </w:rPr>
              <w:t xml:space="preserve"> – </w:t>
            </w:r>
            <w:r w:rsidRPr="00AF0F30">
              <w:rPr>
                <w:b/>
                <w:bCs/>
              </w:rPr>
              <w:t>$</w:t>
            </w:r>
            <w:r w:rsidR="00A46D74" w:rsidRPr="00AF0F30">
              <w:rPr>
                <w:b/>
                <w:bCs/>
              </w:rPr>
              <w:t>208,072</w:t>
            </w:r>
          </w:p>
        </w:tc>
      </w:tr>
      <w:tr w:rsidR="00181F63" w:rsidRPr="00AF0F30" w14:paraId="0F919FD0" w14:textId="77777777" w:rsidTr="00AF0F30">
        <w:trPr>
          <w:cantSplit/>
        </w:trPr>
        <w:tc>
          <w:tcPr>
            <w:tcW w:w="2695" w:type="dxa"/>
          </w:tcPr>
          <w:p w14:paraId="721F7119" w14:textId="0A6EF5FB" w:rsidR="00181F63" w:rsidRPr="00AF0F30" w:rsidRDefault="00C86B3D" w:rsidP="00B863C8">
            <w:pPr>
              <w:pStyle w:val="Tablecell"/>
            </w:pPr>
            <w:r w:rsidRPr="00AF0F30">
              <w:t>Fees</w:t>
            </w:r>
          </w:p>
        </w:tc>
        <w:tc>
          <w:tcPr>
            <w:tcW w:w="2160" w:type="dxa"/>
          </w:tcPr>
          <w:p w14:paraId="3B42C64A" w14:textId="148F3251" w:rsidR="00181F63" w:rsidRPr="00AF0F30" w:rsidRDefault="00D72F48" w:rsidP="00FE2B3F">
            <w:pPr>
              <w:pStyle w:val="Tablecell"/>
              <w:jc w:val="center"/>
              <w:rPr>
                <w:b/>
                <w:bCs/>
                <w:highlight w:val="green"/>
              </w:rPr>
            </w:pPr>
            <w:r w:rsidRPr="00AF0F30">
              <w:rPr>
                <w:b/>
                <w:bCs/>
              </w:rPr>
              <w:t>Total fees the same as baseline (</w:t>
            </w:r>
            <w:r w:rsidR="00C86B3D" w:rsidRPr="00AF0F30">
              <w:rPr>
                <w:b/>
                <w:bCs/>
              </w:rPr>
              <w:t>$578,000</w:t>
            </w:r>
            <w:r w:rsidR="004F14E9" w:rsidRPr="00AF0F30">
              <w:rPr>
                <w:b/>
                <w:bCs/>
              </w:rPr>
              <w:t xml:space="preserve"> – $664</w:t>
            </w:r>
            <w:r w:rsidR="00850121" w:rsidRPr="00AF0F30">
              <w:rPr>
                <w:b/>
                <w:bCs/>
              </w:rPr>
              <w:t>,944</w:t>
            </w:r>
            <w:r w:rsidRPr="00AF0F30">
              <w:rPr>
                <w:b/>
                <w:bCs/>
              </w:rPr>
              <w:t xml:space="preserve">) </w:t>
            </w:r>
            <w:r w:rsidR="00B13586" w:rsidRPr="00AF0F30">
              <w:rPr>
                <w:b/>
                <w:bCs/>
              </w:rPr>
              <w:t xml:space="preserve">allocated based on </w:t>
            </w:r>
            <w:r w:rsidR="001170F9" w:rsidRPr="00AF0F30">
              <w:rPr>
                <w:b/>
                <w:bCs/>
              </w:rPr>
              <w:t xml:space="preserve">resin weight rather than </w:t>
            </w:r>
            <w:r w:rsidR="00797064" w:rsidRPr="00AF0F30">
              <w:rPr>
                <w:b/>
                <w:bCs/>
              </w:rPr>
              <w:t>equally</w:t>
            </w:r>
          </w:p>
        </w:tc>
        <w:tc>
          <w:tcPr>
            <w:tcW w:w="1985" w:type="dxa"/>
          </w:tcPr>
          <w:p w14:paraId="6DCE63C1" w14:textId="77777777" w:rsidR="00724D6E" w:rsidRPr="00AF0F30" w:rsidRDefault="00811D0A" w:rsidP="00FE2B3F">
            <w:pPr>
              <w:pStyle w:val="Tablecell"/>
              <w:jc w:val="center"/>
              <w:rPr>
                <w:b/>
                <w:bCs/>
              </w:rPr>
            </w:pPr>
            <w:r w:rsidRPr="00AF0F30">
              <w:rPr>
                <w:b/>
                <w:bCs/>
              </w:rPr>
              <w:t>-</w:t>
            </w:r>
            <w:r w:rsidR="007F028C" w:rsidRPr="00AF0F30">
              <w:rPr>
                <w:b/>
                <w:bCs/>
              </w:rPr>
              <w:t xml:space="preserve">$5,956 </w:t>
            </w:r>
            <w:r w:rsidR="00E94D62" w:rsidRPr="00AF0F30">
              <w:rPr>
                <w:b/>
                <w:bCs/>
              </w:rPr>
              <w:t>(cost-savings for smallest producers</w:t>
            </w:r>
            <w:r w:rsidR="00982B74" w:rsidRPr="00AF0F30">
              <w:rPr>
                <w:b/>
                <w:bCs/>
              </w:rPr>
              <w:t>)</w:t>
            </w:r>
          </w:p>
          <w:p w14:paraId="353B77D8" w14:textId="77777777" w:rsidR="00724D6E" w:rsidRPr="00AF0F30" w:rsidRDefault="007F028C" w:rsidP="00FE2B3F">
            <w:pPr>
              <w:pStyle w:val="Tablecell"/>
              <w:jc w:val="center"/>
              <w:rPr>
                <w:b/>
                <w:bCs/>
              </w:rPr>
            </w:pPr>
            <w:r w:rsidRPr="00AF0F30">
              <w:rPr>
                <w:b/>
                <w:bCs/>
              </w:rPr>
              <w:t>–</w:t>
            </w:r>
          </w:p>
          <w:p w14:paraId="577A4969" w14:textId="25227050" w:rsidR="00E13B54" w:rsidRPr="00AF0F30" w:rsidRDefault="00982B74" w:rsidP="00FE2B3F">
            <w:pPr>
              <w:pStyle w:val="Tablecell"/>
              <w:jc w:val="center"/>
              <w:rPr>
                <w:b/>
                <w:bCs/>
                <w:highlight w:val="green"/>
              </w:rPr>
            </w:pPr>
            <w:r w:rsidRPr="00AF0F30">
              <w:rPr>
                <w:b/>
                <w:bCs/>
              </w:rPr>
              <w:t>$74,200 (cost increase fo</w:t>
            </w:r>
            <w:r w:rsidR="00724D6E" w:rsidRPr="00AF0F30">
              <w:rPr>
                <w:b/>
                <w:bCs/>
              </w:rPr>
              <w:t>r</w:t>
            </w:r>
            <w:r w:rsidRPr="00AF0F30">
              <w:rPr>
                <w:b/>
                <w:bCs/>
              </w:rPr>
              <w:t xml:space="preserve"> the largest producers)</w:t>
            </w:r>
          </w:p>
        </w:tc>
        <w:tc>
          <w:tcPr>
            <w:tcW w:w="2510" w:type="dxa"/>
          </w:tcPr>
          <w:p w14:paraId="0BBDE89E" w14:textId="32541B72" w:rsidR="00181F63" w:rsidRPr="00AF0F30" w:rsidRDefault="00D72F48" w:rsidP="00FE2B3F">
            <w:pPr>
              <w:pStyle w:val="Tablecell"/>
              <w:jc w:val="center"/>
              <w:rPr>
                <w:b/>
                <w:bCs/>
              </w:rPr>
            </w:pPr>
            <w:r w:rsidRPr="00AF0F30">
              <w:rPr>
                <w:b/>
                <w:bCs/>
              </w:rPr>
              <w:t>Total present value the same as baseline (</w:t>
            </w:r>
            <w:r w:rsidR="00C86B3D" w:rsidRPr="00AF0F30">
              <w:rPr>
                <w:b/>
                <w:bCs/>
              </w:rPr>
              <w:t>$1</w:t>
            </w:r>
            <w:r w:rsidR="00F75BC6" w:rsidRPr="00AF0F30">
              <w:rPr>
                <w:b/>
                <w:bCs/>
              </w:rPr>
              <w:t>1.9</w:t>
            </w:r>
            <w:r w:rsidR="00C86B3D" w:rsidRPr="00AF0F30">
              <w:rPr>
                <w:b/>
                <w:bCs/>
              </w:rPr>
              <w:t xml:space="preserve"> million</w:t>
            </w:r>
            <w:r w:rsidR="00F75BC6" w:rsidRPr="00AF0F30">
              <w:rPr>
                <w:b/>
                <w:bCs/>
              </w:rPr>
              <w:t>)</w:t>
            </w:r>
            <w:r w:rsidR="00F869B0" w:rsidRPr="00AF0F30">
              <w:rPr>
                <w:b/>
                <w:bCs/>
              </w:rPr>
              <w:t xml:space="preserve"> allocated based on resin weight rather than </w:t>
            </w:r>
            <w:r w:rsidR="00320A63" w:rsidRPr="00AF0F30">
              <w:rPr>
                <w:b/>
                <w:bCs/>
              </w:rPr>
              <w:t>equally divided</w:t>
            </w:r>
          </w:p>
        </w:tc>
      </w:tr>
      <w:tr w:rsidR="00765C60" w:rsidRPr="00AF0F30" w14:paraId="6ECACAE7" w14:textId="77777777" w:rsidTr="00AF0F30">
        <w:trPr>
          <w:cantSplit/>
          <w:trHeight w:val="647"/>
        </w:trPr>
        <w:tc>
          <w:tcPr>
            <w:tcW w:w="2695" w:type="dxa"/>
          </w:tcPr>
          <w:p w14:paraId="1A61CEC3" w14:textId="6A8C3A39" w:rsidR="00765C60" w:rsidRPr="00AF0F30" w:rsidRDefault="006D7B2A" w:rsidP="00B863C8">
            <w:pPr>
              <w:pStyle w:val="Tablecell"/>
            </w:pPr>
            <w:r w:rsidRPr="00AF0F30">
              <w:t>75% of producers request for exclusion.</w:t>
            </w:r>
          </w:p>
        </w:tc>
        <w:tc>
          <w:tcPr>
            <w:tcW w:w="2160" w:type="dxa"/>
          </w:tcPr>
          <w:p w14:paraId="4CAFE421" w14:textId="0CBEC4B9" w:rsidR="00765C60" w:rsidRPr="00AF0F30" w:rsidRDefault="00765C60" w:rsidP="00FE2B3F">
            <w:pPr>
              <w:pStyle w:val="Tablecell"/>
              <w:jc w:val="center"/>
              <w:rPr>
                <w:b/>
                <w:bCs/>
              </w:rPr>
            </w:pPr>
            <w:r w:rsidRPr="00AF0F30">
              <w:rPr>
                <w:b/>
                <w:bCs/>
              </w:rPr>
              <w:t>$</w:t>
            </w:r>
            <w:r w:rsidR="001F37B9" w:rsidRPr="00AF0F30">
              <w:rPr>
                <w:b/>
                <w:bCs/>
              </w:rPr>
              <w:t>22,019</w:t>
            </w:r>
            <w:r w:rsidR="001C0A07" w:rsidRPr="00AF0F30">
              <w:rPr>
                <w:b/>
                <w:bCs/>
              </w:rPr>
              <w:t xml:space="preserve"> – </w:t>
            </w:r>
            <w:r w:rsidR="00732203" w:rsidRPr="00AF0F30">
              <w:rPr>
                <w:b/>
                <w:bCs/>
              </w:rPr>
              <w:t>$</w:t>
            </w:r>
            <w:r w:rsidR="001F37B9" w:rsidRPr="00AF0F30">
              <w:rPr>
                <w:b/>
                <w:bCs/>
              </w:rPr>
              <w:t>45,838</w:t>
            </w:r>
          </w:p>
          <w:p w14:paraId="3545BD39" w14:textId="379AE780" w:rsidR="00765C60" w:rsidRPr="00AF0F30" w:rsidRDefault="00765C60" w:rsidP="00FE2B3F">
            <w:pPr>
              <w:pStyle w:val="Tablecell"/>
              <w:jc w:val="center"/>
              <w:rPr>
                <w:b/>
                <w:bCs/>
              </w:rPr>
            </w:pPr>
          </w:p>
        </w:tc>
        <w:tc>
          <w:tcPr>
            <w:tcW w:w="1985" w:type="dxa"/>
          </w:tcPr>
          <w:p w14:paraId="1CE4B53C" w14:textId="0D8DB5E4" w:rsidR="00E13B54" w:rsidRPr="00AF0F30" w:rsidRDefault="007278EB" w:rsidP="00FE2B3F">
            <w:pPr>
              <w:pStyle w:val="Tablecell"/>
              <w:jc w:val="center"/>
              <w:rPr>
                <w:rStyle w:val="ui-provider"/>
                <w:b/>
                <w:bCs/>
              </w:rPr>
            </w:pPr>
            <w:r w:rsidRPr="00AF0F30">
              <w:rPr>
                <w:rStyle w:val="ui-provider"/>
                <w:b/>
                <w:bCs/>
              </w:rPr>
              <w:t>$</w:t>
            </w:r>
            <w:r w:rsidR="001F37B9" w:rsidRPr="00AF0F30">
              <w:rPr>
                <w:rStyle w:val="ui-provider"/>
                <w:b/>
                <w:bCs/>
              </w:rPr>
              <w:t>245</w:t>
            </w:r>
          </w:p>
        </w:tc>
        <w:tc>
          <w:tcPr>
            <w:tcW w:w="2510" w:type="dxa"/>
          </w:tcPr>
          <w:p w14:paraId="25F7AFDF" w14:textId="3F10F856" w:rsidR="00765C60" w:rsidRPr="00AF0F30" w:rsidRDefault="00765C60" w:rsidP="00FE2B3F">
            <w:pPr>
              <w:pStyle w:val="Tablecell"/>
              <w:jc w:val="center"/>
              <w:rPr>
                <w:b/>
                <w:bCs/>
              </w:rPr>
            </w:pPr>
            <w:r w:rsidRPr="00AF0F30">
              <w:rPr>
                <w:rStyle w:val="ui-provider"/>
                <w:b/>
                <w:bCs/>
              </w:rPr>
              <w:t>$</w:t>
            </w:r>
            <w:r w:rsidR="00AC0D86" w:rsidRPr="00AF0F30">
              <w:rPr>
                <w:rStyle w:val="ui-provider"/>
                <w:b/>
                <w:bCs/>
              </w:rPr>
              <w:t>378,232</w:t>
            </w:r>
            <w:r w:rsidR="00732203" w:rsidRPr="00AF0F30">
              <w:rPr>
                <w:b/>
                <w:bCs/>
              </w:rPr>
              <w:t xml:space="preserve"> – </w:t>
            </w:r>
            <w:r w:rsidRPr="00AF0F30">
              <w:rPr>
                <w:rStyle w:val="ui-provider"/>
                <w:b/>
                <w:bCs/>
              </w:rPr>
              <w:t>$</w:t>
            </w:r>
            <w:r w:rsidR="00AC0D86" w:rsidRPr="00AF0F30">
              <w:rPr>
                <w:rStyle w:val="ui-provider"/>
                <w:b/>
                <w:bCs/>
              </w:rPr>
              <w:t>778,663</w:t>
            </w:r>
          </w:p>
          <w:p w14:paraId="4F78F7E4" w14:textId="149A851C" w:rsidR="00765C60" w:rsidRPr="00AF0F30" w:rsidRDefault="00765C60" w:rsidP="00FE2B3F">
            <w:pPr>
              <w:pStyle w:val="Tablecell"/>
              <w:jc w:val="center"/>
              <w:rPr>
                <w:b/>
                <w:bCs/>
              </w:rPr>
            </w:pPr>
          </w:p>
        </w:tc>
      </w:tr>
      <w:tr w:rsidR="006D7B2A" w:rsidRPr="00AF0F30" w14:paraId="6FFCAD3B" w14:textId="77777777" w:rsidTr="00AF0F30">
        <w:trPr>
          <w:cantSplit/>
        </w:trPr>
        <w:tc>
          <w:tcPr>
            <w:tcW w:w="2695" w:type="dxa"/>
          </w:tcPr>
          <w:p w14:paraId="2E166E32" w14:textId="749F8A4C" w:rsidR="006D7B2A" w:rsidRPr="00AF0F30" w:rsidRDefault="006D7B2A" w:rsidP="00B863C8">
            <w:pPr>
              <w:pStyle w:val="Tablecell"/>
            </w:pPr>
            <w:r w:rsidRPr="00AF0F30">
              <w:t>50% of producers request for exclusion.</w:t>
            </w:r>
          </w:p>
        </w:tc>
        <w:tc>
          <w:tcPr>
            <w:tcW w:w="2160" w:type="dxa"/>
          </w:tcPr>
          <w:p w14:paraId="2D8E4384" w14:textId="392DF843" w:rsidR="006D7B2A" w:rsidRPr="00AF0F30" w:rsidRDefault="00226625" w:rsidP="00FE2B3F">
            <w:pPr>
              <w:pStyle w:val="Tablecell"/>
              <w:jc w:val="center"/>
              <w:rPr>
                <w:b/>
                <w:bCs/>
              </w:rPr>
            </w:pPr>
            <w:r w:rsidRPr="00AF0F30">
              <w:rPr>
                <w:b/>
                <w:bCs/>
              </w:rPr>
              <w:t>$15,000</w:t>
            </w:r>
            <w:r w:rsidR="00694E3C" w:rsidRPr="00AF0F30">
              <w:rPr>
                <w:b/>
                <w:bCs/>
              </w:rPr>
              <w:t xml:space="preserve"> – $</w:t>
            </w:r>
            <w:r w:rsidRPr="00AF0F30">
              <w:rPr>
                <w:b/>
                <w:bCs/>
              </w:rPr>
              <w:t>30,644</w:t>
            </w:r>
          </w:p>
        </w:tc>
        <w:tc>
          <w:tcPr>
            <w:tcW w:w="1985" w:type="dxa"/>
          </w:tcPr>
          <w:p w14:paraId="45C0E024" w14:textId="0FBDB9A5" w:rsidR="006D7B2A" w:rsidRPr="00AF0F30" w:rsidRDefault="007278EB" w:rsidP="00FE2B3F">
            <w:pPr>
              <w:pStyle w:val="Tablecell"/>
              <w:jc w:val="center"/>
              <w:rPr>
                <w:b/>
                <w:bCs/>
              </w:rPr>
            </w:pPr>
            <w:r w:rsidRPr="00AF0F30">
              <w:rPr>
                <w:b/>
                <w:bCs/>
              </w:rPr>
              <w:t>$</w:t>
            </w:r>
            <w:r w:rsidR="00226625" w:rsidRPr="00AF0F30">
              <w:rPr>
                <w:b/>
                <w:bCs/>
              </w:rPr>
              <w:t>245</w:t>
            </w:r>
          </w:p>
        </w:tc>
        <w:tc>
          <w:tcPr>
            <w:tcW w:w="2510" w:type="dxa"/>
          </w:tcPr>
          <w:p w14:paraId="13639FF8" w14:textId="55C8FBFE" w:rsidR="006D7B2A" w:rsidRPr="00AF0F30" w:rsidRDefault="00226625" w:rsidP="00FE2B3F">
            <w:pPr>
              <w:pStyle w:val="Tablecell"/>
              <w:jc w:val="center"/>
              <w:rPr>
                <w:b/>
                <w:bCs/>
              </w:rPr>
            </w:pPr>
            <w:r w:rsidRPr="00AF0F30">
              <w:rPr>
                <w:b/>
                <w:bCs/>
              </w:rPr>
              <w:t>$252,154</w:t>
            </w:r>
            <w:r w:rsidR="00732203" w:rsidRPr="00AF0F30">
              <w:rPr>
                <w:b/>
                <w:bCs/>
              </w:rPr>
              <w:t xml:space="preserve"> – </w:t>
            </w:r>
            <w:r w:rsidRPr="00AF0F30">
              <w:rPr>
                <w:b/>
                <w:bCs/>
              </w:rPr>
              <w:t>$519,109</w:t>
            </w:r>
          </w:p>
        </w:tc>
      </w:tr>
      <w:tr w:rsidR="006D7B2A" w:rsidRPr="00AF0F30" w14:paraId="7A100830" w14:textId="77777777" w:rsidTr="00AF0F30">
        <w:trPr>
          <w:cantSplit/>
        </w:trPr>
        <w:tc>
          <w:tcPr>
            <w:tcW w:w="2695" w:type="dxa"/>
          </w:tcPr>
          <w:p w14:paraId="2FF6CAB7" w14:textId="329E8949" w:rsidR="006D7B2A" w:rsidRPr="00AF0F30" w:rsidRDefault="002F55CA" w:rsidP="00B863C8">
            <w:pPr>
              <w:pStyle w:val="Tablecell"/>
            </w:pPr>
            <w:r w:rsidRPr="00AF0F30">
              <w:t>25% of producers request for exclusion.</w:t>
            </w:r>
          </w:p>
        </w:tc>
        <w:tc>
          <w:tcPr>
            <w:tcW w:w="2160" w:type="dxa"/>
          </w:tcPr>
          <w:p w14:paraId="29CB97B0" w14:textId="0804C45E" w:rsidR="006D7B2A" w:rsidRPr="00AF0F30" w:rsidRDefault="00327E83" w:rsidP="00FE2B3F">
            <w:pPr>
              <w:pStyle w:val="Tablecell"/>
              <w:jc w:val="center"/>
              <w:rPr>
                <w:b/>
                <w:bCs/>
              </w:rPr>
            </w:pPr>
            <w:r w:rsidRPr="00AF0F30">
              <w:rPr>
                <w:b/>
                <w:bCs/>
              </w:rPr>
              <w:t>$7,260</w:t>
            </w:r>
            <w:r w:rsidR="00732203" w:rsidRPr="00AF0F30">
              <w:rPr>
                <w:b/>
                <w:bCs/>
              </w:rPr>
              <w:t xml:space="preserve"> – </w:t>
            </w:r>
            <w:r w:rsidR="00694E3C" w:rsidRPr="00AF0F30">
              <w:rPr>
                <w:b/>
                <w:bCs/>
              </w:rPr>
              <w:t>$</w:t>
            </w:r>
            <w:r w:rsidRPr="00AF0F30">
              <w:rPr>
                <w:b/>
                <w:bCs/>
              </w:rPr>
              <w:t>15,200</w:t>
            </w:r>
          </w:p>
        </w:tc>
        <w:tc>
          <w:tcPr>
            <w:tcW w:w="1985" w:type="dxa"/>
          </w:tcPr>
          <w:p w14:paraId="0287002D" w14:textId="4D46CE9B" w:rsidR="006D7B2A" w:rsidRPr="00AF0F30" w:rsidRDefault="007278EB" w:rsidP="00FE2B3F">
            <w:pPr>
              <w:pStyle w:val="Tablecell"/>
              <w:jc w:val="center"/>
              <w:rPr>
                <w:b/>
                <w:bCs/>
              </w:rPr>
            </w:pPr>
            <w:r w:rsidRPr="00AF0F30">
              <w:rPr>
                <w:b/>
                <w:bCs/>
              </w:rPr>
              <w:t>$24</w:t>
            </w:r>
            <w:r w:rsidR="00732203" w:rsidRPr="00AF0F30">
              <w:rPr>
                <w:b/>
                <w:bCs/>
              </w:rPr>
              <w:t>5</w:t>
            </w:r>
          </w:p>
        </w:tc>
        <w:tc>
          <w:tcPr>
            <w:tcW w:w="2510" w:type="dxa"/>
          </w:tcPr>
          <w:p w14:paraId="101E6B88" w14:textId="03F88601" w:rsidR="006D7B2A" w:rsidRPr="00AF0F30" w:rsidRDefault="00327E83" w:rsidP="00FE2B3F">
            <w:pPr>
              <w:pStyle w:val="Tablecell"/>
              <w:jc w:val="center"/>
              <w:rPr>
                <w:b/>
                <w:bCs/>
              </w:rPr>
            </w:pPr>
            <w:r w:rsidRPr="00AF0F30">
              <w:rPr>
                <w:b/>
                <w:bCs/>
              </w:rPr>
              <w:t>$</w:t>
            </w:r>
            <w:r w:rsidR="001403AB" w:rsidRPr="00AF0F30">
              <w:rPr>
                <w:b/>
                <w:bCs/>
              </w:rPr>
              <w:t>126,077</w:t>
            </w:r>
            <w:r w:rsidR="00732203" w:rsidRPr="00AF0F30">
              <w:rPr>
                <w:b/>
                <w:bCs/>
              </w:rPr>
              <w:t xml:space="preserve"> – $</w:t>
            </w:r>
            <w:r w:rsidR="001403AB" w:rsidRPr="00AF0F30">
              <w:rPr>
                <w:b/>
                <w:bCs/>
              </w:rPr>
              <w:t>214,998</w:t>
            </w:r>
          </w:p>
        </w:tc>
      </w:tr>
      <w:tr w:rsidR="00765C60" w:rsidRPr="00AF0F30" w14:paraId="3F542579" w14:textId="77777777" w:rsidTr="00AF0F30">
        <w:trPr>
          <w:cantSplit/>
        </w:trPr>
        <w:tc>
          <w:tcPr>
            <w:tcW w:w="2695" w:type="dxa"/>
          </w:tcPr>
          <w:p w14:paraId="5C19A799" w14:textId="1D21A4B2" w:rsidR="00765C60" w:rsidRPr="00AF0F30" w:rsidRDefault="00765C60" w:rsidP="00B863C8">
            <w:pPr>
              <w:pStyle w:val="Tablecell"/>
            </w:pPr>
            <w:r w:rsidRPr="00AF0F30">
              <w:t>Adjustment requests</w:t>
            </w:r>
          </w:p>
        </w:tc>
        <w:tc>
          <w:tcPr>
            <w:tcW w:w="2160" w:type="dxa"/>
          </w:tcPr>
          <w:p w14:paraId="5F3F780A" w14:textId="2A316A7E" w:rsidR="00765C60" w:rsidRPr="00AF0F30" w:rsidRDefault="00765C60" w:rsidP="00FE2B3F">
            <w:pPr>
              <w:pStyle w:val="Tablecell"/>
              <w:jc w:val="center"/>
              <w:rPr>
                <w:b/>
                <w:bCs/>
              </w:rPr>
            </w:pPr>
            <w:r w:rsidRPr="00AF0F30">
              <w:rPr>
                <w:b/>
                <w:bCs/>
              </w:rPr>
              <w:t>Up to $</w:t>
            </w:r>
            <w:r w:rsidR="00C93592" w:rsidRPr="00AF0F30">
              <w:rPr>
                <w:b/>
                <w:bCs/>
              </w:rPr>
              <w:t>6,309</w:t>
            </w:r>
          </w:p>
        </w:tc>
        <w:tc>
          <w:tcPr>
            <w:tcW w:w="1985" w:type="dxa"/>
          </w:tcPr>
          <w:p w14:paraId="493663C7" w14:textId="790A4494" w:rsidR="00E13B54" w:rsidRPr="00AF0F30" w:rsidRDefault="00C93592" w:rsidP="00FE2B3F">
            <w:pPr>
              <w:pStyle w:val="Tablecell"/>
              <w:jc w:val="center"/>
              <w:rPr>
                <w:b/>
                <w:bCs/>
              </w:rPr>
            </w:pPr>
            <w:r w:rsidRPr="00AF0F30">
              <w:rPr>
                <w:b/>
                <w:bCs/>
              </w:rPr>
              <w:t>$25</w:t>
            </w:r>
            <w:r w:rsidR="00732203" w:rsidRPr="00AF0F30">
              <w:rPr>
                <w:b/>
                <w:bCs/>
              </w:rPr>
              <w:t xml:space="preserve"> – </w:t>
            </w:r>
            <w:r w:rsidRPr="00AF0F30">
              <w:rPr>
                <w:b/>
                <w:bCs/>
              </w:rPr>
              <w:t>$52</w:t>
            </w:r>
          </w:p>
        </w:tc>
        <w:tc>
          <w:tcPr>
            <w:tcW w:w="2510" w:type="dxa"/>
          </w:tcPr>
          <w:p w14:paraId="20ED0136" w14:textId="304EFF1A" w:rsidR="00765C60" w:rsidRPr="00AF0F30" w:rsidRDefault="00765C60" w:rsidP="00FE2B3F">
            <w:pPr>
              <w:pStyle w:val="Tablecell"/>
              <w:jc w:val="center"/>
              <w:rPr>
                <w:b/>
                <w:bCs/>
              </w:rPr>
            </w:pPr>
            <w:r w:rsidRPr="00AF0F30">
              <w:rPr>
                <w:b/>
                <w:bCs/>
              </w:rPr>
              <w:t>$</w:t>
            </w:r>
            <w:r w:rsidR="002320B0" w:rsidRPr="00AF0F30">
              <w:rPr>
                <w:b/>
                <w:bCs/>
              </w:rPr>
              <w:t>116,140</w:t>
            </w:r>
          </w:p>
        </w:tc>
      </w:tr>
    </w:tbl>
    <w:p w14:paraId="16B7D445" w14:textId="26721001" w:rsidR="00EE71C2" w:rsidRPr="008C7D98" w:rsidRDefault="00EE71C2" w:rsidP="00B94460">
      <w:pPr>
        <w:pStyle w:val="RMHeading3"/>
      </w:pPr>
      <w:r w:rsidRPr="008C7D98">
        <w:t>Benefits</w:t>
      </w:r>
    </w:p>
    <w:p w14:paraId="255726BF" w14:textId="137C9BFB" w:rsidR="00EE71C2" w:rsidRPr="00207ABE" w:rsidRDefault="00EE71C2" w:rsidP="00B94460">
      <w:pPr>
        <w:pStyle w:val="RMSectionXXX"/>
      </w:pPr>
      <w:bookmarkStart w:id="10" w:name="_Toc132187782"/>
      <w:r w:rsidRPr="00207ABE">
        <w:t>Registration and reporting</w:t>
      </w:r>
      <w:bookmarkEnd w:id="10"/>
    </w:p>
    <w:p w14:paraId="1B763266" w14:textId="2E1B4FEB" w:rsidR="00EE71C2" w:rsidRDefault="00D831CA" w:rsidP="00F5778C">
      <w:pPr>
        <w:pStyle w:val="ListParagraph"/>
      </w:pPr>
      <w:r>
        <w:t>C</w:t>
      </w:r>
      <w:r w:rsidR="00EE71C2">
        <w:t xml:space="preserve">omplete </w:t>
      </w:r>
      <w:r w:rsidR="00A3163B">
        <w:t xml:space="preserve">and </w:t>
      </w:r>
      <w:r>
        <w:t xml:space="preserve">accurate </w:t>
      </w:r>
      <w:r w:rsidR="00EE71C2">
        <w:t xml:space="preserve">producer information </w:t>
      </w:r>
      <w:r>
        <w:t xml:space="preserve">through the </w:t>
      </w:r>
      <w:r w:rsidR="00EE71C2">
        <w:t>annual reporting and registration</w:t>
      </w:r>
      <w:r>
        <w:t xml:space="preserve"> process giving Ecology the ability to communicate with producers as needed</w:t>
      </w:r>
      <w:r w:rsidR="00EE71C2">
        <w:t>.</w:t>
      </w:r>
    </w:p>
    <w:p w14:paraId="3E174DCF" w14:textId="04B896D5" w:rsidR="00EE71C2" w:rsidRDefault="00EE71C2" w:rsidP="00F5778C">
      <w:pPr>
        <w:pStyle w:val="ListParagraph"/>
      </w:pPr>
      <w:r>
        <w:t xml:space="preserve">Early identification of </w:t>
      </w:r>
      <w:r w:rsidR="00D831CA">
        <w:t xml:space="preserve">the producer information that may need to </w:t>
      </w:r>
      <w:r>
        <w:t>change</w:t>
      </w:r>
      <w:r w:rsidR="00E13B54">
        <w:t xml:space="preserve"> </w:t>
      </w:r>
      <w:r>
        <w:t xml:space="preserve">(de minimis status, contact address, etc.) </w:t>
      </w:r>
      <w:r w:rsidR="00D831CA">
        <w:t xml:space="preserve">to inform </w:t>
      </w:r>
      <w:r>
        <w:t>decision</w:t>
      </w:r>
      <w:r w:rsidR="00D153C0">
        <w:t xml:space="preserve"> </w:t>
      </w:r>
      <w:r>
        <w:t>making.</w:t>
      </w:r>
    </w:p>
    <w:p w14:paraId="7983A07D" w14:textId="2FE8F48E" w:rsidR="00E13B54" w:rsidRDefault="00EE71C2" w:rsidP="00F5778C">
      <w:pPr>
        <w:pStyle w:val="ListParagraph"/>
      </w:pPr>
      <w:r>
        <w:t xml:space="preserve">Prevention of duplicate reporting, </w:t>
      </w:r>
      <w:r w:rsidR="00916D7A">
        <w:t xml:space="preserve">by </w:t>
      </w:r>
      <w:r w:rsidR="00E13B54">
        <w:t>assigning unique</w:t>
      </w:r>
      <w:r>
        <w:t xml:space="preserve"> identifiers</w:t>
      </w:r>
      <w:r w:rsidR="00916D7A">
        <w:t xml:space="preserve"> to all reporters</w:t>
      </w:r>
      <w:r>
        <w:t>.</w:t>
      </w:r>
      <w:r w:rsidR="00916D7A">
        <w:t xml:space="preserve"> This could potentially reduce program costs and producer fees because we would not need to hire more staff to review and approve reports.</w:t>
      </w:r>
    </w:p>
    <w:p w14:paraId="6B9F7DCA" w14:textId="061960E6" w:rsidR="004F0700" w:rsidRDefault="00D831CA" w:rsidP="00F5778C">
      <w:pPr>
        <w:pStyle w:val="ListParagraph"/>
      </w:pPr>
      <w:r>
        <w:t xml:space="preserve">Data </w:t>
      </w:r>
      <w:r w:rsidR="00E13B54">
        <w:t>transparency</w:t>
      </w:r>
      <w:r w:rsidR="004F0700">
        <w:t xml:space="preserve"> and assurance of equitable fee distribution</w:t>
      </w:r>
      <w:r w:rsidR="00CB3B35">
        <w:t>.</w:t>
      </w:r>
    </w:p>
    <w:p w14:paraId="18805D43" w14:textId="5614DE1A" w:rsidR="001D398B" w:rsidRPr="00D831CA" w:rsidRDefault="00EE71C2" w:rsidP="00B94460">
      <w:pPr>
        <w:pStyle w:val="RMSectionXXX"/>
      </w:pPr>
      <w:bookmarkStart w:id="11" w:name="_Toc132187783"/>
      <w:r w:rsidRPr="0033525B">
        <w:lastRenderedPageBreak/>
        <w:t>De minimis notifications</w:t>
      </w:r>
      <w:bookmarkEnd w:id="11"/>
    </w:p>
    <w:p w14:paraId="04D871F9" w14:textId="3260940C" w:rsidR="00EE71C2" w:rsidRDefault="00EE71C2" w:rsidP="00F5778C">
      <w:pPr>
        <w:pStyle w:val="ListParagraph"/>
      </w:pPr>
      <w:r>
        <w:t xml:space="preserve">Simplified identification of producers required to comply with the authorizing </w:t>
      </w:r>
      <w:r w:rsidR="001D398B">
        <w:t>law</w:t>
      </w:r>
      <w:r>
        <w:t>.</w:t>
      </w:r>
    </w:p>
    <w:p w14:paraId="7E99228A" w14:textId="19B6C720" w:rsidR="00EE71C2" w:rsidRDefault="00EE71C2" w:rsidP="00F5778C">
      <w:pPr>
        <w:pStyle w:val="ListParagraph"/>
      </w:pPr>
      <w:r>
        <w:t xml:space="preserve">Reduced likelihood of </w:t>
      </w:r>
      <w:r w:rsidR="001D398B">
        <w:t xml:space="preserve">pursuing </w:t>
      </w:r>
      <w:r>
        <w:t>de minimis producers for non-compliance.</w:t>
      </w:r>
    </w:p>
    <w:p w14:paraId="2B801F36" w14:textId="2DAB0E2F" w:rsidR="004F0700" w:rsidRDefault="00D831CA" w:rsidP="00F5778C">
      <w:pPr>
        <w:pStyle w:val="ListParagraph"/>
      </w:pPr>
      <w:r>
        <w:t xml:space="preserve">Data </w:t>
      </w:r>
      <w:r w:rsidR="001D398B">
        <w:t>t</w:t>
      </w:r>
      <w:r w:rsidR="004F0700">
        <w:t>ransparency and assurance of equitable fee distribution</w:t>
      </w:r>
    </w:p>
    <w:p w14:paraId="5570C700" w14:textId="4DF263F7" w:rsidR="001D398B" w:rsidRPr="001D398B" w:rsidRDefault="00EE71C2" w:rsidP="00B94460">
      <w:pPr>
        <w:pStyle w:val="RMSectionXXX"/>
      </w:pPr>
      <w:bookmarkStart w:id="12" w:name="_Toc132187784"/>
      <w:r w:rsidRPr="0033525B">
        <w:t>Fee allocations</w:t>
      </w:r>
      <w:bookmarkEnd w:id="12"/>
    </w:p>
    <w:p w14:paraId="45777FE8" w14:textId="077AA6C3" w:rsidR="00EE71C2" w:rsidRDefault="005732E1" w:rsidP="00F5778C">
      <w:pPr>
        <w:pStyle w:val="ListParagraph"/>
      </w:pPr>
      <w:bookmarkStart w:id="13" w:name="_Hlk131147487"/>
      <w:r>
        <w:t>Producers are c</w:t>
      </w:r>
      <w:r w:rsidR="00EE71C2">
        <w:t>onfiden</w:t>
      </w:r>
      <w:r>
        <w:t>t</w:t>
      </w:r>
      <w:r w:rsidR="00D60D50">
        <w:t xml:space="preserve"> </w:t>
      </w:r>
      <w:r w:rsidR="00175302">
        <w:t>all producers</w:t>
      </w:r>
      <w:r w:rsidR="00EE71C2">
        <w:t xml:space="preserve"> are held accountable for compliance and the fees are </w:t>
      </w:r>
      <w:r>
        <w:t>equitably</w:t>
      </w:r>
      <w:r w:rsidR="00EE71C2">
        <w:t xml:space="preserve"> </w:t>
      </w:r>
      <w:r w:rsidR="008E2C46">
        <w:t>allocated</w:t>
      </w:r>
      <w:r w:rsidR="00EE71C2">
        <w:t>.</w:t>
      </w:r>
    </w:p>
    <w:bookmarkEnd w:id="13"/>
    <w:p w14:paraId="1472C7CB" w14:textId="7401C9C0" w:rsidR="00EE71C2" w:rsidRDefault="005732E1" w:rsidP="00F5778C">
      <w:pPr>
        <w:pStyle w:val="ListParagraph"/>
      </w:pPr>
      <w:r>
        <w:t>Quick,</w:t>
      </w:r>
      <w:r w:rsidR="00EE71C2">
        <w:t xml:space="preserve"> </w:t>
      </w:r>
      <w:r w:rsidR="00EE71C2" w:rsidRPr="003F07C3">
        <w:t>accurate</w:t>
      </w:r>
      <w:r>
        <w:t>,</w:t>
      </w:r>
      <w:r w:rsidR="00EE71C2" w:rsidRPr="003F07C3">
        <w:t xml:space="preserve"> and equitable fee distribution, </w:t>
      </w:r>
      <w:r>
        <w:t xml:space="preserve">by </w:t>
      </w:r>
      <w:r w:rsidR="00043DBF">
        <w:t>reducing</w:t>
      </w:r>
      <w:r>
        <w:t xml:space="preserve"> the</w:t>
      </w:r>
      <w:r w:rsidR="00EE71C2" w:rsidRPr="003F07C3">
        <w:t xml:space="preserve"> need </w:t>
      </w:r>
      <w:r>
        <w:t xml:space="preserve">to </w:t>
      </w:r>
      <w:r w:rsidR="005A034E" w:rsidRPr="003F07C3">
        <w:t>correct</w:t>
      </w:r>
      <w:r w:rsidR="00107AA8">
        <w:t xml:space="preserve"> </w:t>
      </w:r>
      <w:r w:rsidR="00EE71C2" w:rsidRPr="003F07C3">
        <w:t xml:space="preserve">fees </w:t>
      </w:r>
      <w:r>
        <w:t xml:space="preserve">after producers receive their </w:t>
      </w:r>
      <w:r w:rsidR="00EE71C2" w:rsidRPr="003F07C3">
        <w:t>invoice.</w:t>
      </w:r>
    </w:p>
    <w:p w14:paraId="1267686D" w14:textId="3ADDDF68" w:rsidR="00EE71C2" w:rsidRDefault="00EE71C2" w:rsidP="00F5778C">
      <w:pPr>
        <w:pStyle w:val="ListParagraph"/>
      </w:pPr>
      <w:r>
        <w:t xml:space="preserve">Equitable distribution of fees, reflecting the </w:t>
      </w:r>
      <w:r w:rsidRPr="00004946">
        <w:t>projected</w:t>
      </w:r>
      <w:r>
        <w:t xml:space="preserve"> workload for oversight of PCRC requirements.</w:t>
      </w:r>
    </w:p>
    <w:p w14:paraId="241DE17C" w14:textId="39384EFE" w:rsidR="00EE71C2" w:rsidRPr="0033525B" w:rsidRDefault="00EE71C2" w:rsidP="00B94460">
      <w:pPr>
        <w:pStyle w:val="RMSectionXXX"/>
      </w:pPr>
      <w:bookmarkStart w:id="14" w:name="_Toc132187785"/>
      <w:r w:rsidRPr="0033525B">
        <w:t>Temporary exclusions and adjustments</w:t>
      </w:r>
      <w:bookmarkEnd w:id="14"/>
    </w:p>
    <w:p w14:paraId="403B29B6" w14:textId="4FED5FC1" w:rsidR="005A034E" w:rsidRPr="005A034E" w:rsidRDefault="005A034E" w:rsidP="005A034E">
      <w:pPr>
        <w:pStyle w:val="Paragraph"/>
      </w:pPr>
      <w:r>
        <w:t>While temporary exclusions and adjustments are established under the baseline, the proposed rule adds specificity to the process for each. This would facilitate the overall benefits of temporary exclusions and adjustments, including:</w:t>
      </w:r>
    </w:p>
    <w:p w14:paraId="29601B41" w14:textId="77777777" w:rsidR="00EE71C2" w:rsidRDefault="00EE71C2" w:rsidP="00F5778C">
      <w:pPr>
        <w:pStyle w:val="ListParagraph"/>
      </w:pPr>
      <w:r>
        <w:t>Balance between the compliance requirements and economic conditions or federal laws that may limit the ability of producers to comply with the rule.</w:t>
      </w:r>
    </w:p>
    <w:p w14:paraId="670251D8" w14:textId="4C70FA2D" w:rsidR="00EE71C2" w:rsidRDefault="00EE71C2" w:rsidP="00F5778C">
      <w:pPr>
        <w:pStyle w:val="ListParagraph"/>
      </w:pPr>
      <w:r>
        <w:t>In the absence of temporary exclusions and adjustments, difficulty or inability to comply (e.g., a shortage of postconsumer recycled resin</w:t>
      </w:r>
      <w:r>
        <w:rPr>
          <w:rStyle w:val="FootnoteReference"/>
        </w:rPr>
        <w:footnoteReference w:id="3"/>
      </w:r>
      <w:r>
        <w:t>) could result in upward pressure on prices of affected consumer goods, or in shortages of those goods.</w:t>
      </w:r>
      <w:r w:rsidR="005A034E">
        <w:t xml:space="preserve"> We note that prices could also remain unaffected, due to internal business decisions and factors like maintaining market share in specific market segments.</w:t>
      </w:r>
      <w:r w:rsidR="005A034E">
        <w:rPr>
          <w:rStyle w:val="FootnoteReference"/>
        </w:rPr>
        <w:footnoteReference w:id="4"/>
      </w:r>
    </w:p>
    <w:p w14:paraId="5F0AC560" w14:textId="77777777" w:rsidR="00EE71C2" w:rsidRDefault="00EE71C2" w:rsidP="00F5778C">
      <w:pPr>
        <w:pStyle w:val="ListParagraph"/>
      </w:pPr>
      <w:r>
        <w:t>Providing producers with leniency where their noncompliance is due to factors not under their control.</w:t>
      </w:r>
    </w:p>
    <w:p w14:paraId="3B42E205" w14:textId="3F2C97FC" w:rsidR="00EE71C2" w:rsidRDefault="00EE71C2" w:rsidP="00F5778C">
      <w:pPr>
        <w:pStyle w:val="ListParagraph"/>
      </w:pPr>
      <w:r>
        <w:t xml:space="preserve">Time for impacted industries to develop compliance ability to adjust with a </w:t>
      </w:r>
      <w:r w:rsidRPr="00F95844">
        <w:t xml:space="preserve">need to source more recycled content to meet the new requirements </w:t>
      </w:r>
      <w:r>
        <w:t xml:space="preserve">which </w:t>
      </w:r>
      <w:r w:rsidRPr="00F95844">
        <w:t>may also incentivize investments in improved recycling technologies that reduce contamination, result in cleaner recycled feedstock, and restore confidence in the recycling system</w:t>
      </w:r>
      <w:r>
        <w:t>.</w:t>
      </w:r>
    </w:p>
    <w:p w14:paraId="0FE5B41C" w14:textId="322A7FE4" w:rsidR="00EE71C2" w:rsidRPr="0033525B" w:rsidRDefault="00EE71C2" w:rsidP="00B94460">
      <w:pPr>
        <w:pStyle w:val="RMSectionXXX"/>
      </w:pPr>
      <w:bookmarkStart w:id="15" w:name="_Toc132187786"/>
      <w:r w:rsidRPr="0033525B">
        <w:lastRenderedPageBreak/>
        <w:t>Timing of audit documents</w:t>
      </w:r>
      <w:bookmarkEnd w:id="15"/>
    </w:p>
    <w:p w14:paraId="4ED01F20" w14:textId="75AF2B46" w:rsidR="00EE71C2" w:rsidRDefault="00930280" w:rsidP="00F5778C">
      <w:pPr>
        <w:pStyle w:val="ListParagraph"/>
      </w:pPr>
      <w:bookmarkStart w:id="16" w:name="_Hlk130814735"/>
      <w:r>
        <w:t>Clarity that facilitates</w:t>
      </w:r>
      <w:r w:rsidR="00EE71C2">
        <w:t xml:space="preserve"> producers providing documentation in a timely manner</w:t>
      </w:r>
      <w:r w:rsidR="00C2699C">
        <w:t xml:space="preserve"> </w:t>
      </w:r>
      <w:r w:rsidR="00EE71C2">
        <w:t>and avoiding potential delays. T</w:t>
      </w:r>
      <w:bookmarkEnd w:id="16"/>
      <w:r w:rsidR="00EE71C2">
        <w:t xml:space="preserve">his improved efficiency (note that under the baseline law or under the proposed rule, all necessary documents would eventually be provided, though at different times) would reduce time costs associated with audits, and reduce </w:t>
      </w:r>
      <w:r w:rsidR="00F7702A">
        <w:t>minor potential impacts to business planning</w:t>
      </w:r>
      <w:r w:rsidR="00EE71C2">
        <w:t>.</w:t>
      </w:r>
    </w:p>
    <w:p w14:paraId="36EC7EF1" w14:textId="3104734A" w:rsidR="00EE71C2" w:rsidRPr="0033525B" w:rsidRDefault="00EE71C2" w:rsidP="00B94460">
      <w:pPr>
        <w:pStyle w:val="RMSectionXXX"/>
      </w:pPr>
      <w:bookmarkStart w:id="17" w:name="_Toc132187787"/>
      <w:r w:rsidRPr="0033525B">
        <w:t>Noncompliance notifications</w:t>
      </w:r>
      <w:bookmarkEnd w:id="17"/>
    </w:p>
    <w:p w14:paraId="29CEA2DE" w14:textId="3963AE09" w:rsidR="00EE71C2" w:rsidRDefault="000715E4" w:rsidP="00F5778C">
      <w:pPr>
        <w:pStyle w:val="ListParagraph"/>
      </w:pPr>
      <w:r>
        <w:t>Clarity about</w:t>
      </w:r>
      <w:r w:rsidR="00EE71C2">
        <w:t xml:space="preserve"> how many notices Ecology will send before taking further enforcement action.</w:t>
      </w:r>
    </w:p>
    <w:p w14:paraId="774AE4C7" w14:textId="77777777" w:rsidR="00EE71C2" w:rsidRDefault="00EE71C2" w:rsidP="00F5778C">
      <w:pPr>
        <w:pStyle w:val="ListParagraph"/>
      </w:pPr>
      <w:r>
        <w:t>Potential earlier compliance than under the baseline requirement for at least two warnings. Earlier compliance would improve the ability to meet the goals of the authorizing statute in increasing the use of recycled plastics in the supply chain, creating demand for recycled plastic resin, and supporting a circular plastics economy.</w:t>
      </w:r>
    </w:p>
    <w:p w14:paraId="0D6118D0" w14:textId="412E0BF7" w:rsidR="00EE71C2" w:rsidRPr="00207ABE" w:rsidRDefault="00EE71C2" w:rsidP="00B94460">
      <w:pPr>
        <w:pStyle w:val="RMSectionXXX"/>
      </w:pPr>
      <w:bookmarkStart w:id="18" w:name="_Toc132187788"/>
      <w:r w:rsidRPr="00207ABE">
        <w:t>Determination</w:t>
      </w:r>
      <w:bookmarkEnd w:id="18"/>
    </w:p>
    <w:p w14:paraId="6B7E7E4C" w14:textId="2E3BE2FE" w:rsidR="00EE71C2" w:rsidRDefault="00EE71C2" w:rsidP="00BB63EF">
      <w:pPr>
        <w:pStyle w:val="Paragraph"/>
      </w:pPr>
      <w:r>
        <w:t>We conclude, based on a reasonable understanding of the costs and benefits likely to arise from the proposed rule, as compared to the baseline, that the benefits of the proposed rule are greater than the costs.</w:t>
      </w:r>
    </w:p>
    <w:p w14:paraId="289E4713" w14:textId="660F9018" w:rsidR="000715E4" w:rsidRDefault="000715E4" w:rsidP="000715E4">
      <w:pPr>
        <w:pStyle w:val="Paragraph"/>
      </w:pPr>
      <w:r>
        <w:t xml:space="preserve">The APA requires Ecology to, </w:t>
      </w:r>
      <w:r w:rsidRPr="00B45188">
        <w:t>“Determine that the probable benefits of the rule are greater than its probable costs,</w:t>
      </w:r>
      <w:r w:rsidRPr="00BB2451">
        <w:t xml:space="preserve"> taking into account both the qualitative and quantitative benefits and costs and the specific directives of the statute being implemented</w:t>
      </w:r>
      <w:r w:rsidRPr="00B45188">
        <w:t>.”</w:t>
      </w:r>
      <w:r>
        <w:t xml:space="preserve"> </w:t>
      </w:r>
      <w:r w:rsidRPr="00A70912">
        <w:t xml:space="preserve">We conclude, based on a reasonable understanding of the quantified and qualitative costs and benefits likely to arise from the proposed rule </w:t>
      </w:r>
      <w:r>
        <w:t>(summarized in the previous section)</w:t>
      </w:r>
      <w:r w:rsidRPr="00A70912">
        <w:t xml:space="preserve">, as compared to the baseline, that the benefits of the proposed rule are </w:t>
      </w:r>
      <w:r>
        <w:t xml:space="preserve">likely </w:t>
      </w:r>
      <w:r w:rsidRPr="00A70912">
        <w:t>greater than the costs.</w:t>
      </w:r>
      <w:r>
        <w:t xml:space="preserve"> </w:t>
      </w:r>
    </w:p>
    <w:p w14:paraId="145E9FDD" w14:textId="77777777" w:rsidR="005A412C" w:rsidRPr="005A412C" w:rsidRDefault="005A412C" w:rsidP="00B94460">
      <w:pPr>
        <w:pStyle w:val="RMHeading3"/>
      </w:pPr>
      <w:r w:rsidRPr="0069535F">
        <w:t>Least-Burdensome Alternative Analysis</w:t>
      </w:r>
    </w:p>
    <w:p w14:paraId="2AEDC96B" w14:textId="4FC7E5AC" w:rsidR="0096163F" w:rsidRDefault="0096163F" w:rsidP="0096163F">
      <w:pPr>
        <w:pStyle w:val="Paragraph"/>
      </w:pPr>
      <w:r>
        <w:t xml:space="preserve">The authorizing </w:t>
      </w:r>
      <w:r w:rsidR="00360465">
        <w:t>l</w:t>
      </w:r>
      <w:r w:rsidR="005648E3">
        <w:t>aw</w:t>
      </w:r>
      <w:r>
        <w:t xml:space="preserve"> for this rule is </w:t>
      </w:r>
      <w:r w:rsidRPr="003E209C">
        <w:t>Chapter 70A.245 RCW</w:t>
      </w:r>
      <w:r>
        <w:t>, Recycling, Waste, and Litter Reduction. Its goals and objectives are:</w:t>
      </w:r>
    </w:p>
    <w:p w14:paraId="7F54E802" w14:textId="77777777" w:rsidR="0096163F" w:rsidRDefault="0096163F" w:rsidP="0066696A">
      <w:pPr>
        <w:pStyle w:val="ListParagraph"/>
      </w:pPr>
      <w:r>
        <w:t>Establish postconsumer recycled content requirement for applicable products under 70A.245.020 and producer’s reporting requirement under 70A.245.030.</w:t>
      </w:r>
    </w:p>
    <w:p w14:paraId="77558245" w14:textId="77777777" w:rsidR="0096163F" w:rsidRPr="00EA0BFD" w:rsidRDefault="0096163F" w:rsidP="0066696A">
      <w:pPr>
        <w:pStyle w:val="ListParagraph"/>
        <w:rPr>
          <w:szCs w:val="24"/>
        </w:rPr>
      </w:pPr>
      <w:r>
        <w:rPr>
          <w:szCs w:val="24"/>
        </w:rPr>
        <w:t>Require Ecology to i</w:t>
      </w:r>
      <w:r w:rsidRPr="00EA0BFD">
        <w:rPr>
          <w:szCs w:val="24"/>
        </w:rPr>
        <w:t>dentif</w:t>
      </w:r>
      <w:r>
        <w:rPr>
          <w:szCs w:val="24"/>
        </w:rPr>
        <w:t>y</w:t>
      </w:r>
      <w:r w:rsidRPr="00EA0BFD">
        <w:rPr>
          <w:szCs w:val="24"/>
        </w:rPr>
        <w:t xml:space="preserve"> the annual costs to incur to implement, administer, and enforce and RCW 70A.245.020 RCW and 70A.245.030 through 70A.245.060 and 70A.245.090 (1), (2), and (4), including rule making, in the next fiscal year for each category of covered products.</w:t>
      </w:r>
    </w:p>
    <w:p w14:paraId="2673807D" w14:textId="77777777" w:rsidR="0096163F" w:rsidRPr="00530A88" w:rsidRDefault="0096163F" w:rsidP="0066696A">
      <w:pPr>
        <w:pStyle w:val="ListParagraph"/>
        <w:rPr>
          <w:szCs w:val="24"/>
        </w:rPr>
      </w:pPr>
      <w:r>
        <w:rPr>
          <w:szCs w:val="24"/>
        </w:rPr>
        <w:t>Establish equitable</w:t>
      </w:r>
      <w:r w:rsidRPr="00530A88">
        <w:rPr>
          <w:szCs w:val="24"/>
        </w:rPr>
        <w:t xml:space="preserve"> </w:t>
      </w:r>
      <w:r>
        <w:rPr>
          <w:szCs w:val="24"/>
        </w:rPr>
        <w:t>producer</w:t>
      </w:r>
      <w:r w:rsidRPr="00530A88">
        <w:rPr>
          <w:szCs w:val="24"/>
        </w:rPr>
        <w:t xml:space="preserve"> fees to fully recover and not to exceed expenses incurred by the department</w:t>
      </w:r>
      <w:r>
        <w:rPr>
          <w:szCs w:val="24"/>
        </w:rPr>
        <w:t>.</w:t>
      </w:r>
    </w:p>
    <w:p w14:paraId="3814F2C8" w14:textId="77777777" w:rsidR="0096163F" w:rsidRDefault="0096163F" w:rsidP="0066696A">
      <w:pPr>
        <w:pStyle w:val="ListParagraph"/>
      </w:pPr>
      <w:r>
        <w:lastRenderedPageBreak/>
        <w:t xml:space="preserve">Apply non-compliance penalties for </w:t>
      </w:r>
      <w:r w:rsidRPr="003E209C">
        <w:t>postconsumer recycled content requirements</w:t>
      </w:r>
      <w:r>
        <w:t xml:space="preserve"> under 70A.245.040 and penalties for </w:t>
      </w:r>
      <w:r w:rsidRPr="003E209C">
        <w:t>registration, labeling, and reporting</w:t>
      </w:r>
      <w:r>
        <w:t xml:space="preserve"> 70A.245.040.</w:t>
      </w:r>
    </w:p>
    <w:p w14:paraId="16B2C56A" w14:textId="128AE21B" w:rsidR="0096163F" w:rsidRDefault="0096163F" w:rsidP="0066696A">
      <w:pPr>
        <w:pStyle w:val="ListParagraph"/>
      </w:pPr>
      <w:r>
        <w:t xml:space="preserve">Define </w:t>
      </w:r>
      <w:r w:rsidR="00360465">
        <w:t>Ecology’s</w:t>
      </w:r>
      <w:r>
        <w:t xml:space="preserve"> rule making duty under 70A.245.090.</w:t>
      </w:r>
    </w:p>
    <w:p w14:paraId="634C366B" w14:textId="67962365" w:rsidR="0096163F" w:rsidRDefault="0096163F" w:rsidP="0096163F">
      <w:pPr>
        <w:pStyle w:val="Paragraph"/>
      </w:pPr>
      <w:r w:rsidRPr="00364832">
        <w:t xml:space="preserve">The legislature finds that minimum recycled content requirements for plastic beverage containers, trash bags, and household cleaning and personal care product containers are needed to improve the state's recycling system </w:t>
      </w:r>
      <w:r w:rsidR="005648E3">
        <w:t>and</w:t>
      </w:r>
      <w:r w:rsidRPr="00364832">
        <w:t xml:space="preserve"> reduce litter.</w:t>
      </w:r>
    </w:p>
    <w:p w14:paraId="7DD08893" w14:textId="7EFF6C1F" w:rsidR="0096163F" w:rsidRPr="00B80E8A" w:rsidRDefault="0096163F" w:rsidP="0096163F">
      <w:pPr>
        <w:pStyle w:val="Paragraph"/>
      </w:pPr>
      <w:r w:rsidRPr="00364832">
        <w:t>By implementing a minimum recycled content requirement for plastic beverage</w:t>
      </w:r>
      <w:r>
        <w:t xml:space="preserve"> </w:t>
      </w:r>
      <w:r w:rsidRPr="00364832">
        <w:t>containers, trash bags, and household cleaning and personal care product containers</w:t>
      </w:r>
      <w:r>
        <w:t xml:space="preserve">, </w:t>
      </w:r>
      <w:r w:rsidRPr="00364832">
        <w:t xml:space="preserve">the legislature intends to </w:t>
      </w:r>
      <w:r w:rsidR="005648E3" w:rsidRPr="00364832">
        <w:t xml:space="preserve">improve the state's recycling system </w:t>
      </w:r>
      <w:r w:rsidR="005648E3">
        <w:t xml:space="preserve">by </w:t>
      </w:r>
      <w:r w:rsidRPr="00364832">
        <w:t>ensuring plastic packaging materials are reduced, recycled, and reused</w:t>
      </w:r>
      <w:r>
        <w:t>.</w:t>
      </w:r>
    </w:p>
    <w:p w14:paraId="580625F4" w14:textId="4437CD29" w:rsidR="0096163F" w:rsidRPr="00207ABE" w:rsidRDefault="0096163F" w:rsidP="00B94460">
      <w:pPr>
        <w:pStyle w:val="RMSectionXXX"/>
      </w:pPr>
      <w:bookmarkStart w:id="19" w:name="_Toc132187789"/>
      <w:r w:rsidRPr="00207ABE">
        <w:t>Alternatives considered</w:t>
      </w:r>
      <w:bookmarkEnd w:id="19"/>
    </w:p>
    <w:p w14:paraId="0212BCDB" w14:textId="32DEA910" w:rsidR="00FE41AB" w:rsidRDefault="00FE41AB" w:rsidP="00FE41AB">
      <w:pPr>
        <w:pStyle w:val="Paragraph"/>
      </w:pPr>
      <w:r>
        <w:t>We considered the following alternative rule content and did not include it in the proposed rule for the reasons discussed in each subsection below.</w:t>
      </w:r>
    </w:p>
    <w:p w14:paraId="23E3C31A" w14:textId="77777777" w:rsidR="00FE41AB" w:rsidRPr="00BE127C" w:rsidRDefault="00FE41AB" w:rsidP="0012564E">
      <w:pPr>
        <w:pStyle w:val="ListParagraph"/>
      </w:pPr>
      <w:r>
        <w:t xml:space="preserve">Excluding </w:t>
      </w:r>
      <w:r w:rsidRPr="00BE127C">
        <w:t>FIFRA-regulated and aerosol containers from all requirements.</w:t>
      </w:r>
    </w:p>
    <w:p w14:paraId="73C06FFF" w14:textId="77777777" w:rsidR="00FE41AB" w:rsidRPr="00BE127C" w:rsidRDefault="00FE41AB" w:rsidP="0012564E">
      <w:pPr>
        <w:pStyle w:val="ListParagraph"/>
      </w:pPr>
      <w:r w:rsidRPr="00BE127C">
        <w:t>Exempt</w:t>
      </w:r>
      <w:r>
        <w:t>ing</w:t>
      </w:r>
      <w:r w:rsidRPr="00BE127C">
        <w:t xml:space="preserve"> all federally regulated packaging in the exclusions section of the definition of household cleaning product.</w:t>
      </w:r>
    </w:p>
    <w:p w14:paraId="38957948" w14:textId="4697C641" w:rsidR="00FE41AB" w:rsidRPr="00BE127C" w:rsidRDefault="00EB794E" w:rsidP="0012564E">
      <w:pPr>
        <w:pStyle w:val="ListParagraph"/>
      </w:pPr>
      <w:r>
        <w:t xml:space="preserve">Providing </w:t>
      </w:r>
      <w:r w:rsidR="00360465">
        <w:t>different</w:t>
      </w:r>
      <w:r w:rsidR="00FE41AB" w:rsidRPr="00BE127C">
        <w:t xml:space="preserve"> definitions of producer:</w:t>
      </w:r>
    </w:p>
    <w:p w14:paraId="595A8B82" w14:textId="75051A9E" w:rsidR="00FE41AB" w:rsidRPr="00BE127C" w:rsidRDefault="005648E3" w:rsidP="0012564E">
      <w:pPr>
        <w:pStyle w:val="ListParagraph"/>
      </w:pPr>
      <w:r>
        <w:t>P</w:t>
      </w:r>
      <w:r w:rsidR="00FE41AB" w:rsidRPr="00BE127C">
        <w:t>roducer</w:t>
      </w:r>
      <w:r>
        <w:t>:</w:t>
      </w:r>
      <w:r w:rsidR="00FE41AB" w:rsidRPr="00BE127C">
        <w:t xml:space="preserve"> </w:t>
      </w:r>
      <w:r>
        <w:t>The manufacture</w:t>
      </w:r>
      <w:r w:rsidR="00360465">
        <w:t>r</w:t>
      </w:r>
      <w:r>
        <w:t xml:space="preserve"> who is contracted to produce </w:t>
      </w:r>
      <w:r w:rsidR="00FE41AB" w:rsidRPr="00BE127C">
        <w:t xml:space="preserve">a covered product </w:t>
      </w:r>
      <w:r w:rsidR="00360465" w:rsidRPr="00BE127C">
        <w:t>for</w:t>
      </w:r>
      <w:r w:rsidR="00F864EC">
        <w:t xml:space="preserve"> a brand owner</w:t>
      </w:r>
      <w:r w:rsidR="00FE41AB" w:rsidRPr="00BE127C">
        <w:t>.</w:t>
      </w:r>
    </w:p>
    <w:p w14:paraId="01A6D797" w14:textId="27865EC3" w:rsidR="00FE41AB" w:rsidRPr="00BE127C" w:rsidRDefault="005648E3" w:rsidP="00C70EDE">
      <w:pPr>
        <w:pStyle w:val="ListParagraph"/>
      </w:pPr>
      <w:r>
        <w:t>Producer: T</w:t>
      </w:r>
      <w:r w:rsidR="00FE41AB" w:rsidRPr="00BE127C">
        <w:t xml:space="preserve">he person </w:t>
      </w:r>
      <w:r>
        <w:t xml:space="preserve">who has the </w:t>
      </w:r>
      <w:r w:rsidR="00FE41AB" w:rsidRPr="00BE127C">
        <w:t>decision-making authority</w:t>
      </w:r>
      <w:r w:rsidR="00FE41AB">
        <w:t xml:space="preserve"> </w:t>
      </w:r>
      <w:r>
        <w:t>for</w:t>
      </w:r>
      <w:r w:rsidR="00FE41AB">
        <w:t xml:space="preserve"> the plastic resin makeup of the </w:t>
      </w:r>
      <w:r w:rsidR="00EB794E">
        <w:t>covered product</w:t>
      </w:r>
      <w:r w:rsidR="00FE41AB" w:rsidRPr="00BE127C">
        <w:t>.</w:t>
      </w:r>
    </w:p>
    <w:p w14:paraId="78A97BC4" w14:textId="77777777" w:rsidR="00FE41AB" w:rsidRDefault="00FE41AB" w:rsidP="00C70EDE">
      <w:pPr>
        <w:pStyle w:val="ListParagraph"/>
      </w:pPr>
      <w:r>
        <w:t>Removing coffee creamers from items listed as beverages.</w:t>
      </w:r>
    </w:p>
    <w:p w14:paraId="18FE0C16" w14:textId="168D5EC9" w:rsidR="00FE41AB" w:rsidRDefault="00FE41AB" w:rsidP="00C70EDE">
      <w:pPr>
        <w:pStyle w:val="ListParagraph"/>
      </w:pPr>
      <w:r>
        <w:t>Adding "offered for sale to individual consumers" to exclude sales to businesses</w:t>
      </w:r>
      <w:r w:rsidR="00360465">
        <w:t>, to the definition of covered product</w:t>
      </w:r>
      <w:r>
        <w:t>.</w:t>
      </w:r>
    </w:p>
    <w:p w14:paraId="65226D00" w14:textId="77777777" w:rsidR="00FE41AB" w:rsidRDefault="00FE41AB" w:rsidP="00C70EDE">
      <w:pPr>
        <w:pStyle w:val="ListParagraph"/>
      </w:pPr>
      <w:r>
        <w:t>Removing "multi-resin" from the definition of plastic beverage containers.</w:t>
      </w:r>
    </w:p>
    <w:p w14:paraId="74BC7E00" w14:textId="77777777" w:rsidR="00FE41AB" w:rsidRDefault="00FE41AB" w:rsidP="00C70EDE">
      <w:pPr>
        <w:pStyle w:val="ListParagraph"/>
      </w:pPr>
      <w:r>
        <w:t>Removing items that are not readily or easily recycled from the list of covered products.</w:t>
      </w:r>
    </w:p>
    <w:p w14:paraId="7E3AC081" w14:textId="77777777" w:rsidR="00FE41AB" w:rsidRDefault="00FE41AB" w:rsidP="00C70EDE">
      <w:pPr>
        <w:pStyle w:val="ListParagraph"/>
      </w:pPr>
      <w:r>
        <w:t>Using the California definition of household cleaning products.</w:t>
      </w:r>
    </w:p>
    <w:p w14:paraId="2EF81478" w14:textId="77777777" w:rsidR="00FE41AB" w:rsidRDefault="00FE41AB" w:rsidP="00C70EDE">
      <w:pPr>
        <w:pStyle w:val="ListParagraph"/>
      </w:pPr>
      <w:r>
        <w:t>Adding surface polishes, air cleaners, and other products to the definition of household cleaning products.</w:t>
      </w:r>
    </w:p>
    <w:p w14:paraId="7E35FFF4" w14:textId="77777777" w:rsidR="00FE41AB" w:rsidRDefault="00FE41AB" w:rsidP="00C70EDE">
      <w:pPr>
        <w:pStyle w:val="ListParagraph"/>
      </w:pPr>
      <w:r>
        <w:t>Using the dictionary definition of “household” for the purpose of defining “household cleaning product.”</w:t>
      </w:r>
    </w:p>
    <w:p w14:paraId="78A934F7" w14:textId="1D3248D9" w:rsidR="00FE41AB" w:rsidRDefault="00FE41AB" w:rsidP="00C70EDE">
      <w:pPr>
        <w:pStyle w:val="ListParagraph"/>
      </w:pPr>
      <w:r>
        <w:t>Extending PCRC requirements to include caps, labels, trigger sprayers, and attachments</w:t>
      </w:r>
      <w:r w:rsidR="00EB794E">
        <w:t xml:space="preserve"> </w:t>
      </w:r>
      <w:r w:rsidR="00360465">
        <w:t>on covered produ</w:t>
      </w:r>
      <w:r w:rsidR="00360465" w:rsidRPr="00360465">
        <w:t>cts</w:t>
      </w:r>
      <w:r w:rsidRPr="00360465">
        <w:t>.</w:t>
      </w:r>
    </w:p>
    <w:p w14:paraId="0E61D55B" w14:textId="7665BE03" w:rsidR="00FE41AB" w:rsidRDefault="00FE41AB" w:rsidP="00C70EDE">
      <w:pPr>
        <w:pStyle w:val="ListParagraph"/>
      </w:pPr>
      <w:r>
        <w:lastRenderedPageBreak/>
        <w:t xml:space="preserve">Structuring fees such that producers are only required to pay fees once their category has been phased into the </w:t>
      </w:r>
      <w:r w:rsidR="00EB794E">
        <w:t xml:space="preserve">PCRC </w:t>
      </w:r>
      <w:r>
        <w:t xml:space="preserve">requirements. </w:t>
      </w:r>
    </w:p>
    <w:p w14:paraId="5A42ADA4" w14:textId="77777777" w:rsidR="00FE41AB" w:rsidRDefault="00FE41AB" w:rsidP="00C70EDE">
      <w:pPr>
        <w:pStyle w:val="ListParagraph"/>
      </w:pPr>
      <w:r>
        <w:t xml:space="preserve">Not requiring de minimis producer notification. </w:t>
      </w:r>
    </w:p>
    <w:p w14:paraId="4B0C6583" w14:textId="77777777" w:rsidR="00FE41AB" w:rsidRDefault="00FE41AB" w:rsidP="00C70EDE">
      <w:pPr>
        <w:pStyle w:val="ListParagraph"/>
      </w:pPr>
      <w:r>
        <w:t>Defining manufacturer.</w:t>
      </w:r>
    </w:p>
    <w:p w14:paraId="359F32E0" w14:textId="77777777" w:rsidR="00FE41AB" w:rsidRDefault="00FE41AB" w:rsidP="00C70EDE">
      <w:pPr>
        <w:pStyle w:val="ListParagraph"/>
      </w:pPr>
      <w:r>
        <w:t>Adding language that states that the covered product refers to the product contained, not the container itself.</w:t>
      </w:r>
    </w:p>
    <w:p w14:paraId="376F7E83" w14:textId="77777777" w:rsidR="00FE41AB" w:rsidRDefault="00FE41AB" w:rsidP="00C70EDE">
      <w:pPr>
        <w:pStyle w:val="ListParagraph"/>
      </w:pPr>
      <w:r>
        <w:t>Adding an opportunity to add a step to ensure that disagreements over confidential data will be handled before being published.</w:t>
      </w:r>
    </w:p>
    <w:p w14:paraId="4B5537D6" w14:textId="77777777" w:rsidR="00FE41AB" w:rsidRDefault="00FE41AB" w:rsidP="00C70EDE">
      <w:pPr>
        <w:pStyle w:val="ListParagraph"/>
      </w:pPr>
      <w:r>
        <w:t>Requiring third-party verification of PCRC.</w:t>
      </w:r>
    </w:p>
    <w:p w14:paraId="1F4BFB30" w14:textId="77777777" w:rsidR="00FE41AB" w:rsidRPr="00B34C2A" w:rsidRDefault="00FE41AB" w:rsidP="00C70EDE">
      <w:pPr>
        <w:pStyle w:val="ListParagraph"/>
      </w:pPr>
      <w:r w:rsidRPr="00B34C2A">
        <w:t>Distributing fees differently</w:t>
      </w:r>
      <w:r>
        <w:t>, using a tiered system based on resin weight or annual revenue</w:t>
      </w:r>
      <w:r w:rsidRPr="00B34C2A">
        <w:t>.</w:t>
      </w:r>
    </w:p>
    <w:p w14:paraId="2E0B7162" w14:textId="14D132CF" w:rsidR="00FE41AB" w:rsidRPr="00A3163B" w:rsidRDefault="00FE41AB" w:rsidP="00C70EDE">
      <w:pPr>
        <w:pStyle w:val="ListParagraph"/>
      </w:pPr>
      <w:bookmarkStart w:id="20" w:name="_Toc132187790"/>
      <w:r w:rsidRPr="00A3163B">
        <w:t>Determination</w:t>
      </w:r>
      <w:bookmarkEnd w:id="20"/>
    </w:p>
    <w:p w14:paraId="7CF4F670" w14:textId="77777777" w:rsidR="005926D8" w:rsidRDefault="005926D8" w:rsidP="00C70EDE">
      <w:pPr>
        <w:pStyle w:val="ListParagraph"/>
      </w:pPr>
      <w:r>
        <w:t>After considering alternatives to the proposed rule contents, within the context of the goals and objectives of the authorizing statute, we determined that the proposed rule represents the least-burdensome alternative of possible rule contents meeting the goals and objectives.</w:t>
      </w:r>
    </w:p>
    <w:p w14:paraId="1440B770" w14:textId="77777777" w:rsidR="00A3163B" w:rsidRPr="00A3163B" w:rsidRDefault="00A3163B" w:rsidP="00B94460">
      <w:pPr>
        <w:pStyle w:val="RMHeading3"/>
      </w:pPr>
      <w:r w:rsidRPr="00A3163B">
        <w:t>Regulatory Fairness Act Compliance</w:t>
      </w:r>
    </w:p>
    <w:p w14:paraId="50085EDD" w14:textId="3B4496E3" w:rsidR="009472EC" w:rsidRDefault="009472EC" w:rsidP="009472EC">
      <w:pPr>
        <w:pStyle w:val="Paragraph"/>
        <w:rPr>
          <w:rFonts w:cs="Times New Roman"/>
        </w:rPr>
      </w:pPr>
      <w:r>
        <w:t xml:space="preserve">We conclude </w:t>
      </w:r>
      <w:r w:rsidDel="00207ABE">
        <w:t>that</w:t>
      </w:r>
      <w:r>
        <w:t xml:space="preserve"> the proposed </w:t>
      </w:r>
      <w:r w:rsidRPr="00F552D4">
        <w:t>rule is likely to have disproportionate impacts on small businesses, and therefore Ecology must include</w:t>
      </w:r>
      <w:r>
        <w:t xml:space="preserve"> elements in the proposed rule to mitigate this disproportion, where legal (including the stated objectives of the law on which the rule is based) and feasible.</w:t>
      </w:r>
    </w:p>
    <w:p w14:paraId="65CA213B" w14:textId="77777777" w:rsidR="009472EC" w:rsidRDefault="009472EC" w:rsidP="009472EC">
      <w:pPr>
        <w:pStyle w:val="Paragraph"/>
      </w:pPr>
      <w:r>
        <w:t>The RFA (19.85.030(2) RCW) states that:</w:t>
      </w:r>
    </w:p>
    <w:p w14:paraId="1669CB33" w14:textId="77777777" w:rsidR="009472EC" w:rsidRDefault="009472EC" w:rsidP="005E2645">
      <w:pPr>
        <w:pStyle w:val="Paragraph"/>
      </w:pPr>
      <w:r>
        <w:t>“Based upon the extent of disproportionate impact on small business identified in the statement prepared under RCW 19.85.040, the agency shall, where legal and feasible in meeting the stated objectives of the statutes upon which the rule is based, reduce the costs imposed by the rule on small businesses. The agency must consider, without limitation, each of the following methods of reducing the impact of the proposed rule on small businesses:</w:t>
      </w:r>
    </w:p>
    <w:p w14:paraId="73A5132E" w14:textId="6F334BFA" w:rsidR="009472EC" w:rsidRPr="005E2645" w:rsidRDefault="009472EC" w:rsidP="00037097">
      <w:pPr>
        <w:pStyle w:val="ListParagraph"/>
        <w:numPr>
          <w:ilvl w:val="0"/>
          <w:numId w:val="44"/>
        </w:numPr>
      </w:pPr>
      <w:r w:rsidRPr="005E2645">
        <w:t>Reducing, modifying, or eliminating substantive regulatory requirements;</w:t>
      </w:r>
    </w:p>
    <w:p w14:paraId="1EDDB9A2" w14:textId="4D7E88AA" w:rsidR="009472EC" w:rsidRPr="005E2645" w:rsidRDefault="009472EC" w:rsidP="00037097">
      <w:pPr>
        <w:pStyle w:val="ListParagraph"/>
        <w:numPr>
          <w:ilvl w:val="0"/>
          <w:numId w:val="44"/>
        </w:numPr>
      </w:pPr>
      <w:r w:rsidRPr="005E2645">
        <w:t>Simplifying, reducing, or eliminating recordkeeping and reporting requirements;</w:t>
      </w:r>
    </w:p>
    <w:p w14:paraId="3B274150" w14:textId="0A4DD1A1" w:rsidR="009472EC" w:rsidRPr="005E2645" w:rsidRDefault="009472EC" w:rsidP="00037097">
      <w:pPr>
        <w:pStyle w:val="ListParagraph"/>
        <w:numPr>
          <w:ilvl w:val="0"/>
          <w:numId w:val="44"/>
        </w:numPr>
      </w:pPr>
      <w:r w:rsidRPr="005E2645">
        <w:t>Reducing the frequency of inspections;</w:t>
      </w:r>
    </w:p>
    <w:p w14:paraId="6C015C26" w14:textId="666FC83B" w:rsidR="009472EC" w:rsidRPr="005E2645" w:rsidRDefault="009472EC" w:rsidP="00037097">
      <w:pPr>
        <w:pStyle w:val="ListParagraph"/>
        <w:numPr>
          <w:ilvl w:val="0"/>
          <w:numId w:val="44"/>
        </w:numPr>
      </w:pPr>
      <w:r w:rsidRPr="005E2645">
        <w:t>Delaying compliance timetables;</w:t>
      </w:r>
    </w:p>
    <w:p w14:paraId="0B38FF97" w14:textId="696168DB" w:rsidR="009472EC" w:rsidRPr="005E2645" w:rsidRDefault="009472EC" w:rsidP="00037097">
      <w:pPr>
        <w:pStyle w:val="ListParagraph"/>
        <w:numPr>
          <w:ilvl w:val="0"/>
          <w:numId w:val="44"/>
        </w:numPr>
      </w:pPr>
      <w:r w:rsidRPr="005E2645">
        <w:t>Reducing or modifying fine schedules for noncompliance; or</w:t>
      </w:r>
    </w:p>
    <w:p w14:paraId="24B1F8FB" w14:textId="59008933" w:rsidR="009472EC" w:rsidRPr="005E2645" w:rsidRDefault="009472EC" w:rsidP="00037097">
      <w:pPr>
        <w:pStyle w:val="ListParagraph"/>
        <w:numPr>
          <w:ilvl w:val="0"/>
          <w:numId w:val="44"/>
        </w:numPr>
      </w:pPr>
      <w:r w:rsidRPr="005E2645">
        <w:t>Any other mitigation techniques including those suggested by small businesses or small business advocates.”</w:t>
      </w:r>
    </w:p>
    <w:p w14:paraId="5AA986B4" w14:textId="6981A441" w:rsidR="009472EC" w:rsidRDefault="009472EC" w:rsidP="009472EC">
      <w:pPr>
        <w:pStyle w:val="Paragraph"/>
      </w:pPr>
      <w:r>
        <w:lastRenderedPageBreak/>
        <w:t xml:space="preserve">We considered all the above options, the goals and objectives of the authorizing </w:t>
      </w:r>
      <w:r w:rsidR="00E73A22">
        <w:t xml:space="preserve">law </w:t>
      </w:r>
      <w:r>
        <w:t>(see Chapter 6), and the scope of this rulemaking. We limited compliance cost-reduction methods to those that:</w:t>
      </w:r>
    </w:p>
    <w:p w14:paraId="34A19935" w14:textId="77777777" w:rsidR="009472EC" w:rsidRDefault="009472EC" w:rsidP="00037097">
      <w:pPr>
        <w:pStyle w:val="ListParagraph"/>
      </w:pPr>
      <w:r>
        <w:t>Are legal and feasible.</w:t>
      </w:r>
    </w:p>
    <w:p w14:paraId="367F5CB9" w14:textId="77777777" w:rsidR="009472EC" w:rsidRDefault="009472EC" w:rsidP="00037097">
      <w:pPr>
        <w:pStyle w:val="ListParagraph"/>
      </w:pPr>
      <w:r>
        <w:t>Meet the goals and objectives of the authorizing statute.</w:t>
      </w:r>
    </w:p>
    <w:p w14:paraId="4F14F036" w14:textId="77777777" w:rsidR="009472EC" w:rsidRDefault="009472EC" w:rsidP="00037097">
      <w:pPr>
        <w:pStyle w:val="ListParagraph"/>
      </w:pPr>
      <w:r>
        <w:t>Are within the scope of this rulemaking.</w:t>
      </w:r>
    </w:p>
    <w:p w14:paraId="71501AA3" w14:textId="164D3850" w:rsidR="009472EC" w:rsidRDefault="009472EC" w:rsidP="009472EC">
      <w:pPr>
        <w:pStyle w:val="Paragraph"/>
      </w:pPr>
      <w:r>
        <w:t xml:space="preserve">Modifying regulatory requirements, changing reporting requirements, reducing the frequency of inspections, or delaying compliance timetables would not meet </w:t>
      </w:r>
      <w:r w:rsidR="0046730B">
        <w:t xml:space="preserve">the objectives of the law </w:t>
      </w:r>
      <w:r>
        <w:t>or are not feasible and within the scope of this rulemaking.</w:t>
      </w:r>
    </w:p>
    <w:p w14:paraId="291AC2F2" w14:textId="3C889613" w:rsidR="009472EC" w:rsidRPr="00942807" w:rsidRDefault="009472EC" w:rsidP="009472EC">
      <w:pPr>
        <w:pStyle w:val="Paragraph"/>
      </w:pPr>
      <w:r>
        <w:t>Finally, we included the following elements</w:t>
      </w:r>
      <w:r w:rsidR="00596A82">
        <w:t xml:space="preserve"> of</w:t>
      </w:r>
      <w:r>
        <w:t xml:space="preserve"> the law</w:t>
      </w:r>
      <w:r w:rsidR="0046730B">
        <w:t>,</w:t>
      </w:r>
      <w:r>
        <w:t xml:space="preserve"> in the proposed rule</w:t>
      </w:r>
      <w:r w:rsidR="00596A82">
        <w:t>,</w:t>
      </w:r>
      <w:r>
        <w:t xml:space="preserve"> to reduce costs to small </w:t>
      </w:r>
      <w:r w:rsidRPr="00942807">
        <w:t>businesses.</w:t>
      </w:r>
      <w:r>
        <w:t xml:space="preserve"> Businesses are </w:t>
      </w:r>
      <w:r w:rsidRPr="00942807">
        <w:t>not required to meet annual reporting, PCRC, or fee requirements of covered products</w:t>
      </w:r>
      <w:r>
        <w:t xml:space="preserve"> if they are below the de minimis threshold</w:t>
      </w:r>
      <w:r w:rsidR="00561A84">
        <w:t xml:space="preserve">. </w:t>
      </w:r>
      <w:r w:rsidR="0046730B">
        <w:t>The d</w:t>
      </w:r>
      <w:r w:rsidR="00561A84">
        <w:t xml:space="preserve">e minimis </w:t>
      </w:r>
      <w:r w:rsidR="0046730B">
        <w:t xml:space="preserve">threshold considers </w:t>
      </w:r>
      <w:r w:rsidR="00561A84">
        <w:t xml:space="preserve">  sale</w:t>
      </w:r>
      <w:r w:rsidR="0046730B">
        <w:t>s</w:t>
      </w:r>
      <w:r w:rsidR="00561A84">
        <w:t>, distribution, or import in or into Washington that</w:t>
      </w:r>
      <w:r>
        <w:t>:</w:t>
      </w:r>
    </w:p>
    <w:p w14:paraId="02B58EC4" w14:textId="1F0BC8B2" w:rsidR="009472EC" w:rsidRDefault="009472EC" w:rsidP="00037097">
      <w:pPr>
        <w:pStyle w:val="ListParagraph"/>
      </w:pPr>
      <w:r>
        <w:t>Generate</w:t>
      </w:r>
      <w:r w:rsidR="00561A84">
        <w:t>s</w:t>
      </w:r>
      <w:r>
        <w:t xml:space="preserve"> </w:t>
      </w:r>
      <w:r w:rsidRPr="00942807">
        <w:t xml:space="preserve">less than $1,000,000 </w:t>
      </w:r>
      <w:r w:rsidR="00561A84">
        <w:t xml:space="preserve">in gross revenue </w:t>
      </w:r>
      <w:r w:rsidRPr="00942807">
        <w:t>in a single category of a covered product</w:t>
      </w:r>
      <w:r>
        <w:t xml:space="preserve"> annually.</w:t>
      </w:r>
    </w:p>
    <w:p w14:paraId="0A32A84F" w14:textId="2732E84F" w:rsidR="009472EC" w:rsidRPr="00942807" w:rsidRDefault="009472EC" w:rsidP="00037097">
      <w:pPr>
        <w:pStyle w:val="ListParagraph"/>
      </w:pPr>
      <w:r>
        <w:t>Sell</w:t>
      </w:r>
      <w:r w:rsidR="00561A84">
        <w:t>s</w:t>
      </w:r>
      <w:r>
        <w:t xml:space="preserve"> or distribute</w:t>
      </w:r>
      <w:r w:rsidR="00561A84">
        <w:t>s</w:t>
      </w:r>
      <w:r>
        <w:t xml:space="preserve"> less than one ton of a single category of a covered product annually.</w:t>
      </w:r>
    </w:p>
    <w:p w14:paraId="7AA021E5" w14:textId="55B1BDF9" w:rsidR="00D5571C" w:rsidRPr="00DA3D44" w:rsidRDefault="001F1A42" w:rsidP="00BB63EF">
      <w:pPr>
        <w:pStyle w:val="Paragraph"/>
      </w:pPr>
      <w:r>
        <w:t xml:space="preserve">The proposed rule is not likely to have significant impacts on </w:t>
      </w:r>
      <w:r w:rsidR="00ED4629">
        <w:t xml:space="preserve">the value of output and revenues, and would potentially result in the loss of one cumulative full-time employee </w:t>
      </w:r>
      <w:r w:rsidR="00CE4258">
        <w:t>statewide, across all industries in the state.</w:t>
      </w:r>
      <w:r w:rsidR="00D5571C" w:rsidRPr="00DA3D44">
        <w:br w:type="page"/>
      </w:r>
    </w:p>
    <w:p w14:paraId="6C413ECE" w14:textId="77777777" w:rsidR="00D5571C" w:rsidRPr="00C03569" w:rsidRDefault="00D5571C" w:rsidP="00C03569">
      <w:pPr>
        <w:pStyle w:val="RMBlankpagedisclaimer"/>
      </w:pPr>
      <w:r w:rsidRPr="00C03569">
        <w:lastRenderedPageBreak/>
        <w:t>This page intentionally left blank.</w:t>
      </w:r>
    </w:p>
    <w:p w14:paraId="1E136557" w14:textId="77777777" w:rsidR="00D5571C" w:rsidRPr="00C03569" w:rsidRDefault="00D5571C" w:rsidP="00C03569">
      <w:pPr>
        <w:pStyle w:val="FrontMatterH2"/>
      </w:pPr>
      <w:r>
        <w:br w:type="page"/>
      </w:r>
    </w:p>
    <w:p w14:paraId="692381DC" w14:textId="3A2F5259" w:rsidR="00D5571C" w:rsidRDefault="00D5571C" w:rsidP="00DE1A35">
      <w:pPr>
        <w:pStyle w:val="RMChaptertitle"/>
      </w:pPr>
      <w:bookmarkStart w:id="21" w:name="_Toc132187791"/>
      <w:r>
        <w:lastRenderedPageBreak/>
        <w:t xml:space="preserve">Chapter 1: Background and </w:t>
      </w:r>
      <w:r w:rsidRPr="00DE1A35">
        <w:t>Introduction</w:t>
      </w:r>
      <w:bookmarkEnd w:id="21"/>
    </w:p>
    <w:p w14:paraId="1239CB29" w14:textId="77777777" w:rsidR="00D5571C" w:rsidRPr="00DE1A35" w:rsidRDefault="00D5571C" w:rsidP="00257276">
      <w:pPr>
        <w:pStyle w:val="RMHeading3"/>
      </w:pPr>
      <w:r w:rsidRPr="00DE1A35">
        <w:t>1.1 Introduction</w:t>
      </w:r>
    </w:p>
    <w:p w14:paraId="4E33AF7F" w14:textId="4013A1E6" w:rsidR="00D5571C" w:rsidRPr="00087615" w:rsidRDefault="00D5571C" w:rsidP="003B1C00">
      <w:pPr>
        <w:pStyle w:val="Paragraph"/>
      </w:pPr>
      <w:r>
        <w:t>This report presents the determinations made by the Washington State</w:t>
      </w:r>
      <w:r w:rsidR="006E084B">
        <w:t xml:space="preserve"> Department of Ecology</w:t>
      </w:r>
      <w:r>
        <w:t xml:space="preserve"> as required under </w:t>
      </w:r>
      <w:r w:rsidR="006E084B">
        <w:t>Chapter</w:t>
      </w:r>
      <w:r>
        <w:t xml:space="preserve">s 34.05 RCW and 19.85 RCW, for the proposed </w:t>
      </w:r>
      <w:r w:rsidR="000C7507">
        <w:t>Postconsumer</w:t>
      </w:r>
      <w:r w:rsidR="007F4CA0">
        <w:t xml:space="preserve"> </w:t>
      </w:r>
      <w:r w:rsidR="001B24CF">
        <w:t>Recycled</w:t>
      </w:r>
      <w:r w:rsidR="007F4CA0">
        <w:t xml:space="preserve"> Content</w:t>
      </w:r>
      <w:r>
        <w:t xml:space="preserve"> </w:t>
      </w:r>
      <w:r w:rsidR="00813876">
        <w:t>in</w:t>
      </w:r>
      <w:r w:rsidR="00654337">
        <w:t xml:space="preserve"> Plastic Container</w:t>
      </w:r>
      <w:r w:rsidR="00813876">
        <w:t>s</w:t>
      </w:r>
      <w:r w:rsidR="00654337">
        <w:t xml:space="preserve"> </w:t>
      </w:r>
      <w:r>
        <w:t>rule (</w:t>
      </w:r>
      <w:r w:rsidR="006E084B" w:rsidRPr="000268D6">
        <w:t>Chapter</w:t>
      </w:r>
      <w:r w:rsidRPr="000268D6">
        <w:t xml:space="preserve"> </w:t>
      </w:r>
      <w:r w:rsidR="007F4CA0" w:rsidRPr="000268D6">
        <w:t>173</w:t>
      </w:r>
      <w:r w:rsidR="00EF5E8B" w:rsidRPr="000268D6">
        <w:t>-</w:t>
      </w:r>
      <w:r w:rsidR="007F4CA0" w:rsidRPr="000268D6">
        <w:t>925</w:t>
      </w:r>
      <w:r w:rsidRPr="000268D6">
        <w:t xml:space="preserve"> WAC</w:t>
      </w:r>
      <w:r>
        <w:t>; the “rule”). This includes the:</w:t>
      </w:r>
    </w:p>
    <w:p w14:paraId="2FE07F8B" w14:textId="77777777" w:rsidR="00D5571C" w:rsidRPr="00087615" w:rsidRDefault="00D5571C" w:rsidP="00037097">
      <w:pPr>
        <w:pStyle w:val="ListParagraph"/>
      </w:pPr>
      <w:r w:rsidRPr="00087615">
        <w:t>Preliminary Cost-Benefit Analysis (CBA)</w:t>
      </w:r>
    </w:p>
    <w:p w14:paraId="5289BA42" w14:textId="77777777" w:rsidR="00D5571C" w:rsidRPr="00087615" w:rsidRDefault="00D5571C" w:rsidP="00037097">
      <w:pPr>
        <w:pStyle w:val="ListParagraph"/>
      </w:pPr>
      <w:r w:rsidRPr="00087615">
        <w:t>Least-Burdensome Alternative Analysis (LBA)</w:t>
      </w:r>
    </w:p>
    <w:p w14:paraId="08BB49C0" w14:textId="77777777" w:rsidR="00D5571C" w:rsidRPr="00087615" w:rsidRDefault="00D5571C" w:rsidP="00037097">
      <w:pPr>
        <w:pStyle w:val="ListParagraph"/>
      </w:pPr>
      <w:r w:rsidRPr="00087615">
        <w:t>Administrative Procedure Act Determinations</w:t>
      </w:r>
    </w:p>
    <w:p w14:paraId="14090113" w14:textId="77777777" w:rsidR="00D5571C" w:rsidRPr="00087615" w:rsidRDefault="00D5571C" w:rsidP="00037097">
      <w:pPr>
        <w:pStyle w:val="ListParagraph"/>
      </w:pPr>
      <w:r w:rsidRPr="00087615">
        <w:t>Regulatory Fairness Act Compliance</w:t>
      </w:r>
    </w:p>
    <w:p w14:paraId="387B03D4" w14:textId="77777777" w:rsidR="00D5571C" w:rsidRDefault="00D5571C" w:rsidP="003B1C00">
      <w:pPr>
        <w:pStyle w:val="Paragraph"/>
      </w:pPr>
      <w:r>
        <w:t>The Washington Administrative Procedure Act (APA; RCW 34.05.328(1)(d)) requires Ecology to evaluate significant legislative rules to “determine that the probable benefits of the rule are greater than its probable costs, taking into account both the qualitative and quantitative benefits and costs and the specific directives of the law being implemented.” Chapters 1 – 5 of this document describe that determination.</w:t>
      </w:r>
    </w:p>
    <w:p w14:paraId="624EB242" w14:textId="77777777" w:rsidR="00D5571C" w:rsidRDefault="00D5571C" w:rsidP="003B1C00">
      <w:pPr>
        <w:pStyle w:val="Paragraph"/>
      </w:pPr>
      <w:r>
        <w:t>The APA also requires Ecology to “determine, after considering alternative versions of the rule…that the rule being adopted is the least burdensome alternative for those required to comply with it that will achieve the general goals and specific objectives” of the governing and authorizing statutes. Chapter 6 of this document describes that determination.</w:t>
      </w:r>
    </w:p>
    <w:p w14:paraId="00196A71" w14:textId="77777777" w:rsidR="00D5571C" w:rsidRDefault="00D5571C" w:rsidP="003B1C00">
      <w:pPr>
        <w:pStyle w:val="Paragraph"/>
      </w:pPr>
      <w:r>
        <w:t>The APA also requires Ecology to make several other determinations (RCW 34.05.328(1)(a) – (c) and (f) – (h)) about the rule, including authorization, need, context, and coordination. Appendix A of this document provides the documentation for these determinations.</w:t>
      </w:r>
    </w:p>
    <w:p w14:paraId="6A152A12" w14:textId="6FC89E59" w:rsidR="00D5571C" w:rsidRDefault="00D5571C" w:rsidP="003B1C00">
      <w:pPr>
        <w:pStyle w:val="Paragraph"/>
      </w:pPr>
      <w:r>
        <w:t xml:space="preserve">The Washington Regulatory Fairness Act (RFA; </w:t>
      </w:r>
      <w:r w:rsidR="006E084B">
        <w:t>Chapter</w:t>
      </w:r>
      <w:r>
        <w:t xml:space="preserve"> 19.85 RCW) requires Ecology to evaluate the relative impact of proposed rules that impose costs on businesses in an industry. It compares the relative compliance costs for small businesses to those of the largest businesses affected. Chapter 7 of this document documents that analysis, when applicable.</w:t>
      </w:r>
    </w:p>
    <w:p w14:paraId="48FBD725" w14:textId="77777777" w:rsidR="00D5571C" w:rsidRDefault="00D5571C" w:rsidP="003B1C00">
      <w:pPr>
        <w:pStyle w:val="Paragraph"/>
      </w:pPr>
      <w:r>
        <w:t>All determinations are based on the best available information at the time of publication. We encourage feedback (including specific data) that may improve the accuracy of this analysis.</w:t>
      </w:r>
    </w:p>
    <w:p w14:paraId="00798F6C" w14:textId="3B2BEB70" w:rsidR="00D5571C" w:rsidRDefault="00D5571C" w:rsidP="000268D6">
      <w:pPr>
        <w:pStyle w:val="RMSectionXXX"/>
      </w:pPr>
      <w:bookmarkStart w:id="22" w:name="_Toc132187792"/>
      <w:r>
        <w:t xml:space="preserve">1.1.1 </w:t>
      </w:r>
      <w:r w:rsidRPr="00DE1A35">
        <w:t>Background</w:t>
      </w:r>
      <w:bookmarkEnd w:id="22"/>
    </w:p>
    <w:p w14:paraId="3BAFE5D1" w14:textId="34E0020C" w:rsidR="00427014" w:rsidRDefault="00427014" w:rsidP="00427014">
      <w:pPr>
        <w:pStyle w:val="Paragraph"/>
      </w:pPr>
      <w:r>
        <w:t>The purpose of this proposed rule is to implement the requirements in RCW 70A.245 – Recycling, Waste, and Litter Reduction - that requires Ecology to establish a Postconsumer Recycled Content (PCRC) program for producers of covered products (</w:t>
      </w:r>
      <w:r w:rsidRPr="00364832">
        <w:t>plastic beverage containers, trash bags, and household cleaning and personal care product containers</w:t>
      </w:r>
      <w:r>
        <w:t>)</w:t>
      </w:r>
      <w:r w:rsidRPr="00364832">
        <w:t xml:space="preserve"> </w:t>
      </w:r>
      <w:r>
        <w:t>and require them to annually:</w:t>
      </w:r>
    </w:p>
    <w:p w14:paraId="661050A0" w14:textId="77777777" w:rsidR="00427014" w:rsidRDefault="00427014" w:rsidP="002872B7">
      <w:pPr>
        <w:pStyle w:val="ListParagraph"/>
      </w:pPr>
      <w:r>
        <w:t>Register covered products.</w:t>
      </w:r>
    </w:p>
    <w:p w14:paraId="1AF1F1D4" w14:textId="77777777" w:rsidR="00427014" w:rsidRDefault="00427014" w:rsidP="002872B7">
      <w:pPr>
        <w:pStyle w:val="ListParagraph"/>
      </w:pPr>
      <w:r>
        <w:lastRenderedPageBreak/>
        <w:t>Pay fees to cover agency oversight costs.</w:t>
      </w:r>
    </w:p>
    <w:p w14:paraId="4ED7147A" w14:textId="77777777" w:rsidR="00427014" w:rsidRDefault="00427014" w:rsidP="002872B7">
      <w:pPr>
        <w:pStyle w:val="ListParagraph"/>
      </w:pPr>
      <w:r>
        <w:t>Report PCRC and virgin plastic resin data.</w:t>
      </w:r>
    </w:p>
    <w:p w14:paraId="2C396A95" w14:textId="77777777" w:rsidR="00427014" w:rsidRDefault="00427014" w:rsidP="002872B7">
      <w:pPr>
        <w:pStyle w:val="ListParagraph"/>
      </w:pPr>
      <w:r>
        <w:t>Meet minimum PCRC percentage requirements.</w:t>
      </w:r>
    </w:p>
    <w:p w14:paraId="31BA9CF0" w14:textId="77777777" w:rsidR="00427014" w:rsidRDefault="00427014" w:rsidP="00427014">
      <w:pPr>
        <w:pStyle w:val="Paragraph"/>
      </w:pPr>
      <w:r w:rsidRPr="00B6324E">
        <w:t xml:space="preserve">Many </w:t>
      </w:r>
      <w:r>
        <w:t>producers</w:t>
      </w:r>
      <w:r w:rsidRPr="00B6324E">
        <w:t xml:space="preserve"> have committed to voluntary recycled content standards for their plastic </w:t>
      </w:r>
      <w:r>
        <w:t>containers</w:t>
      </w:r>
      <w:r w:rsidRPr="00B6324E">
        <w:t xml:space="preserve">, but </w:t>
      </w:r>
      <w:r>
        <w:t>how well they comply with those recycled content standards is unknown because it is not tracked.</w:t>
      </w:r>
      <w:r w:rsidRPr="00B6324E">
        <w:t xml:space="preserve"> </w:t>
      </w:r>
      <w:r>
        <w:t xml:space="preserve">Requiring producers to comply with the </w:t>
      </w:r>
      <w:r w:rsidRPr="00B6324E">
        <w:t>PCR</w:t>
      </w:r>
      <w:r>
        <w:t>C</w:t>
      </w:r>
      <w:r w:rsidRPr="00B6324E">
        <w:t xml:space="preserve"> requirements</w:t>
      </w:r>
      <w:r>
        <w:t xml:space="preserve"> in the law,</w:t>
      </w:r>
      <w:r w:rsidRPr="00B6324E">
        <w:t xml:space="preserve"> </w:t>
      </w:r>
      <w:r>
        <w:t>for covered products, is intended</w:t>
      </w:r>
      <w:r w:rsidRPr="00B6324E">
        <w:t xml:space="preserve"> to motivate</w:t>
      </w:r>
      <w:r>
        <w:t xml:space="preserve"> producers to</w:t>
      </w:r>
      <w:r w:rsidRPr="00B6324E">
        <w:t xml:space="preserve"> increase</w:t>
      </w:r>
      <w:r>
        <w:t xml:space="preserve"> the amount of </w:t>
      </w:r>
      <w:r w:rsidRPr="00B6324E">
        <w:t xml:space="preserve">plastic packaging </w:t>
      </w:r>
      <w:r>
        <w:t xml:space="preserve">they </w:t>
      </w:r>
      <w:r w:rsidRPr="00B6324E">
        <w:t xml:space="preserve">recover </w:t>
      </w:r>
      <w:r>
        <w:t xml:space="preserve">so </w:t>
      </w:r>
      <w:r w:rsidRPr="00B6324E">
        <w:t xml:space="preserve">producers </w:t>
      </w:r>
      <w:r>
        <w:t xml:space="preserve">have enough </w:t>
      </w:r>
      <w:r w:rsidRPr="00B6324E">
        <w:t>recyclable feedstock to meet the</w:t>
      </w:r>
      <w:r>
        <w:t xml:space="preserve"> minimum PCRC</w:t>
      </w:r>
      <w:r w:rsidRPr="00B6324E">
        <w:t xml:space="preserve"> requirements. </w:t>
      </w:r>
    </w:p>
    <w:p w14:paraId="5FE6A231" w14:textId="5F236F9D" w:rsidR="00241E49" w:rsidRDefault="00427014" w:rsidP="00427014">
      <w:pPr>
        <w:pStyle w:val="Paragraph"/>
      </w:pPr>
      <w:r>
        <w:t>Increasing the u</w:t>
      </w:r>
      <w:r w:rsidRPr="00B6324E">
        <w:t xml:space="preserve">se of recycled content plastic </w:t>
      </w:r>
      <w:r>
        <w:t>would</w:t>
      </w:r>
      <w:r w:rsidRPr="00B6324E">
        <w:t xml:space="preserve"> reduce the </w:t>
      </w:r>
      <w:r>
        <w:t>demand for</w:t>
      </w:r>
      <w:r w:rsidRPr="00B6324E">
        <w:t xml:space="preserve"> virgin plastic to manufacture plastic containers</w:t>
      </w:r>
      <w:r>
        <w:t>. Use of recycled plastics</w:t>
      </w:r>
      <w:r w:rsidDel="008F4D7A">
        <w:t xml:space="preserve"> </w:t>
      </w:r>
      <w:r>
        <w:t>lowers energy use and</w:t>
      </w:r>
      <w:r w:rsidRPr="00B6324E" w:rsidDel="008F4D7A">
        <w:t xml:space="preserve"> </w:t>
      </w:r>
      <w:r w:rsidRPr="00B6324E">
        <w:t>greenhouse gas emissions.</w:t>
      </w:r>
      <w:r>
        <w:t xml:space="preserve"> The demand to meet the new requirements may raise the value of PCRC as an end-market product. This could incentivize ongoing improvements to the statewide recycling system.</w:t>
      </w:r>
    </w:p>
    <w:p w14:paraId="0FC4BE3C" w14:textId="76726715" w:rsidR="00D5571C" w:rsidRDefault="00D5571C" w:rsidP="00257276">
      <w:pPr>
        <w:pStyle w:val="RMHeading3"/>
      </w:pPr>
      <w:r>
        <w:t xml:space="preserve">1.2 Summary of the proposed rule </w:t>
      </w:r>
    </w:p>
    <w:p w14:paraId="2880ECCB" w14:textId="77777777" w:rsidR="00102A7D" w:rsidRDefault="00102A7D" w:rsidP="00102A7D">
      <w:pPr>
        <w:pStyle w:val="Paragraph"/>
      </w:pPr>
      <w:bookmarkStart w:id="23" w:name="_Hlk126153483"/>
      <w:r w:rsidRPr="003F76E1">
        <w:t xml:space="preserve">The proposed rule </w:t>
      </w:r>
      <w:r>
        <w:t xml:space="preserve">would </w:t>
      </w:r>
      <w:r w:rsidRPr="003F76E1">
        <w:t xml:space="preserve">establish the processes </w:t>
      </w:r>
      <w:r>
        <w:t xml:space="preserve">Ecology and producers of covered products would follow to ensure </w:t>
      </w:r>
      <w:r w:rsidRPr="003F76E1">
        <w:t>compliance</w:t>
      </w:r>
      <w:r>
        <w:t xml:space="preserve"> with the law</w:t>
      </w:r>
      <w:r w:rsidRPr="003F76E1">
        <w:t xml:space="preserve">, </w:t>
      </w:r>
      <w:r>
        <w:t>including calculation of</w:t>
      </w:r>
      <w:r w:rsidRPr="003F76E1">
        <w:t xml:space="preserve"> annual fees. </w:t>
      </w:r>
      <w:r>
        <w:t>The proposed rule would specifically:</w:t>
      </w:r>
    </w:p>
    <w:p w14:paraId="7508E7A8" w14:textId="77777777" w:rsidR="00102A7D" w:rsidRPr="00600796" w:rsidRDefault="00102A7D" w:rsidP="00102A7D">
      <w:pPr>
        <w:pStyle w:val="ListParagraph"/>
        <w:numPr>
          <w:ilvl w:val="0"/>
          <w:numId w:val="6"/>
        </w:numPr>
        <w:spacing w:after="160" w:line="252" w:lineRule="auto"/>
        <w:contextualSpacing/>
        <w:rPr>
          <w:rFonts w:eastAsia="Times New Roman"/>
          <w:sz w:val="22"/>
        </w:rPr>
      </w:pPr>
      <w:r w:rsidRPr="00600796">
        <w:rPr>
          <w:rFonts w:eastAsia="Times New Roman"/>
        </w:rPr>
        <w:t xml:space="preserve">Add or clarify definitions needed </w:t>
      </w:r>
      <w:r>
        <w:rPr>
          <w:rFonts w:eastAsia="Times New Roman"/>
        </w:rPr>
        <w:t>to comply with</w:t>
      </w:r>
      <w:r w:rsidRPr="00600796">
        <w:rPr>
          <w:rFonts w:eastAsia="Times New Roman"/>
        </w:rPr>
        <w:t xml:space="preserve"> the </w:t>
      </w:r>
      <w:r>
        <w:rPr>
          <w:rFonts w:eastAsia="Times New Roman"/>
        </w:rPr>
        <w:t>law</w:t>
      </w:r>
      <w:r w:rsidRPr="00600796">
        <w:rPr>
          <w:rFonts w:eastAsia="Times New Roman"/>
        </w:rPr>
        <w:t>.</w:t>
      </w:r>
    </w:p>
    <w:p w14:paraId="71AC15E8" w14:textId="77777777" w:rsidR="00102A7D" w:rsidRPr="00600796" w:rsidRDefault="00102A7D" w:rsidP="00102A7D">
      <w:pPr>
        <w:pStyle w:val="ListParagraph"/>
        <w:numPr>
          <w:ilvl w:val="0"/>
          <w:numId w:val="6"/>
        </w:numPr>
        <w:spacing w:after="160" w:line="252" w:lineRule="auto"/>
        <w:contextualSpacing/>
        <w:rPr>
          <w:rFonts w:eastAsia="Times New Roman"/>
        </w:rPr>
      </w:pPr>
      <w:r w:rsidRPr="00600796">
        <w:rPr>
          <w:rFonts w:eastAsia="Times New Roman"/>
        </w:rPr>
        <w:t>Set requirements for registration and reporting.</w:t>
      </w:r>
    </w:p>
    <w:p w14:paraId="71D16B7A" w14:textId="77777777" w:rsidR="00102A7D" w:rsidRDefault="00102A7D" w:rsidP="00102A7D">
      <w:pPr>
        <w:pStyle w:val="ListParagraph"/>
        <w:numPr>
          <w:ilvl w:val="0"/>
          <w:numId w:val="6"/>
        </w:numPr>
        <w:spacing w:after="160" w:line="252" w:lineRule="auto"/>
        <w:contextualSpacing/>
        <w:rPr>
          <w:rFonts w:eastAsia="Times New Roman"/>
        </w:rPr>
      </w:pPr>
      <w:r w:rsidRPr="00600796">
        <w:rPr>
          <w:rFonts w:eastAsia="Times New Roman"/>
        </w:rPr>
        <w:t xml:space="preserve">Establish </w:t>
      </w:r>
      <w:r>
        <w:rPr>
          <w:rFonts w:eastAsia="Times New Roman"/>
        </w:rPr>
        <w:t xml:space="preserve">a process to ensure </w:t>
      </w:r>
      <w:r w:rsidRPr="00600796">
        <w:rPr>
          <w:rFonts w:eastAsia="Times New Roman"/>
        </w:rPr>
        <w:t xml:space="preserve">fee allocation methods </w:t>
      </w:r>
      <w:r>
        <w:rPr>
          <w:rFonts w:eastAsia="Times New Roman"/>
        </w:rPr>
        <w:t>are equitable.</w:t>
      </w:r>
    </w:p>
    <w:p w14:paraId="0A150D74" w14:textId="77777777" w:rsidR="00102A7D" w:rsidRPr="00600796" w:rsidRDefault="00102A7D" w:rsidP="00102A7D">
      <w:pPr>
        <w:pStyle w:val="ListParagraph"/>
        <w:numPr>
          <w:ilvl w:val="0"/>
          <w:numId w:val="6"/>
        </w:numPr>
        <w:spacing w:after="160" w:line="252" w:lineRule="auto"/>
        <w:contextualSpacing/>
        <w:rPr>
          <w:rFonts w:eastAsia="Times New Roman"/>
        </w:rPr>
      </w:pPr>
      <w:r>
        <w:rPr>
          <w:rFonts w:eastAsia="Times New Roman"/>
        </w:rPr>
        <w:t xml:space="preserve">Establish the annual producer fee </w:t>
      </w:r>
      <w:r w:rsidRPr="00600796">
        <w:rPr>
          <w:rFonts w:eastAsia="Times New Roman"/>
        </w:rPr>
        <w:t>billing proc</w:t>
      </w:r>
      <w:r>
        <w:rPr>
          <w:rFonts w:eastAsia="Times New Roman"/>
        </w:rPr>
        <w:t>ess</w:t>
      </w:r>
      <w:r w:rsidRPr="00600796">
        <w:rPr>
          <w:rFonts w:eastAsia="Times New Roman"/>
        </w:rPr>
        <w:t>.</w:t>
      </w:r>
    </w:p>
    <w:p w14:paraId="64B1BE6E" w14:textId="77777777" w:rsidR="00102A7D" w:rsidRPr="00600796" w:rsidRDefault="00102A7D" w:rsidP="00102A7D">
      <w:pPr>
        <w:pStyle w:val="ListParagraph"/>
        <w:numPr>
          <w:ilvl w:val="0"/>
          <w:numId w:val="6"/>
        </w:numPr>
        <w:spacing w:after="160" w:line="252" w:lineRule="auto"/>
        <w:contextualSpacing/>
        <w:rPr>
          <w:rFonts w:eastAsia="Times New Roman"/>
        </w:rPr>
      </w:pPr>
      <w:r>
        <w:rPr>
          <w:rFonts w:eastAsia="Times New Roman"/>
        </w:rPr>
        <w:t>Clarify</w:t>
      </w:r>
      <w:r w:rsidRPr="00600796">
        <w:rPr>
          <w:rFonts w:eastAsia="Times New Roman"/>
        </w:rPr>
        <w:t xml:space="preserve"> requirements for PCRC weight calculations.</w:t>
      </w:r>
    </w:p>
    <w:p w14:paraId="11E37102" w14:textId="77777777" w:rsidR="00102A7D" w:rsidRPr="00600796" w:rsidRDefault="00102A7D" w:rsidP="00102A7D">
      <w:pPr>
        <w:pStyle w:val="ListParagraph"/>
        <w:numPr>
          <w:ilvl w:val="0"/>
          <w:numId w:val="6"/>
        </w:numPr>
        <w:spacing w:after="160" w:line="252" w:lineRule="auto"/>
        <w:contextualSpacing/>
        <w:rPr>
          <w:rFonts w:eastAsia="Times New Roman"/>
        </w:rPr>
      </w:pPr>
      <w:r>
        <w:rPr>
          <w:rFonts w:eastAsia="Times New Roman"/>
        </w:rPr>
        <w:t>Clarify</w:t>
      </w:r>
      <w:r w:rsidRPr="00600796">
        <w:rPr>
          <w:rFonts w:eastAsia="Times New Roman"/>
        </w:rPr>
        <w:t xml:space="preserve"> requirements for temporary exclusion requests.</w:t>
      </w:r>
    </w:p>
    <w:p w14:paraId="5D73148B" w14:textId="77777777" w:rsidR="00102A7D" w:rsidRDefault="00102A7D" w:rsidP="00102A7D">
      <w:pPr>
        <w:pStyle w:val="ListParagraph"/>
        <w:numPr>
          <w:ilvl w:val="0"/>
          <w:numId w:val="6"/>
        </w:numPr>
        <w:spacing w:after="160" w:line="252" w:lineRule="auto"/>
        <w:contextualSpacing/>
        <w:rPr>
          <w:rFonts w:eastAsia="Times New Roman"/>
        </w:rPr>
      </w:pPr>
      <w:r w:rsidRPr="00EA2055">
        <w:rPr>
          <w:rFonts w:eastAsia="Times New Roman"/>
        </w:rPr>
        <w:t>Limit timing for providing necessary audit documentation.</w:t>
      </w:r>
    </w:p>
    <w:p w14:paraId="3A363107" w14:textId="22E808E4" w:rsidR="0060050B" w:rsidRPr="00600796" w:rsidRDefault="00102A7D" w:rsidP="00102A7D">
      <w:pPr>
        <w:pStyle w:val="ListParagraph"/>
        <w:numPr>
          <w:ilvl w:val="0"/>
          <w:numId w:val="6"/>
        </w:numPr>
        <w:spacing w:after="160" w:line="252" w:lineRule="auto"/>
        <w:contextualSpacing/>
        <w:rPr>
          <w:rFonts w:eastAsia="Times New Roman"/>
        </w:rPr>
      </w:pPr>
      <w:r>
        <w:rPr>
          <w:rFonts w:eastAsia="Times New Roman"/>
        </w:rPr>
        <w:t xml:space="preserve">Detail the process </w:t>
      </w:r>
      <w:r w:rsidRPr="00600796">
        <w:rPr>
          <w:rFonts w:eastAsia="Times New Roman"/>
        </w:rPr>
        <w:t>for warnings and penalties for noncompliance.</w:t>
      </w:r>
    </w:p>
    <w:bookmarkEnd w:id="23"/>
    <w:p w14:paraId="1B89E905" w14:textId="55369360" w:rsidR="00D5571C" w:rsidRDefault="00D5571C" w:rsidP="00257276">
      <w:pPr>
        <w:pStyle w:val="RMHeading3"/>
      </w:pPr>
      <w:r>
        <w:t xml:space="preserve">1.3 Reasons for the proposed rule </w:t>
      </w:r>
    </w:p>
    <w:p w14:paraId="5DEF819F" w14:textId="77777777" w:rsidR="00A82805" w:rsidRDefault="00A82805" w:rsidP="00A82805">
      <w:pPr>
        <w:rPr>
          <w:rFonts w:cstheme="minorHAnsi"/>
        </w:rPr>
      </w:pPr>
      <w:r>
        <w:rPr>
          <w:rFonts w:cstheme="minorHAnsi"/>
        </w:rPr>
        <w:t xml:space="preserve">In </w:t>
      </w:r>
      <w:r w:rsidRPr="00B6324E">
        <w:rPr>
          <w:rFonts w:cstheme="minorHAnsi"/>
        </w:rPr>
        <w:t>2021</w:t>
      </w:r>
      <w:r>
        <w:rPr>
          <w:rFonts w:cstheme="minorHAnsi"/>
        </w:rPr>
        <w:t>, the</w:t>
      </w:r>
      <w:r w:rsidRPr="00B6324E">
        <w:rPr>
          <w:rFonts w:cstheme="minorHAnsi"/>
        </w:rPr>
        <w:t xml:space="preserve"> Legislature passed Chapter 70A.245 RCW to</w:t>
      </w:r>
      <w:r>
        <w:rPr>
          <w:rFonts w:cstheme="minorHAnsi"/>
        </w:rPr>
        <w:t>:</w:t>
      </w:r>
    </w:p>
    <w:p w14:paraId="484CA952" w14:textId="77777777" w:rsidR="00A82805" w:rsidRPr="005648E3" w:rsidRDefault="00A82805" w:rsidP="00A82805">
      <w:pPr>
        <w:pStyle w:val="ListParagraph"/>
        <w:numPr>
          <w:ilvl w:val="0"/>
          <w:numId w:val="41"/>
        </w:numPr>
      </w:pPr>
      <w:r>
        <w:t>I</w:t>
      </w:r>
      <w:r w:rsidRPr="005648E3">
        <w:t>ncrease recycled content in specific categories of plastic packaging</w:t>
      </w:r>
      <w:r>
        <w:t>.</w:t>
      </w:r>
    </w:p>
    <w:p w14:paraId="40089298" w14:textId="77777777" w:rsidR="00A82805" w:rsidRDefault="00A82805" w:rsidP="00A82805">
      <w:pPr>
        <w:pStyle w:val="ListParagraph"/>
        <w:numPr>
          <w:ilvl w:val="0"/>
          <w:numId w:val="36"/>
        </w:numPr>
      </w:pPr>
      <w:r>
        <w:t>R</w:t>
      </w:r>
      <w:r w:rsidRPr="003F76E1">
        <w:t>educe new plastic production</w:t>
      </w:r>
      <w:r>
        <w:t>.</w:t>
      </w:r>
    </w:p>
    <w:p w14:paraId="23ECA8F6" w14:textId="77777777" w:rsidR="00A82805" w:rsidRDefault="00A82805" w:rsidP="00A82805">
      <w:pPr>
        <w:pStyle w:val="ListParagraph"/>
        <w:numPr>
          <w:ilvl w:val="0"/>
          <w:numId w:val="36"/>
        </w:numPr>
      </w:pPr>
      <w:r>
        <w:t>P</w:t>
      </w:r>
      <w:r w:rsidRPr="003F76E1">
        <w:t>romote material circularity</w:t>
      </w:r>
      <w:r>
        <w:t>.</w:t>
      </w:r>
      <w:r w:rsidRPr="003F76E1">
        <w:t xml:space="preserve"> </w:t>
      </w:r>
    </w:p>
    <w:p w14:paraId="491AB3BE" w14:textId="77777777" w:rsidR="00A82805" w:rsidRDefault="00A82805" w:rsidP="00A82805">
      <w:pPr>
        <w:pStyle w:val="ListParagraph"/>
        <w:numPr>
          <w:ilvl w:val="0"/>
          <w:numId w:val="36"/>
        </w:numPr>
      </w:pPr>
      <w:r>
        <w:t>I</w:t>
      </w:r>
      <w:r w:rsidRPr="003F76E1">
        <w:t xml:space="preserve">mprove plastic packaging collection, processing, and markets. </w:t>
      </w:r>
    </w:p>
    <w:p w14:paraId="206E59B7" w14:textId="77777777" w:rsidR="00A82805" w:rsidRDefault="00A82805" w:rsidP="00A82805">
      <w:pPr>
        <w:ind w:left="58"/>
      </w:pPr>
      <w:r w:rsidRPr="003F76E1">
        <w:t xml:space="preserve">Under certain conditions, the law </w:t>
      </w:r>
      <w:r>
        <w:t>gives</w:t>
      </w:r>
      <w:r w:rsidRPr="003F76E1">
        <w:t xml:space="preserve"> Ecology the authority to</w:t>
      </w:r>
      <w:r>
        <w:t>:</w:t>
      </w:r>
    </w:p>
    <w:p w14:paraId="44748537" w14:textId="77777777" w:rsidR="00A82805" w:rsidRDefault="00A82805" w:rsidP="00A82805">
      <w:pPr>
        <w:pStyle w:val="ListParagraph"/>
        <w:numPr>
          <w:ilvl w:val="0"/>
          <w:numId w:val="37"/>
        </w:numPr>
      </w:pPr>
      <w:r>
        <w:lastRenderedPageBreak/>
        <w:t>T</w:t>
      </w:r>
      <w:r w:rsidRPr="003F76E1">
        <w:t>emporarily adjust the PCRC targets</w:t>
      </w:r>
      <w:r>
        <w:t>.</w:t>
      </w:r>
      <w:r w:rsidRPr="003F76E1">
        <w:t xml:space="preserve"> </w:t>
      </w:r>
    </w:p>
    <w:p w14:paraId="4527709D" w14:textId="77777777" w:rsidR="00A82805" w:rsidRDefault="00A82805" w:rsidP="00A82805">
      <w:pPr>
        <w:pStyle w:val="ListParagraph"/>
        <w:numPr>
          <w:ilvl w:val="0"/>
          <w:numId w:val="37"/>
        </w:numPr>
      </w:pPr>
      <w:r>
        <w:t>A</w:t>
      </w:r>
      <w:r w:rsidRPr="003F76E1">
        <w:t>pprove exclusions from meeting the targets</w:t>
      </w:r>
      <w:r>
        <w:t>.</w:t>
      </w:r>
    </w:p>
    <w:p w14:paraId="15180484" w14:textId="77777777" w:rsidR="00A82805" w:rsidRDefault="00A82805" w:rsidP="00A82805">
      <w:pPr>
        <w:pStyle w:val="ListParagraph"/>
        <w:numPr>
          <w:ilvl w:val="0"/>
          <w:numId w:val="37"/>
        </w:numPr>
      </w:pPr>
      <w:r>
        <w:t>E</w:t>
      </w:r>
      <w:r w:rsidRPr="003F76E1">
        <w:t>stablish corrective action plans in lieu of penalties</w:t>
      </w:r>
      <w:r>
        <w:t>.</w:t>
      </w:r>
      <w:r w:rsidRPr="003F76E1">
        <w:t xml:space="preserve"> </w:t>
      </w:r>
    </w:p>
    <w:p w14:paraId="5571E862" w14:textId="77777777" w:rsidR="00A82805" w:rsidRDefault="00A82805" w:rsidP="00A82805">
      <w:pPr>
        <w:pStyle w:val="ListParagraph"/>
        <w:numPr>
          <w:ilvl w:val="0"/>
          <w:numId w:val="37"/>
        </w:numPr>
      </w:pPr>
      <w:r>
        <w:t>O</w:t>
      </w:r>
      <w:r w:rsidRPr="003F76E1">
        <w:t xml:space="preserve">ffer penalty reductions. </w:t>
      </w:r>
    </w:p>
    <w:p w14:paraId="61AC5AA8" w14:textId="77777777" w:rsidR="00D5571C" w:rsidRDefault="00D5571C" w:rsidP="00257276">
      <w:pPr>
        <w:pStyle w:val="RMHeading3"/>
      </w:pPr>
      <w:r>
        <w:t xml:space="preserve">1.4 </w:t>
      </w:r>
      <w:r w:rsidRPr="00257276">
        <w:t>Document</w:t>
      </w:r>
      <w:r>
        <w:t xml:space="preserve"> organization</w:t>
      </w:r>
    </w:p>
    <w:p w14:paraId="2C1EB739" w14:textId="77777777" w:rsidR="00D5571C" w:rsidRDefault="00D5571C" w:rsidP="002872B7">
      <w:pPr>
        <w:pStyle w:val="Paragraph"/>
      </w:pPr>
      <w:r>
        <w:t>The remainder of this document is organized in the following chapters:</w:t>
      </w:r>
    </w:p>
    <w:p w14:paraId="3167D788" w14:textId="26BFDE11" w:rsidR="00D5571C" w:rsidRDefault="00D5571C" w:rsidP="002872B7">
      <w:pPr>
        <w:pStyle w:val="ListParagraph"/>
      </w:pPr>
      <w:r>
        <w:rPr>
          <w:b/>
        </w:rPr>
        <w:t>Baseline and the proposed rule (Chapter 2):</w:t>
      </w:r>
      <w:r>
        <w:t xml:space="preserve"> Description and comparison of the baseline (what would occur in the absence of the proposed rule) and the proposed rule requirements.</w:t>
      </w:r>
    </w:p>
    <w:p w14:paraId="77C43D5E" w14:textId="5AE16F72" w:rsidR="00D5571C" w:rsidRDefault="00D5571C" w:rsidP="002872B7">
      <w:pPr>
        <w:pStyle w:val="ListParagraph"/>
      </w:pPr>
      <w:bookmarkStart w:id="24" w:name="_Hlk131147592"/>
      <w:r>
        <w:rPr>
          <w:b/>
        </w:rPr>
        <w:t>Likely costs of the proposed rule (Chapter 3):</w:t>
      </w:r>
      <w:r>
        <w:t xml:space="preserve"> Analysis of the types and sizes of costs we expect impacted entities to incur </w:t>
      </w:r>
      <w:r w:rsidDel="0025689E">
        <w:t xml:space="preserve">as a result </w:t>
      </w:r>
      <w:r>
        <w:t>of the proposed rule.</w:t>
      </w:r>
    </w:p>
    <w:bookmarkEnd w:id="24"/>
    <w:p w14:paraId="3E732B7F" w14:textId="06E2ACDB" w:rsidR="00D5571C" w:rsidRDefault="00D5571C" w:rsidP="002872B7">
      <w:pPr>
        <w:pStyle w:val="ListParagraph"/>
      </w:pPr>
      <w:r>
        <w:rPr>
          <w:b/>
        </w:rPr>
        <w:t>Likely benefits of the proposed rule (Chapter 4):</w:t>
      </w:r>
      <w:r>
        <w:t xml:space="preserve"> Analysis of the types and sizes of benefits we expect to result from the proposed rule.</w:t>
      </w:r>
    </w:p>
    <w:p w14:paraId="635873C9" w14:textId="77777777" w:rsidR="00D5571C" w:rsidRDefault="00D5571C" w:rsidP="002872B7">
      <w:pPr>
        <w:pStyle w:val="ListParagraph"/>
      </w:pPr>
      <w:r>
        <w:rPr>
          <w:b/>
        </w:rPr>
        <w:t>Cost-benefit comparison and conclusions (Chapter 5):</w:t>
      </w:r>
      <w:r>
        <w:t xml:space="preserve"> Discussion of the complete implications of the CBA.</w:t>
      </w:r>
    </w:p>
    <w:p w14:paraId="535EDF41" w14:textId="4FBDD9CA" w:rsidR="00D5571C" w:rsidRDefault="00D5571C" w:rsidP="002872B7">
      <w:pPr>
        <w:pStyle w:val="ListParagraph"/>
      </w:pPr>
      <w:r>
        <w:rPr>
          <w:b/>
        </w:rPr>
        <w:t>Least-Burdensome Alternative Analysis (Chapter 6):</w:t>
      </w:r>
      <w:r>
        <w:t xml:space="preserve"> Analysis of considered alternatives to the contents of the proposed rule.</w:t>
      </w:r>
    </w:p>
    <w:p w14:paraId="79A79667" w14:textId="77777777" w:rsidR="00D5571C" w:rsidRDefault="00D5571C" w:rsidP="002872B7">
      <w:pPr>
        <w:pStyle w:val="ListParagraph"/>
      </w:pPr>
      <w:r>
        <w:rPr>
          <w:b/>
        </w:rPr>
        <w:t>Regulatory Fairness Act Compliance (Chapter 7):</w:t>
      </w:r>
      <w:r>
        <w:t xml:space="preserve"> When applicable. Comparison of compliance costs for small and large businesses; mitigation; impact on jobs.</w:t>
      </w:r>
    </w:p>
    <w:p w14:paraId="2D41ECCC" w14:textId="77777777" w:rsidR="00087615" w:rsidRDefault="00D5571C" w:rsidP="002872B7">
      <w:pPr>
        <w:pStyle w:val="ListParagraph"/>
        <w:sectPr w:rsidR="00087615">
          <w:pgSz w:w="12240" w:h="15840"/>
          <w:pgMar w:top="1440" w:right="1440" w:bottom="1440" w:left="1440" w:header="720" w:footer="720" w:gutter="0"/>
          <w:cols w:space="720"/>
        </w:sectPr>
      </w:pPr>
      <w:r w:rsidRPr="00942507">
        <w:rPr>
          <w:b/>
        </w:rPr>
        <w:t>APA Determinations (Appendix A):</w:t>
      </w:r>
      <w:r>
        <w:t xml:space="preserve"> RCW 34.05.328 determinations no</w:t>
      </w:r>
      <w:r w:rsidR="00942507">
        <w:t>t discussed in chapters 5 and 6</w:t>
      </w:r>
      <w:r w:rsidR="00C03569">
        <w:t>.</w:t>
      </w:r>
    </w:p>
    <w:p w14:paraId="55261FDB" w14:textId="4683DDEC" w:rsidR="00087615" w:rsidRDefault="00087615" w:rsidP="008B4521">
      <w:pPr>
        <w:pStyle w:val="RMChaptertitle"/>
      </w:pPr>
      <w:bookmarkStart w:id="25" w:name="_Toc132187793"/>
      <w:r>
        <w:lastRenderedPageBreak/>
        <w:t xml:space="preserve">Chapter 2: Baseline </w:t>
      </w:r>
      <w:r w:rsidRPr="008B4521">
        <w:t>and</w:t>
      </w:r>
      <w:r>
        <w:t xml:space="preserve"> Proposed Rule</w:t>
      </w:r>
      <w:bookmarkEnd w:id="25"/>
      <w:r>
        <w:t xml:space="preserve"> </w:t>
      </w:r>
    </w:p>
    <w:p w14:paraId="32A0F4EB" w14:textId="77777777" w:rsidR="00087615" w:rsidRPr="008B4521" w:rsidRDefault="00087615" w:rsidP="00257276">
      <w:pPr>
        <w:pStyle w:val="RMHeading3"/>
      </w:pPr>
      <w:r w:rsidRPr="008B4521">
        <w:t>2.1 Introduction</w:t>
      </w:r>
    </w:p>
    <w:p w14:paraId="63E0A579" w14:textId="74099366" w:rsidR="00087615" w:rsidRDefault="00087615" w:rsidP="003B1C00">
      <w:pPr>
        <w:pStyle w:val="Paragraph"/>
      </w:pPr>
      <w:r>
        <w:t xml:space="preserve">We analyzed the impacts of the proposed rule, within the context of all existing requirements (federal and state laws and rules). This context for comparison is called the baseline and reflects the most likely regulatory circumstances that entities would face if </w:t>
      </w:r>
      <w:r w:rsidR="009E1B58">
        <w:t xml:space="preserve">Ecology did not adopt </w:t>
      </w:r>
      <w:r>
        <w:t>the proposed rule. It is discussed in Section 2.2, below.</w:t>
      </w:r>
    </w:p>
    <w:p w14:paraId="3C390573" w14:textId="77777777" w:rsidR="00087615" w:rsidRDefault="00087615" w:rsidP="00257276">
      <w:pPr>
        <w:pStyle w:val="RMHeading3"/>
      </w:pPr>
      <w:r>
        <w:t>2.2 Baseline</w:t>
      </w:r>
    </w:p>
    <w:p w14:paraId="7292D53B" w14:textId="5DC0FD4F" w:rsidR="00087615" w:rsidRDefault="00087615" w:rsidP="003B1C00">
      <w:pPr>
        <w:pStyle w:val="Paragraph"/>
      </w:pPr>
      <w:r>
        <w:t>The baseline for our analyses generally consists of existing rules and laws, and their requirements. This is what allows us to make a consistent comparison between the state of the world with and without the proposed rule.</w:t>
      </w:r>
    </w:p>
    <w:p w14:paraId="060B2B14" w14:textId="77777777" w:rsidR="00087615" w:rsidRDefault="00087615" w:rsidP="003B1C00">
      <w:pPr>
        <w:pStyle w:val="Paragraph"/>
      </w:pPr>
      <w:r>
        <w:t>For this rulemaking, the baseline includes:</w:t>
      </w:r>
    </w:p>
    <w:p w14:paraId="75804E71" w14:textId="27E0C366" w:rsidR="00087615" w:rsidRDefault="006E5B39" w:rsidP="002872B7">
      <w:pPr>
        <w:pStyle w:val="ListParagraph"/>
        <w:rPr>
          <w:rFonts w:eastAsia="Times New Roman"/>
        </w:rPr>
      </w:pPr>
      <w:r w:rsidRPr="00600796">
        <w:rPr>
          <w:rFonts w:eastAsia="Times New Roman"/>
        </w:rPr>
        <w:t>RCW </w:t>
      </w:r>
      <w:hyperlink r:id="rId22" w:history="1">
        <w:r w:rsidRPr="00600796">
          <w:rPr>
            <w:rFonts w:eastAsia="Times New Roman"/>
          </w:rPr>
          <w:t>70A.245.010</w:t>
        </w:r>
      </w:hyperlink>
      <w:r w:rsidRPr="00600796">
        <w:rPr>
          <w:rFonts w:eastAsia="Times New Roman"/>
        </w:rPr>
        <w:t xml:space="preserve"> – Definitions</w:t>
      </w:r>
      <w:r w:rsidRPr="00600796" w:rsidDel="006E5B39">
        <w:rPr>
          <w:rFonts w:eastAsia="Times New Roman"/>
        </w:rPr>
        <w:t xml:space="preserve"> </w:t>
      </w:r>
    </w:p>
    <w:p w14:paraId="46E09784" w14:textId="1CEEBA19" w:rsidR="006E5B39" w:rsidRPr="00600796" w:rsidRDefault="006E5B39" w:rsidP="002872B7">
      <w:pPr>
        <w:pStyle w:val="ListParagraph"/>
        <w:rPr>
          <w:rFonts w:eastAsia="Times New Roman"/>
        </w:rPr>
      </w:pPr>
      <w:r w:rsidRPr="00600796">
        <w:rPr>
          <w:rFonts w:eastAsia="Times New Roman"/>
        </w:rPr>
        <w:t>RCW </w:t>
      </w:r>
      <w:hyperlink r:id="rId23" w:history="1">
        <w:r w:rsidRPr="00600796">
          <w:rPr>
            <w:rFonts w:eastAsia="Times New Roman"/>
          </w:rPr>
          <w:t>70A.245.020</w:t>
        </w:r>
      </w:hyperlink>
      <w:r w:rsidRPr="00600796">
        <w:rPr>
          <w:rFonts w:eastAsia="Times New Roman"/>
        </w:rPr>
        <w:t xml:space="preserve"> – Postconsumer recycled content</w:t>
      </w:r>
    </w:p>
    <w:p w14:paraId="0D660A7B" w14:textId="1C0F9C0F" w:rsidR="006E5B39" w:rsidRPr="00600796" w:rsidRDefault="006E5B39" w:rsidP="002872B7">
      <w:pPr>
        <w:pStyle w:val="ListParagraph"/>
        <w:rPr>
          <w:rFonts w:eastAsia="Times New Roman"/>
        </w:rPr>
      </w:pPr>
      <w:r w:rsidRPr="00600796">
        <w:rPr>
          <w:rFonts w:eastAsia="Times New Roman"/>
        </w:rPr>
        <w:t>RCW </w:t>
      </w:r>
      <w:hyperlink r:id="rId24" w:history="1">
        <w:r w:rsidRPr="00600796">
          <w:rPr>
            <w:rFonts w:eastAsia="Times New Roman"/>
          </w:rPr>
          <w:t>70A.245.030</w:t>
        </w:r>
      </w:hyperlink>
      <w:r w:rsidRPr="00600796">
        <w:rPr>
          <w:rFonts w:eastAsia="Times New Roman"/>
        </w:rPr>
        <w:t xml:space="preserve"> – Producer reporting requirements</w:t>
      </w:r>
    </w:p>
    <w:p w14:paraId="1DE2AE96" w14:textId="42639673" w:rsidR="006E5B39" w:rsidRPr="00600796" w:rsidRDefault="006E5B39" w:rsidP="002872B7">
      <w:pPr>
        <w:pStyle w:val="ListParagraph"/>
        <w:rPr>
          <w:rFonts w:eastAsia="Times New Roman"/>
        </w:rPr>
      </w:pPr>
      <w:r w:rsidRPr="00600796">
        <w:rPr>
          <w:rFonts w:eastAsia="Times New Roman"/>
        </w:rPr>
        <w:t>RCW </w:t>
      </w:r>
      <w:hyperlink r:id="rId25" w:history="1">
        <w:r w:rsidRPr="00600796">
          <w:rPr>
            <w:rFonts w:eastAsia="Times New Roman"/>
          </w:rPr>
          <w:t>70A.245.040</w:t>
        </w:r>
      </w:hyperlink>
      <w:r w:rsidRPr="00600796">
        <w:rPr>
          <w:rFonts w:eastAsia="Times New Roman"/>
        </w:rPr>
        <w:t xml:space="preserve"> – Penalties for postconsumer recycled content requirements—Penalty</w:t>
      </w:r>
    </w:p>
    <w:p w14:paraId="018FA0BC" w14:textId="4A45B314" w:rsidR="006E5B39" w:rsidRPr="00600796" w:rsidRDefault="006E5B39" w:rsidP="002872B7">
      <w:pPr>
        <w:pStyle w:val="ListParagraph"/>
        <w:rPr>
          <w:rFonts w:eastAsia="Times New Roman"/>
        </w:rPr>
      </w:pPr>
      <w:r w:rsidRPr="00600796">
        <w:rPr>
          <w:rFonts w:eastAsia="Times New Roman"/>
        </w:rPr>
        <w:t>RCW </w:t>
      </w:r>
      <w:hyperlink r:id="rId26" w:history="1">
        <w:r w:rsidRPr="00600796">
          <w:rPr>
            <w:rFonts w:eastAsia="Times New Roman"/>
          </w:rPr>
          <w:t>70A.245.050</w:t>
        </w:r>
      </w:hyperlink>
      <w:r w:rsidRPr="00600796">
        <w:rPr>
          <w:rFonts w:eastAsia="Times New Roman"/>
        </w:rPr>
        <w:t xml:space="preserve"> – Penalties for registration, labeling, and reporting</w:t>
      </w:r>
    </w:p>
    <w:p w14:paraId="2962255C" w14:textId="760EE608" w:rsidR="006E5B39" w:rsidRPr="00600796" w:rsidRDefault="006E5B39" w:rsidP="002872B7">
      <w:pPr>
        <w:pStyle w:val="ListParagraph"/>
        <w:rPr>
          <w:rFonts w:eastAsia="Times New Roman"/>
        </w:rPr>
      </w:pPr>
      <w:r w:rsidRPr="00600796">
        <w:rPr>
          <w:rFonts w:eastAsia="Times New Roman"/>
        </w:rPr>
        <w:t>RCW </w:t>
      </w:r>
      <w:hyperlink r:id="rId27" w:history="1">
        <w:r w:rsidRPr="00600796">
          <w:rPr>
            <w:rFonts w:eastAsia="Times New Roman"/>
          </w:rPr>
          <w:t>70A.245.090</w:t>
        </w:r>
      </w:hyperlink>
      <w:r w:rsidRPr="00600796">
        <w:rPr>
          <w:rFonts w:eastAsia="Times New Roman"/>
        </w:rPr>
        <w:t xml:space="preserve"> – Department duties—Rulemaking</w:t>
      </w:r>
    </w:p>
    <w:p w14:paraId="564E3D62" w14:textId="4FC2A3CE" w:rsidR="00087615" w:rsidRDefault="00087615" w:rsidP="00257276">
      <w:pPr>
        <w:pStyle w:val="RMHeading3"/>
      </w:pPr>
      <w:r>
        <w:t xml:space="preserve">2.3 Proposed rule </w:t>
      </w:r>
    </w:p>
    <w:p w14:paraId="1AD5F52D" w14:textId="77777777" w:rsidR="00C31690" w:rsidRDefault="00C31690" w:rsidP="00C31690">
      <w:pPr>
        <w:pStyle w:val="Paragraph"/>
      </w:pPr>
      <w:r w:rsidRPr="003F76E1">
        <w:t xml:space="preserve">The proposed rule </w:t>
      </w:r>
      <w:r>
        <w:t xml:space="preserve">would </w:t>
      </w:r>
      <w:r w:rsidRPr="003F76E1">
        <w:t xml:space="preserve">establish the processes </w:t>
      </w:r>
      <w:r>
        <w:t xml:space="preserve">Ecology and producers of covered products would follow to ensure </w:t>
      </w:r>
      <w:r w:rsidRPr="003F76E1">
        <w:t>compliance</w:t>
      </w:r>
      <w:r>
        <w:t xml:space="preserve"> with the law</w:t>
      </w:r>
      <w:r w:rsidRPr="003F76E1">
        <w:t xml:space="preserve">, </w:t>
      </w:r>
      <w:r>
        <w:t>including calculation of</w:t>
      </w:r>
      <w:r w:rsidRPr="003F76E1">
        <w:t xml:space="preserve"> annual fees. </w:t>
      </w:r>
      <w:r>
        <w:t>The proposed rule would specifically:</w:t>
      </w:r>
    </w:p>
    <w:p w14:paraId="1D2B8EB3" w14:textId="77777777" w:rsidR="00C31690" w:rsidRPr="00600796" w:rsidRDefault="00C31690" w:rsidP="00C31690">
      <w:pPr>
        <w:pStyle w:val="ListParagraph"/>
        <w:numPr>
          <w:ilvl w:val="0"/>
          <w:numId w:val="7"/>
        </w:numPr>
        <w:spacing w:after="160" w:line="252" w:lineRule="auto"/>
        <w:contextualSpacing/>
        <w:rPr>
          <w:rFonts w:eastAsia="Times New Roman"/>
          <w:sz w:val="22"/>
        </w:rPr>
      </w:pPr>
      <w:r w:rsidRPr="00600796">
        <w:rPr>
          <w:rFonts w:eastAsia="Times New Roman"/>
        </w:rPr>
        <w:t xml:space="preserve">Add or clarify definitions needed </w:t>
      </w:r>
      <w:r>
        <w:rPr>
          <w:rFonts w:eastAsia="Times New Roman"/>
        </w:rPr>
        <w:t>to comply with</w:t>
      </w:r>
      <w:r w:rsidRPr="00600796">
        <w:rPr>
          <w:rFonts w:eastAsia="Times New Roman"/>
        </w:rPr>
        <w:t xml:space="preserve"> the </w:t>
      </w:r>
      <w:r>
        <w:rPr>
          <w:rFonts w:eastAsia="Times New Roman"/>
        </w:rPr>
        <w:t>law</w:t>
      </w:r>
      <w:r w:rsidRPr="00600796">
        <w:rPr>
          <w:rFonts w:eastAsia="Times New Roman"/>
        </w:rPr>
        <w:t>.</w:t>
      </w:r>
    </w:p>
    <w:p w14:paraId="2B0E2A37" w14:textId="77777777" w:rsidR="00C31690" w:rsidRPr="00600796" w:rsidRDefault="00C31690" w:rsidP="00C31690">
      <w:pPr>
        <w:pStyle w:val="ListParagraph"/>
        <w:numPr>
          <w:ilvl w:val="0"/>
          <w:numId w:val="7"/>
        </w:numPr>
        <w:spacing w:after="160" w:line="252" w:lineRule="auto"/>
        <w:contextualSpacing/>
        <w:rPr>
          <w:rFonts w:eastAsia="Times New Roman"/>
        </w:rPr>
      </w:pPr>
      <w:r w:rsidRPr="00600796">
        <w:rPr>
          <w:rFonts w:eastAsia="Times New Roman"/>
        </w:rPr>
        <w:t>Set requirements for registration and reporting.</w:t>
      </w:r>
    </w:p>
    <w:p w14:paraId="59765ADE" w14:textId="77777777" w:rsidR="00C31690" w:rsidRDefault="00C31690" w:rsidP="00C31690">
      <w:pPr>
        <w:pStyle w:val="ListParagraph"/>
        <w:numPr>
          <w:ilvl w:val="0"/>
          <w:numId w:val="7"/>
        </w:numPr>
        <w:spacing w:after="160" w:line="252" w:lineRule="auto"/>
        <w:contextualSpacing/>
        <w:rPr>
          <w:rFonts w:eastAsia="Times New Roman"/>
        </w:rPr>
      </w:pPr>
      <w:r w:rsidRPr="00600796">
        <w:rPr>
          <w:rFonts w:eastAsia="Times New Roman"/>
        </w:rPr>
        <w:t xml:space="preserve">Establish </w:t>
      </w:r>
      <w:r>
        <w:rPr>
          <w:rFonts w:eastAsia="Times New Roman"/>
        </w:rPr>
        <w:t xml:space="preserve">a process to ensure </w:t>
      </w:r>
      <w:r w:rsidRPr="00600796">
        <w:rPr>
          <w:rFonts w:eastAsia="Times New Roman"/>
        </w:rPr>
        <w:t xml:space="preserve">fee allocation methods </w:t>
      </w:r>
      <w:r>
        <w:rPr>
          <w:rFonts w:eastAsia="Times New Roman"/>
        </w:rPr>
        <w:t>are equitable.</w:t>
      </w:r>
    </w:p>
    <w:p w14:paraId="2C88DD27" w14:textId="77777777" w:rsidR="00C31690" w:rsidRPr="00600796" w:rsidRDefault="00C31690" w:rsidP="00C31690">
      <w:pPr>
        <w:pStyle w:val="ListParagraph"/>
        <w:numPr>
          <w:ilvl w:val="0"/>
          <w:numId w:val="7"/>
        </w:numPr>
        <w:spacing w:after="160" w:line="252" w:lineRule="auto"/>
        <w:contextualSpacing/>
        <w:rPr>
          <w:rFonts w:eastAsia="Times New Roman"/>
        </w:rPr>
      </w:pPr>
      <w:r>
        <w:rPr>
          <w:rFonts w:eastAsia="Times New Roman"/>
        </w:rPr>
        <w:t xml:space="preserve">Establish the annual producer fee </w:t>
      </w:r>
      <w:r w:rsidRPr="00600796">
        <w:rPr>
          <w:rFonts w:eastAsia="Times New Roman"/>
        </w:rPr>
        <w:t>billing proc</w:t>
      </w:r>
      <w:r>
        <w:rPr>
          <w:rFonts w:eastAsia="Times New Roman"/>
        </w:rPr>
        <w:t>ess</w:t>
      </w:r>
      <w:r w:rsidRPr="00600796">
        <w:rPr>
          <w:rFonts w:eastAsia="Times New Roman"/>
        </w:rPr>
        <w:t>.</w:t>
      </w:r>
    </w:p>
    <w:p w14:paraId="1998E73B" w14:textId="77777777" w:rsidR="00C31690" w:rsidRPr="00600796" w:rsidRDefault="00C31690" w:rsidP="00C31690">
      <w:pPr>
        <w:pStyle w:val="ListParagraph"/>
        <w:numPr>
          <w:ilvl w:val="0"/>
          <w:numId w:val="7"/>
        </w:numPr>
        <w:spacing w:after="160" w:line="252" w:lineRule="auto"/>
        <w:contextualSpacing/>
        <w:rPr>
          <w:rFonts w:eastAsia="Times New Roman"/>
        </w:rPr>
      </w:pPr>
      <w:r>
        <w:rPr>
          <w:rFonts w:eastAsia="Times New Roman"/>
        </w:rPr>
        <w:t>Clarify</w:t>
      </w:r>
      <w:r w:rsidRPr="00600796">
        <w:rPr>
          <w:rFonts w:eastAsia="Times New Roman"/>
        </w:rPr>
        <w:t xml:space="preserve"> requirements for PCRC weight calculations.</w:t>
      </w:r>
    </w:p>
    <w:p w14:paraId="19EB6F8B" w14:textId="77777777" w:rsidR="00C31690" w:rsidRPr="00600796" w:rsidRDefault="00C31690" w:rsidP="00C31690">
      <w:pPr>
        <w:pStyle w:val="ListParagraph"/>
        <w:numPr>
          <w:ilvl w:val="0"/>
          <w:numId w:val="7"/>
        </w:numPr>
        <w:spacing w:after="160" w:line="252" w:lineRule="auto"/>
        <w:contextualSpacing/>
        <w:rPr>
          <w:rFonts w:eastAsia="Times New Roman"/>
        </w:rPr>
      </w:pPr>
      <w:r>
        <w:rPr>
          <w:rFonts w:eastAsia="Times New Roman"/>
        </w:rPr>
        <w:t>Clarify</w:t>
      </w:r>
      <w:r w:rsidRPr="00600796">
        <w:rPr>
          <w:rFonts w:eastAsia="Times New Roman"/>
        </w:rPr>
        <w:t xml:space="preserve"> requirements for temporary exclusion requests.</w:t>
      </w:r>
    </w:p>
    <w:p w14:paraId="7822E84E" w14:textId="77777777" w:rsidR="00C31690" w:rsidRDefault="00C31690" w:rsidP="00C31690">
      <w:pPr>
        <w:pStyle w:val="ListParagraph"/>
        <w:numPr>
          <w:ilvl w:val="0"/>
          <w:numId w:val="7"/>
        </w:numPr>
        <w:spacing w:after="160" w:line="252" w:lineRule="auto"/>
        <w:contextualSpacing/>
        <w:rPr>
          <w:rFonts w:eastAsia="Times New Roman"/>
        </w:rPr>
      </w:pPr>
      <w:r w:rsidRPr="00EA2055">
        <w:rPr>
          <w:rFonts w:eastAsia="Times New Roman"/>
        </w:rPr>
        <w:t>Limit timing for providing necessary audit documentation.</w:t>
      </w:r>
    </w:p>
    <w:p w14:paraId="180D3B22" w14:textId="6E36FD1B" w:rsidR="00087615" w:rsidRPr="00600796" w:rsidRDefault="00C31690" w:rsidP="00C31690">
      <w:pPr>
        <w:pStyle w:val="ListParagraph"/>
        <w:numPr>
          <w:ilvl w:val="0"/>
          <w:numId w:val="7"/>
        </w:numPr>
        <w:spacing w:after="160" w:line="252" w:lineRule="auto"/>
        <w:contextualSpacing/>
        <w:rPr>
          <w:rFonts w:eastAsia="Times New Roman"/>
        </w:rPr>
      </w:pPr>
      <w:r>
        <w:rPr>
          <w:rFonts w:eastAsia="Times New Roman"/>
        </w:rPr>
        <w:t xml:space="preserve">Detail the process </w:t>
      </w:r>
      <w:r w:rsidRPr="00600796">
        <w:rPr>
          <w:rFonts w:eastAsia="Times New Roman"/>
        </w:rPr>
        <w:t>for warnings and penalties for noncompliance.</w:t>
      </w:r>
    </w:p>
    <w:p w14:paraId="4EA24C5C" w14:textId="1C52C769" w:rsidR="00087615" w:rsidRDefault="00087615" w:rsidP="00257276">
      <w:pPr>
        <w:pStyle w:val="RMSectionXXX"/>
      </w:pPr>
      <w:bookmarkStart w:id="26" w:name="_Toc132187794"/>
      <w:r w:rsidRPr="00600796">
        <w:t xml:space="preserve">2.3.1 </w:t>
      </w:r>
      <w:r w:rsidR="001F57E6" w:rsidRPr="00600796">
        <w:t>Add</w:t>
      </w:r>
      <w:r w:rsidR="00F03CD4">
        <w:t>ing</w:t>
      </w:r>
      <w:r w:rsidR="001F57E6" w:rsidRPr="00600796">
        <w:t xml:space="preserve"> </w:t>
      </w:r>
      <w:r w:rsidR="00117F6A" w:rsidRPr="00600796">
        <w:t>or Clarify</w:t>
      </w:r>
      <w:r w:rsidR="00F03CD4">
        <w:t>ing</w:t>
      </w:r>
      <w:r w:rsidR="00117F6A" w:rsidRPr="00600796">
        <w:t xml:space="preserve"> Definitions Necessary for Implementation of the Rule</w:t>
      </w:r>
      <w:bookmarkEnd w:id="26"/>
    </w:p>
    <w:p w14:paraId="43584A6D" w14:textId="77777777" w:rsidR="00087615" w:rsidRPr="00257276" w:rsidRDefault="00087615" w:rsidP="00600796">
      <w:pPr>
        <w:rPr>
          <w:rFonts w:ascii="Arial" w:hAnsi="Arial" w:cs="Arial"/>
          <w:b/>
          <w:sz w:val="22"/>
        </w:rPr>
      </w:pPr>
      <w:r w:rsidRPr="00257276">
        <w:rPr>
          <w:rFonts w:ascii="Arial" w:hAnsi="Arial" w:cs="Arial"/>
          <w:b/>
          <w:sz w:val="22"/>
        </w:rPr>
        <w:t>Baseline</w:t>
      </w:r>
    </w:p>
    <w:p w14:paraId="2D2C0BBE" w14:textId="36F1E0E1" w:rsidR="00087615" w:rsidRDefault="00B03295" w:rsidP="003B1C00">
      <w:pPr>
        <w:pStyle w:val="Paragraph"/>
      </w:pPr>
      <w:r>
        <w:rPr>
          <w:sz w:val="23"/>
          <w:szCs w:val="23"/>
        </w:rPr>
        <w:lastRenderedPageBreak/>
        <w:t>The baseline</w:t>
      </w:r>
      <w:r w:rsidR="008F3065">
        <w:rPr>
          <w:sz w:val="23"/>
          <w:szCs w:val="23"/>
        </w:rPr>
        <w:t xml:space="preserve"> RCW</w:t>
      </w:r>
      <w:r>
        <w:rPr>
          <w:sz w:val="23"/>
          <w:szCs w:val="23"/>
        </w:rPr>
        <w:t xml:space="preserve"> </w:t>
      </w:r>
      <w:r w:rsidR="00282F3A">
        <w:rPr>
          <w:sz w:val="23"/>
          <w:szCs w:val="23"/>
        </w:rPr>
        <w:t>70A.245</w:t>
      </w:r>
      <w:r w:rsidR="00DF1201">
        <w:rPr>
          <w:sz w:val="23"/>
          <w:szCs w:val="23"/>
        </w:rPr>
        <w:t>.010</w:t>
      </w:r>
      <w:r w:rsidR="00282F3A">
        <w:rPr>
          <w:sz w:val="23"/>
          <w:szCs w:val="23"/>
        </w:rPr>
        <w:t xml:space="preserve"> includes definitions </w:t>
      </w:r>
      <w:r w:rsidR="00F831AD">
        <w:rPr>
          <w:sz w:val="23"/>
          <w:szCs w:val="23"/>
        </w:rPr>
        <w:t>of associated technical terms needed to implement the authorizing law</w:t>
      </w:r>
      <w:r w:rsidR="00282F3A">
        <w:rPr>
          <w:sz w:val="23"/>
          <w:szCs w:val="23"/>
        </w:rPr>
        <w:t xml:space="preserve">. </w:t>
      </w:r>
    </w:p>
    <w:p w14:paraId="0DCB5131" w14:textId="432EC6C6" w:rsidR="00087615" w:rsidRDefault="00087615" w:rsidP="00600796">
      <w:pPr>
        <w:rPr>
          <w:rFonts w:ascii="Arial" w:hAnsi="Arial" w:cs="Arial"/>
          <w:b/>
          <w:sz w:val="22"/>
        </w:rPr>
      </w:pPr>
      <w:r w:rsidRPr="00257276">
        <w:rPr>
          <w:rFonts w:ascii="Arial" w:hAnsi="Arial" w:cs="Arial"/>
          <w:b/>
          <w:sz w:val="22"/>
        </w:rPr>
        <w:t>Proposed</w:t>
      </w:r>
    </w:p>
    <w:p w14:paraId="748C7FAE" w14:textId="6C9581A1" w:rsidR="00B03295" w:rsidRDefault="00B03295" w:rsidP="00B03295">
      <w:pPr>
        <w:pStyle w:val="Paragraph"/>
      </w:pPr>
      <w:r>
        <w:t xml:space="preserve">The proposed rule would add definitions needed to implement proposed rule, or to </w:t>
      </w:r>
      <w:r w:rsidR="001B24CF">
        <w:t>clarify authorizing</w:t>
      </w:r>
      <w:r w:rsidR="00F054EB">
        <w:t xml:space="preserve"> law</w:t>
      </w:r>
      <w:r>
        <w:t>, including:</w:t>
      </w:r>
    </w:p>
    <w:p w14:paraId="05EF164C" w14:textId="77777777" w:rsidR="00681475" w:rsidRPr="00600796" w:rsidRDefault="00681475" w:rsidP="00C66391">
      <w:pPr>
        <w:pStyle w:val="ListParagraph"/>
        <w:numPr>
          <w:ilvl w:val="0"/>
          <w:numId w:val="7"/>
        </w:numPr>
        <w:spacing w:after="160" w:line="252" w:lineRule="auto"/>
        <w:contextualSpacing/>
        <w:rPr>
          <w:rFonts w:eastAsia="Times New Roman"/>
        </w:rPr>
      </w:pPr>
      <w:r w:rsidRPr="00600796">
        <w:rPr>
          <w:rFonts w:eastAsia="Times New Roman"/>
        </w:rPr>
        <w:t>Brand</w:t>
      </w:r>
    </w:p>
    <w:p w14:paraId="4037049A" w14:textId="77777777" w:rsidR="00681475" w:rsidRPr="00600796" w:rsidRDefault="00681475" w:rsidP="00C66391">
      <w:pPr>
        <w:pStyle w:val="ListParagraph"/>
        <w:numPr>
          <w:ilvl w:val="0"/>
          <w:numId w:val="7"/>
        </w:numPr>
        <w:spacing w:after="160" w:line="252" w:lineRule="auto"/>
        <w:contextualSpacing/>
        <w:rPr>
          <w:rFonts w:eastAsia="Times New Roman"/>
        </w:rPr>
      </w:pPr>
      <w:r w:rsidRPr="00600796">
        <w:rPr>
          <w:rFonts w:eastAsia="Times New Roman"/>
        </w:rPr>
        <w:t>Dietary supplement</w:t>
      </w:r>
    </w:p>
    <w:p w14:paraId="19B85B1E" w14:textId="77777777" w:rsidR="00681475" w:rsidRPr="00600796" w:rsidRDefault="00681475" w:rsidP="00C66391">
      <w:pPr>
        <w:pStyle w:val="ListParagraph"/>
        <w:numPr>
          <w:ilvl w:val="0"/>
          <w:numId w:val="7"/>
        </w:numPr>
        <w:spacing w:after="160" w:line="252" w:lineRule="auto"/>
        <w:contextualSpacing/>
        <w:rPr>
          <w:rFonts w:eastAsia="Times New Roman"/>
        </w:rPr>
      </w:pPr>
      <w:r w:rsidRPr="00600796">
        <w:rPr>
          <w:rFonts w:eastAsia="Times New Roman"/>
        </w:rPr>
        <w:t>Entity</w:t>
      </w:r>
    </w:p>
    <w:p w14:paraId="508C5933" w14:textId="77777777" w:rsidR="00681475" w:rsidRPr="00600796" w:rsidRDefault="00681475" w:rsidP="00C66391">
      <w:pPr>
        <w:pStyle w:val="ListParagraph"/>
        <w:numPr>
          <w:ilvl w:val="0"/>
          <w:numId w:val="7"/>
        </w:numPr>
        <w:spacing w:after="160" w:line="252" w:lineRule="auto"/>
        <w:contextualSpacing/>
        <w:rPr>
          <w:rFonts w:eastAsia="Times New Roman"/>
        </w:rPr>
      </w:pPr>
      <w:r w:rsidRPr="00600796">
        <w:rPr>
          <w:rFonts w:eastAsia="Times New Roman"/>
        </w:rPr>
        <w:t>PCRC products</w:t>
      </w:r>
    </w:p>
    <w:p w14:paraId="3346E86C" w14:textId="77777777" w:rsidR="00681475" w:rsidRPr="00600796" w:rsidRDefault="00681475" w:rsidP="00C66391">
      <w:pPr>
        <w:pStyle w:val="ListParagraph"/>
        <w:numPr>
          <w:ilvl w:val="0"/>
          <w:numId w:val="7"/>
        </w:numPr>
        <w:spacing w:after="160" w:line="252" w:lineRule="auto"/>
        <w:contextualSpacing/>
        <w:rPr>
          <w:rFonts w:eastAsia="Times New Roman"/>
        </w:rPr>
      </w:pPr>
      <w:r w:rsidRPr="00600796">
        <w:rPr>
          <w:rFonts w:eastAsia="Times New Roman"/>
        </w:rPr>
        <w:t>Resin</w:t>
      </w:r>
    </w:p>
    <w:p w14:paraId="424F4A7B" w14:textId="3C53EFF3" w:rsidR="00681475" w:rsidRPr="00600796" w:rsidRDefault="00681475" w:rsidP="00C66391">
      <w:pPr>
        <w:pStyle w:val="ListParagraph"/>
        <w:numPr>
          <w:ilvl w:val="0"/>
          <w:numId w:val="7"/>
        </w:numPr>
        <w:spacing w:after="160" w:line="252" w:lineRule="auto"/>
        <w:contextualSpacing/>
        <w:rPr>
          <w:rFonts w:eastAsia="Times New Roman"/>
        </w:rPr>
      </w:pPr>
      <w:r w:rsidRPr="00600796">
        <w:rPr>
          <w:rFonts w:eastAsia="Times New Roman"/>
        </w:rPr>
        <w:t>Third party rep</w:t>
      </w:r>
      <w:r w:rsidR="000746A1">
        <w:rPr>
          <w:rFonts w:eastAsia="Times New Roman"/>
        </w:rPr>
        <w:t>resentative</w:t>
      </w:r>
    </w:p>
    <w:p w14:paraId="76E922F4" w14:textId="77777777" w:rsidR="00681475" w:rsidRPr="00600796" w:rsidRDefault="00681475" w:rsidP="00C66391">
      <w:pPr>
        <w:pStyle w:val="ListParagraph"/>
        <w:numPr>
          <w:ilvl w:val="0"/>
          <w:numId w:val="7"/>
        </w:numPr>
        <w:spacing w:after="160" w:line="252" w:lineRule="auto"/>
        <w:contextualSpacing/>
        <w:rPr>
          <w:rFonts w:eastAsia="Times New Roman"/>
        </w:rPr>
      </w:pPr>
      <w:r w:rsidRPr="00600796">
        <w:rPr>
          <w:rFonts w:eastAsia="Times New Roman"/>
        </w:rPr>
        <w:t>Ton</w:t>
      </w:r>
    </w:p>
    <w:p w14:paraId="68EED569" w14:textId="158436A4" w:rsidR="00681475" w:rsidRPr="00600796" w:rsidRDefault="00681475" w:rsidP="00C66391">
      <w:pPr>
        <w:pStyle w:val="ListParagraph"/>
        <w:numPr>
          <w:ilvl w:val="0"/>
          <w:numId w:val="7"/>
        </w:numPr>
        <w:spacing w:after="160" w:line="252" w:lineRule="auto"/>
        <w:contextualSpacing/>
        <w:rPr>
          <w:rFonts w:eastAsia="Times New Roman"/>
        </w:rPr>
      </w:pPr>
      <w:r w:rsidRPr="00600796">
        <w:rPr>
          <w:rFonts w:eastAsia="Times New Roman"/>
        </w:rPr>
        <w:t>Workload analysis</w:t>
      </w:r>
    </w:p>
    <w:p w14:paraId="70AAE3AA" w14:textId="6DD2A74D" w:rsidR="0097794C" w:rsidRDefault="004A2A54" w:rsidP="002872B7">
      <w:pPr>
        <w:pStyle w:val="Paragraph"/>
      </w:pPr>
      <w:r>
        <w:t>The proposed rule would also clarify or specify definitions for:</w:t>
      </w:r>
    </w:p>
    <w:p w14:paraId="45692032" w14:textId="28D20CB9" w:rsidR="004A2A54" w:rsidRDefault="004A2A54" w:rsidP="002872B7">
      <w:pPr>
        <w:pStyle w:val="ListParagraph"/>
      </w:pPr>
      <w:r>
        <w:t xml:space="preserve">Producer: To reflect that brand owners </w:t>
      </w:r>
      <w:r w:rsidR="00D16BED">
        <w:t>are producers, even if their products are manufactured by another entity.</w:t>
      </w:r>
    </w:p>
    <w:p w14:paraId="1D3EE77C" w14:textId="05EC19CC" w:rsidR="00D16BED" w:rsidRPr="00D16BED" w:rsidRDefault="00D16BED" w:rsidP="002872B7">
      <w:pPr>
        <w:pStyle w:val="ListParagraph"/>
      </w:pPr>
      <w:r>
        <w:t xml:space="preserve">Household cleaning product: To clarify what is meant by “household” by including, </w:t>
      </w:r>
      <w:r w:rsidRPr="00D16BED">
        <w:t>“</w:t>
      </w:r>
      <w:r w:rsidRPr="00D16BED">
        <w:rPr>
          <w:rFonts w:cstheme="minorBidi"/>
        </w:rPr>
        <w:t xml:space="preserve">products </w:t>
      </w:r>
      <w:r w:rsidRPr="00D16BED">
        <w:rPr>
          <w:rFonts w:ascii="Calibri" w:hAnsi="Calibri" w:cs="Calibri"/>
        </w:rPr>
        <w:t>labeled, marketed, or otherwise indicating that the purpose of the product is to clean, freshen, or remove unwanted substances, such as dirt, stains, and other impurities from possessions, objects, surfaces, interior or exterior structures, textiles, and environments associated with a household.”</w:t>
      </w:r>
    </w:p>
    <w:p w14:paraId="4A514361" w14:textId="185E31D8" w:rsidR="00087615" w:rsidRDefault="00087615" w:rsidP="00600796">
      <w:pPr>
        <w:rPr>
          <w:rFonts w:ascii="Arial" w:hAnsi="Arial" w:cs="Arial"/>
          <w:b/>
          <w:sz w:val="22"/>
        </w:rPr>
      </w:pPr>
      <w:bookmarkStart w:id="27" w:name="_Hlk131146752"/>
      <w:r w:rsidRPr="00257276">
        <w:rPr>
          <w:rFonts w:ascii="Arial" w:hAnsi="Arial" w:cs="Arial"/>
          <w:b/>
          <w:sz w:val="22"/>
        </w:rPr>
        <w:t>Expected impact</w:t>
      </w:r>
    </w:p>
    <w:p w14:paraId="73F9DDD1" w14:textId="1F0A8A48" w:rsidR="001A7DF4" w:rsidRDefault="00F054EB" w:rsidP="003B1C00">
      <w:pPr>
        <w:pStyle w:val="Paragraph"/>
      </w:pPr>
      <w:r>
        <w:t>We don’t expect the proposed definition</w:t>
      </w:r>
      <w:r w:rsidR="00600796">
        <w:t>s</w:t>
      </w:r>
      <w:r>
        <w:t xml:space="preserve"> to result in significant impact</w:t>
      </w:r>
      <w:r w:rsidR="00600796">
        <w:t>s</w:t>
      </w:r>
      <w:r w:rsidR="001A7DF4">
        <w:t xml:space="preserve"> in</w:t>
      </w:r>
      <w:r w:rsidR="007900E1">
        <w:t xml:space="preserve"> the </w:t>
      </w:r>
      <w:r w:rsidR="001A7DF4">
        <w:t>aggregate</w:t>
      </w:r>
      <w:r w:rsidR="007F3ED4">
        <w:t>. T</w:t>
      </w:r>
      <w:r w:rsidR="007900E1">
        <w:t xml:space="preserve">he proposed </w:t>
      </w:r>
      <w:r w:rsidR="00600796">
        <w:t xml:space="preserve">definition </w:t>
      </w:r>
      <w:r w:rsidR="001A7DF4">
        <w:t xml:space="preserve">of a producer </w:t>
      </w:r>
      <w:r w:rsidR="008F2CF7">
        <w:t>provide</w:t>
      </w:r>
      <w:r w:rsidR="007F3ED4">
        <w:t>s</w:t>
      </w:r>
      <w:r w:rsidR="008F2CF7">
        <w:t xml:space="preserve"> more clarity on </w:t>
      </w:r>
      <w:r w:rsidR="001A7DF4">
        <w:t xml:space="preserve">the scope of </w:t>
      </w:r>
      <w:r w:rsidR="001A0E9F">
        <w:t>producers relative</w:t>
      </w:r>
      <w:r w:rsidR="001A7DF4">
        <w:t xml:space="preserve"> to the baseline</w:t>
      </w:r>
      <w:r w:rsidR="00EA494B">
        <w:t xml:space="preserve"> interpretation</w:t>
      </w:r>
      <w:r w:rsidR="007F3ED4">
        <w:t xml:space="preserve">: </w:t>
      </w:r>
    </w:p>
    <w:p w14:paraId="78386386" w14:textId="4F53CFB2" w:rsidR="001A7DF4" w:rsidRPr="00043419" w:rsidRDefault="001A7DF4" w:rsidP="00043419">
      <w:pPr>
        <w:pStyle w:val="ListParagraph"/>
      </w:pPr>
      <w:bookmarkStart w:id="28" w:name="_Hlk131147343"/>
      <w:r w:rsidRPr="00043419">
        <w:t>Producer: This definition would shift compliance burden to brand owners of products manufactured by other entities. Overall compliance burden would be the same, but redistributed to different parties, including retailers that are brand owners.</w:t>
      </w:r>
      <w:r w:rsidR="00A946F8" w:rsidRPr="00043419">
        <w:t xml:space="preserve"> Associated costs and/or benefits are reflected in estimates that are based on the number and types of </w:t>
      </w:r>
      <w:r w:rsidR="00E45C6F" w:rsidRPr="00043419">
        <w:t>producers</w:t>
      </w:r>
      <w:r w:rsidR="00A946F8" w:rsidRPr="00043419">
        <w:t>.</w:t>
      </w:r>
      <w:r w:rsidR="00461523" w:rsidRPr="00043419">
        <w:t xml:space="preserve"> Affected industries, as well as output and employment impacts of costs distributed across them are discussed in Chapter 7.</w:t>
      </w:r>
    </w:p>
    <w:bookmarkEnd w:id="27"/>
    <w:bookmarkEnd w:id="28"/>
    <w:p w14:paraId="14C04D9F" w14:textId="77777777" w:rsidR="007F3ED4" w:rsidRDefault="007F3ED4" w:rsidP="009C2D38">
      <w:pPr>
        <w:pStyle w:val="Paragraph"/>
      </w:pPr>
      <w:r>
        <w:t>The proposed definition of a household cleaning product provides more clarity on the scope of covered products depending on baseline interpretation:</w:t>
      </w:r>
    </w:p>
    <w:p w14:paraId="17FCE95B" w14:textId="18DC4186" w:rsidR="001A7DF4" w:rsidRDefault="00A946F8" w:rsidP="00043419">
      <w:pPr>
        <w:pStyle w:val="ListParagraph"/>
      </w:pPr>
      <w:r>
        <w:t>Household cleaning product: The baseline includes “household cleaning product” as a subset of its definition of “household cleaning and personal care product” but does not offer any specificity. The proposed definition would clarify what is meant by “household" in this context</w:t>
      </w:r>
      <w:r w:rsidR="00461523">
        <w:t xml:space="preserve">, and would potentially expand the coverage of the program, depending on the interpretation of the baseline statutory language. Associated costs </w:t>
      </w:r>
      <w:r w:rsidR="00461523">
        <w:lastRenderedPageBreak/>
        <w:t xml:space="preserve">and/or benefits are reflected in estimates that are based on the number and types of </w:t>
      </w:r>
      <w:r w:rsidR="00E45C6F">
        <w:t>producers</w:t>
      </w:r>
      <w:r w:rsidR="00461523">
        <w:t>.</w:t>
      </w:r>
    </w:p>
    <w:p w14:paraId="2A92AB18" w14:textId="39E80C9B" w:rsidR="00087615" w:rsidRDefault="001A7DF4" w:rsidP="003B1C00">
      <w:pPr>
        <w:pStyle w:val="Paragraph"/>
      </w:pPr>
      <w:r>
        <w:t xml:space="preserve">The impact of these proposed definitions </w:t>
      </w:r>
      <w:r w:rsidR="009C2D38">
        <w:t>depends on</w:t>
      </w:r>
      <w:r w:rsidR="008C7DCE">
        <w:t xml:space="preserve"> </w:t>
      </w:r>
      <w:r w:rsidR="00600796">
        <w:t>the context of how they are used in the rest of the rule</w:t>
      </w:r>
      <w:r>
        <w:t xml:space="preserve">, and their resulting costs and/or benefits (see </w:t>
      </w:r>
      <w:r w:rsidR="00600796">
        <w:t>sections below).</w:t>
      </w:r>
      <w:r>
        <w:t xml:space="preserve"> Other proposed definitions would add or clarify </w:t>
      </w:r>
      <w:r w:rsidR="007900E1">
        <w:t>technical terms needed to implement the proposed rule.</w:t>
      </w:r>
      <w:r w:rsidR="003B5031">
        <w:t xml:space="preserve"> </w:t>
      </w:r>
    </w:p>
    <w:p w14:paraId="2F7997D8" w14:textId="08F4D31C" w:rsidR="00774DF6" w:rsidRPr="00600796" w:rsidRDefault="00087615" w:rsidP="00600796">
      <w:pPr>
        <w:pStyle w:val="RMSectionXXX"/>
      </w:pPr>
      <w:bookmarkStart w:id="29" w:name="_Toc132187795"/>
      <w:r w:rsidRPr="00600796">
        <w:t xml:space="preserve">2.3.2 </w:t>
      </w:r>
      <w:r w:rsidR="00774DF6" w:rsidRPr="00600796">
        <w:t>Set</w:t>
      </w:r>
      <w:r w:rsidR="00F03CD4">
        <w:t>ting</w:t>
      </w:r>
      <w:r w:rsidR="00774DF6" w:rsidRPr="00600796">
        <w:t xml:space="preserve"> requirements for registration and reporting</w:t>
      </w:r>
      <w:bookmarkEnd w:id="29"/>
    </w:p>
    <w:p w14:paraId="2852B072" w14:textId="006514C5" w:rsidR="00087615" w:rsidRPr="00600796" w:rsidRDefault="00087615" w:rsidP="00600796">
      <w:pPr>
        <w:rPr>
          <w:sz w:val="22"/>
        </w:rPr>
      </w:pPr>
      <w:r w:rsidRPr="00600796">
        <w:rPr>
          <w:rFonts w:ascii="Arial" w:hAnsi="Arial" w:cs="Arial"/>
          <w:b/>
          <w:sz w:val="22"/>
        </w:rPr>
        <w:t>Baseline</w:t>
      </w:r>
    </w:p>
    <w:p w14:paraId="409B1268" w14:textId="708D8560" w:rsidR="00D8319C" w:rsidRPr="005B2BAD" w:rsidRDefault="00D8319C" w:rsidP="000A4CF3">
      <w:r w:rsidRPr="00D7469E">
        <w:t>The baseline RCW 70A.245.030 establishes the reg</w:t>
      </w:r>
      <w:r w:rsidR="00765772" w:rsidRPr="00D7469E">
        <w:t>istration</w:t>
      </w:r>
      <w:r w:rsidRPr="00D7469E">
        <w:t xml:space="preserve"> and reporting requirements for producers</w:t>
      </w:r>
      <w:r w:rsidR="00BA21C8">
        <w:t>. D</w:t>
      </w:r>
      <w:r w:rsidR="00BC1677" w:rsidRPr="00D7469E">
        <w:t xml:space="preserve">e minimis producers are not required to meet annual registration, reporting, PCRC, or fee requirements of covered products. </w:t>
      </w:r>
      <w:r w:rsidR="005B2BAD">
        <w:t>De minimis producers are defined as those below thresholds of $1 million in annual revenue in Washington, or 1 ton in resin weight</w:t>
      </w:r>
      <w:r w:rsidR="000A4CF3">
        <w:t xml:space="preserve"> </w:t>
      </w:r>
      <w:r w:rsidR="00A17AA6">
        <w:t>sold or imported in</w:t>
      </w:r>
      <w:r w:rsidR="000A4CF3">
        <w:t xml:space="preserve"> one category of covered product in Washington</w:t>
      </w:r>
      <w:r w:rsidR="005B2BAD">
        <w:t xml:space="preserve">. </w:t>
      </w:r>
      <w:r w:rsidR="00A235FA" w:rsidRPr="005B2BAD">
        <w:t>However, t</w:t>
      </w:r>
      <w:r w:rsidR="00BC1677" w:rsidRPr="005B2BAD">
        <w:t xml:space="preserve">he </w:t>
      </w:r>
      <w:r w:rsidR="001B24CF" w:rsidRPr="005B2BAD">
        <w:t>baseline</w:t>
      </w:r>
      <w:r w:rsidR="00BC1677" w:rsidRPr="005B2BAD">
        <w:t xml:space="preserve"> </w:t>
      </w:r>
      <w:r w:rsidR="00BC1677" w:rsidRPr="005B2BAD" w:rsidDel="00C1781A">
        <w:t xml:space="preserve">does not </w:t>
      </w:r>
      <w:r w:rsidR="00121392" w:rsidRPr="005B2BAD" w:rsidDel="00C1781A">
        <w:t xml:space="preserve">establish </w:t>
      </w:r>
      <w:r w:rsidR="00124EC2" w:rsidRPr="005B2BAD" w:rsidDel="00C1781A">
        <w:t>a</w:t>
      </w:r>
      <w:r w:rsidR="00121392" w:rsidRPr="005B2BAD" w:rsidDel="00C1781A">
        <w:t xml:space="preserve"> </w:t>
      </w:r>
      <w:r w:rsidR="00C1781A" w:rsidRPr="005B2BAD">
        <w:t>means of</w:t>
      </w:r>
      <w:r w:rsidR="00E03C32" w:rsidRPr="005B2BAD">
        <w:t xml:space="preserve"> de</w:t>
      </w:r>
      <w:r w:rsidR="001B24CF" w:rsidRPr="005B2BAD">
        <w:t xml:space="preserve"> </w:t>
      </w:r>
      <w:r w:rsidR="00E03C32" w:rsidRPr="005B2BAD">
        <w:t>mini</w:t>
      </w:r>
      <w:r w:rsidR="0069031B" w:rsidRPr="005B2BAD">
        <w:t>mi</w:t>
      </w:r>
      <w:r w:rsidR="00E03C32" w:rsidRPr="005B2BAD">
        <w:t xml:space="preserve">s status </w:t>
      </w:r>
      <w:r w:rsidR="00121392" w:rsidRPr="005B2BAD">
        <w:t>verif</w:t>
      </w:r>
      <w:r w:rsidR="00E03C32" w:rsidRPr="005B2BAD">
        <w:t>ication.</w:t>
      </w:r>
      <w:r w:rsidR="00BC1677" w:rsidRPr="005B2BAD">
        <w:t xml:space="preserve"> </w:t>
      </w:r>
      <w:r w:rsidR="004C4490" w:rsidRPr="005B2BAD">
        <w:t xml:space="preserve">Also, the </w:t>
      </w:r>
      <w:r w:rsidR="001B24CF" w:rsidRPr="005B2BAD">
        <w:t>baseline</w:t>
      </w:r>
      <w:r w:rsidR="004C4490" w:rsidRPr="005B2BAD">
        <w:t xml:space="preserve"> does not specif</w:t>
      </w:r>
      <w:r w:rsidR="00124EC2" w:rsidRPr="005B2BAD">
        <w:t>y</w:t>
      </w:r>
      <w:r w:rsidR="004C4490" w:rsidRPr="005B2BAD">
        <w:t xml:space="preserve"> </w:t>
      </w:r>
      <w:r w:rsidR="00124EC2" w:rsidRPr="005B2BAD">
        <w:t xml:space="preserve">a full list of identifying information that producers include in </w:t>
      </w:r>
      <w:r w:rsidR="004C4490" w:rsidRPr="005B2BAD">
        <w:t>registration</w:t>
      </w:r>
      <w:r w:rsidR="00225D80" w:rsidRPr="005B2BAD">
        <w:t>s</w:t>
      </w:r>
      <w:r w:rsidR="00C1781A" w:rsidRPr="005B2BAD">
        <w:t xml:space="preserve"> or the reporting manner established by the department</w:t>
      </w:r>
      <w:r w:rsidR="004C4490" w:rsidRPr="005B2BAD">
        <w:t>.</w:t>
      </w:r>
      <w:r w:rsidR="00E3020D" w:rsidRPr="005B2BAD">
        <w:t xml:space="preserve"> </w:t>
      </w:r>
    </w:p>
    <w:p w14:paraId="69D40339" w14:textId="77777777" w:rsidR="00087615" w:rsidRPr="00225D80" w:rsidRDefault="00087615" w:rsidP="00F12380">
      <w:pPr>
        <w:rPr>
          <w:rFonts w:ascii="Arial" w:hAnsi="Arial" w:cs="Arial"/>
          <w:b/>
          <w:sz w:val="22"/>
        </w:rPr>
      </w:pPr>
      <w:r w:rsidRPr="00225D80">
        <w:rPr>
          <w:rFonts w:ascii="Arial" w:hAnsi="Arial" w:cs="Arial"/>
          <w:b/>
          <w:sz w:val="22"/>
        </w:rPr>
        <w:t>Proposed</w:t>
      </w:r>
    </w:p>
    <w:p w14:paraId="4E868540" w14:textId="222D230F" w:rsidR="00E3020D" w:rsidRDefault="00D8319C" w:rsidP="00E3020D">
      <w:pPr>
        <w:pStyle w:val="ListParagraph"/>
        <w:numPr>
          <w:ilvl w:val="0"/>
          <w:numId w:val="0"/>
        </w:numPr>
        <w:spacing w:after="160" w:line="252" w:lineRule="auto"/>
        <w:contextualSpacing/>
        <w:rPr>
          <w:rFonts w:eastAsia="Times New Roman"/>
        </w:rPr>
      </w:pPr>
      <w:r w:rsidRPr="00225D80">
        <w:rPr>
          <w:rFonts w:eastAsia="Times New Roman"/>
        </w:rPr>
        <w:t xml:space="preserve">The proposed rule would </w:t>
      </w:r>
      <w:r w:rsidR="00BB4975" w:rsidRPr="00225D80">
        <w:rPr>
          <w:rFonts w:eastAsia="Times New Roman"/>
        </w:rPr>
        <w:t>establish various requirement</w:t>
      </w:r>
      <w:r w:rsidR="00225D80">
        <w:rPr>
          <w:rFonts w:eastAsia="Times New Roman"/>
        </w:rPr>
        <w:t>s</w:t>
      </w:r>
      <w:r w:rsidR="00BB4975" w:rsidRPr="00225D80">
        <w:rPr>
          <w:rFonts w:eastAsia="Times New Roman"/>
        </w:rPr>
        <w:t xml:space="preserve"> for registration and reporting including</w:t>
      </w:r>
      <w:r w:rsidR="00E3020D" w:rsidRPr="00225D80">
        <w:rPr>
          <w:rFonts w:eastAsia="Times New Roman"/>
        </w:rPr>
        <w:t>:</w:t>
      </w:r>
      <w:r w:rsidR="00BB4975" w:rsidRPr="00225D80">
        <w:rPr>
          <w:rFonts w:eastAsia="Times New Roman"/>
        </w:rPr>
        <w:t xml:space="preserve"> </w:t>
      </w:r>
    </w:p>
    <w:p w14:paraId="058CA43C" w14:textId="04CF402E" w:rsidR="00087615" w:rsidRDefault="00225D80" w:rsidP="00C66391">
      <w:pPr>
        <w:pStyle w:val="ListParagraph"/>
        <w:numPr>
          <w:ilvl w:val="0"/>
          <w:numId w:val="7"/>
        </w:numPr>
        <w:spacing w:after="160" w:line="252" w:lineRule="auto"/>
        <w:contextualSpacing/>
        <w:rPr>
          <w:rFonts w:eastAsia="Times New Roman"/>
        </w:rPr>
      </w:pPr>
      <w:r>
        <w:rPr>
          <w:rFonts w:eastAsia="Times New Roman"/>
        </w:rPr>
        <w:t xml:space="preserve">Requiring </w:t>
      </w:r>
      <w:r w:rsidR="00BB4975" w:rsidRPr="00225D80">
        <w:rPr>
          <w:rFonts w:eastAsia="Times New Roman"/>
        </w:rPr>
        <w:t>de</w:t>
      </w:r>
      <w:r w:rsidR="003B77F1">
        <w:rPr>
          <w:rFonts w:eastAsia="Times New Roman"/>
        </w:rPr>
        <w:t xml:space="preserve"> </w:t>
      </w:r>
      <w:r w:rsidR="00BB4975" w:rsidRPr="00225D80">
        <w:rPr>
          <w:rFonts w:eastAsia="Times New Roman"/>
        </w:rPr>
        <w:t>mini</w:t>
      </w:r>
      <w:r w:rsidR="003B77F1">
        <w:rPr>
          <w:rFonts w:eastAsia="Times New Roman"/>
        </w:rPr>
        <w:t>mis</w:t>
      </w:r>
      <w:r w:rsidR="00BB4975" w:rsidRPr="00225D80">
        <w:rPr>
          <w:rFonts w:eastAsia="Times New Roman"/>
        </w:rPr>
        <w:t xml:space="preserve"> producer</w:t>
      </w:r>
      <w:r>
        <w:rPr>
          <w:rFonts w:eastAsia="Times New Roman"/>
        </w:rPr>
        <w:t>s</w:t>
      </w:r>
      <w:r w:rsidR="00BB4975" w:rsidRPr="00225D80">
        <w:rPr>
          <w:rFonts w:eastAsia="Times New Roman"/>
        </w:rPr>
        <w:t xml:space="preserve"> to verify their status</w:t>
      </w:r>
      <w:r>
        <w:rPr>
          <w:rFonts w:eastAsia="Times New Roman"/>
        </w:rPr>
        <w:t xml:space="preserve"> as</w:t>
      </w:r>
      <w:r w:rsidR="003B77F1">
        <w:rPr>
          <w:rFonts w:eastAsia="Times New Roman"/>
        </w:rPr>
        <w:t xml:space="preserve"> meeting</w:t>
      </w:r>
      <w:r>
        <w:rPr>
          <w:rFonts w:eastAsia="Times New Roman"/>
        </w:rPr>
        <w:t xml:space="preserve"> the</w:t>
      </w:r>
      <w:r w:rsidR="003B77F1">
        <w:rPr>
          <w:rFonts w:eastAsia="Times New Roman"/>
        </w:rPr>
        <w:t xml:space="preserve"> de minimis threshold</w:t>
      </w:r>
      <w:r>
        <w:rPr>
          <w:rFonts w:eastAsia="Times New Roman"/>
        </w:rPr>
        <w:t>.</w:t>
      </w:r>
    </w:p>
    <w:p w14:paraId="01A81A17" w14:textId="55E917C9" w:rsidR="00E3020D" w:rsidRPr="00225D80" w:rsidRDefault="00225D80" w:rsidP="00C66391">
      <w:pPr>
        <w:pStyle w:val="ListParagraph"/>
        <w:numPr>
          <w:ilvl w:val="0"/>
          <w:numId w:val="7"/>
        </w:numPr>
        <w:spacing w:after="160" w:line="252" w:lineRule="auto"/>
        <w:contextualSpacing/>
        <w:rPr>
          <w:rFonts w:eastAsia="Times New Roman"/>
        </w:rPr>
      </w:pPr>
      <w:r>
        <w:rPr>
          <w:rFonts w:eastAsia="Times New Roman"/>
        </w:rPr>
        <w:t>Clarifying applicability of “de minimis” in the context of a single reporter representing multiple manufacturers.</w:t>
      </w:r>
    </w:p>
    <w:p w14:paraId="28FD998E" w14:textId="0345B732" w:rsidR="00E3020D" w:rsidRPr="00F12380" w:rsidRDefault="00E3020D" w:rsidP="00C66391">
      <w:pPr>
        <w:pStyle w:val="ListParagraph"/>
        <w:numPr>
          <w:ilvl w:val="0"/>
          <w:numId w:val="7"/>
        </w:numPr>
        <w:spacing w:after="160" w:line="252" w:lineRule="auto"/>
        <w:contextualSpacing/>
        <w:rPr>
          <w:rFonts w:eastAsia="Times New Roman"/>
        </w:rPr>
      </w:pPr>
      <w:r>
        <w:rPr>
          <w:rFonts w:eastAsia="Times New Roman"/>
        </w:rPr>
        <w:t>S</w:t>
      </w:r>
      <w:r w:rsidRPr="008B50BC">
        <w:rPr>
          <w:rFonts w:eastAsia="Times New Roman"/>
        </w:rPr>
        <w:t xml:space="preserve">pecifying general information </w:t>
      </w:r>
      <w:r w:rsidR="00225D80">
        <w:rPr>
          <w:rFonts w:eastAsia="Times New Roman"/>
        </w:rPr>
        <w:t>that</w:t>
      </w:r>
      <w:r w:rsidRPr="008B50BC">
        <w:rPr>
          <w:rFonts w:eastAsia="Times New Roman"/>
        </w:rPr>
        <w:t xml:space="preserve"> producers </w:t>
      </w:r>
      <w:r w:rsidR="00225D80">
        <w:rPr>
          <w:rFonts w:eastAsia="Times New Roman"/>
        </w:rPr>
        <w:t>must</w:t>
      </w:r>
      <w:r w:rsidRPr="008B50BC">
        <w:rPr>
          <w:rFonts w:eastAsia="Times New Roman"/>
        </w:rPr>
        <w:t xml:space="preserve"> include in registration</w:t>
      </w:r>
      <w:r w:rsidR="00225D80">
        <w:rPr>
          <w:rFonts w:eastAsia="Times New Roman"/>
        </w:rPr>
        <w:t>s</w:t>
      </w:r>
      <w:r w:rsidR="00F12380">
        <w:rPr>
          <w:rFonts w:eastAsia="Times New Roman"/>
        </w:rPr>
        <w:t>, including but not limited to a</w:t>
      </w:r>
      <w:r w:rsidRPr="00F12380">
        <w:rPr>
          <w:rFonts w:eastAsia="Times New Roman"/>
        </w:rPr>
        <w:t xml:space="preserve">dditional specifics of producer location, </w:t>
      </w:r>
      <w:r w:rsidR="00225D80">
        <w:rPr>
          <w:rFonts w:eastAsia="Times New Roman"/>
        </w:rPr>
        <w:t>tax identification number (</w:t>
      </w:r>
      <w:r w:rsidRPr="00F12380">
        <w:rPr>
          <w:rFonts w:eastAsia="Times New Roman"/>
        </w:rPr>
        <w:t>TIN</w:t>
      </w:r>
      <w:r w:rsidR="00225D80">
        <w:rPr>
          <w:rFonts w:eastAsia="Times New Roman"/>
        </w:rPr>
        <w:t>)</w:t>
      </w:r>
      <w:r w:rsidRPr="00F12380">
        <w:rPr>
          <w:rFonts w:eastAsia="Times New Roman"/>
        </w:rPr>
        <w:t>, contact</w:t>
      </w:r>
      <w:r w:rsidR="00225D80">
        <w:rPr>
          <w:rFonts w:eastAsia="Times New Roman"/>
        </w:rPr>
        <w:t xml:space="preserve"> information</w:t>
      </w:r>
      <w:r w:rsidR="00F12380">
        <w:rPr>
          <w:rFonts w:eastAsia="Times New Roman"/>
        </w:rPr>
        <w:t>.</w:t>
      </w:r>
    </w:p>
    <w:p w14:paraId="23F8B514" w14:textId="67D8395F" w:rsidR="00E3020D" w:rsidRPr="00F12380" w:rsidRDefault="00F12380" w:rsidP="00C66391">
      <w:pPr>
        <w:pStyle w:val="ListParagraph"/>
        <w:numPr>
          <w:ilvl w:val="0"/>
          <w:numId w:val="7"/>
        </w:numPr>
        <w:spacing w:after="160" w:line="252" w:lineRule="auto"/>
        <w:contextualSpacing/>
        <w:rPr>
          <w:rFonts w:eastAsia="Times New Roman"/>
        </w:rPr>
      </w:pPr>
      <w:r>
        <w:rPr>
          <w:rFonts w:eastAsia="Times New Roman"/>
        </w:rPr>
        <w:t>Requiring producer attestation</w:t>
      </w:r>
      <w:r w:rsidR="00C1781A">
        <w:rPr>
          <w:rFonts w:eastAsia="Times New Roman"/>
        </w:rPr>
        <w:t xml:space="preserve"> of reporting accuracy</w:t>
      </w:r>
      <w:r>
        <w:rPr>
          <w:rFonts w:eastAsia="Times New Roman"/>
        </w:rPr>
        <w:t>.</w:t>
      </w:r>
      <w:r w:rsidR="00E24C07">
        <w:rPr>
          <w:rFonts w:eastAsia="Times New Roman"/>
        </w:rPr>
        <w:t xml:space="preserve"> </w:t>
      </w:r>
    </w:p>
    <w:p w14:paraId="1747931A" w14:textId="4AB0D422" w:rsidR="00E3020D" w:rsidRPr="00F12380" w:rsidRDefault="00F12380" w:rsidP="00C66391">
      <w:pPr>
        <w:pStyle w:val="ListParagraph"/>
        <w:numPr>
          <w:ilvl w:val="0"/>
          <w:numId w:val="7"/>
        </w:numPr>
        <w:spacing w:after="160" w:line="252" w:lineRule="auto"/>
        <w:contextualSpacing/>
        <w:rPr>
          <w:rFonts w:eastAsia="Times New Roman"/>
        </w:rPr>
      </w:pPr>
      <w:r>
        <w:rPr>
          <w:rFonts w:eastAsia="Times New Roman"/>
        </w:rPr>
        <w:t>Specify options an</w:t>
      </w:r>
      <w:r w:rsidR="001B24CF">
        <w:rPr>
          <w:rFonts w:eastAsia="Times New Roman"/>
        </w:rPr>
        <w:t>d</w:t>
      </w:r>
      <w:r>
        <w:rPr>
          <w:rFonts w:eastAsia="Times New Roman"/>
        </w:rPr>
        <w:t xml:space="preserve"> requirements for </w:t>
      </w:r>
      <w:r w:rsidR="00E3020D" w:rsidRPr="00F12380">
        <w:rPr>
          <w:rFonts w:eastAsia="Times New Roman"/>
        </w:rPr>
        <w:t xml:space="preserve">scaling data from </w:t>
      </w:r>
      <w:r>
        <w:rPr>
          <w:rFonts w:eastAsia="Times New Roman"/>
        </w:rPr>
        <w:t xml:space="preserve">a </w:t>
      </w:r>
      <w:r w:rsidR="00E3020D" w:rsidRPr="00F12380">
        <w:rPr>
          <w:rFonts w:eastAsia="Times New Roman"/>
        </w:rPr>
        <w:t>national</w:t>
      </w:r>
      <w:r>
        <w:rPr>
          <w:rFonts w:eastAsia="Times New Roman"/>
        </w:rPr>
        <w:t xml:space="preserve"> or regional scale, including but not limited to:</w:t>
      </w:r>
    </w:p>
    <w:p w14:paraId="2FE30B93" w14:textId="5DBA3CB9" w:rsidR="00E3020D" w:rsidRDefault="00E3020D" w:rsidP="00C66391">
      <w:pPr>
        <w:pStyle w:val="ListParagraph"/>
        <w:numPr>
          <w:ilvl w:val="1"/>
          <w:numId w:val="7"/>
        </w:numPr>
        <w:spacing w:after="160" w:line="259" w:lineRule="auto"/>
        <w:contextualSpacing/>
      </w:pPr>
      <w:r>
        <w:t>Document</w:t>
      </w:r>
      <w:r w:rsidR="00F12380">
        <w:t>ation of</w:t>
      </w:r>
      <w:r>
        <w:t xml:space="preserve"> scaling methods</w:t>
      </w:r>
      <w:r w:rsidR="00F12380">
        <w:t>.</w:t>
      </w:r>
    </w:p>
    <w:p w14:paraId="7F85554E" w14:textId="77777777" w:rsidR="00087615" w:rsidRPr="00DF6FF4" w:rsidRDefault="00087615" w:rsidP="00DF6FF4">
      <w:pPr>
        <w:rPr>
          <w:rFonts w:ascii="Arial" w:hAnsi="Arial" w:cs="Arial"/>
          <w:b/>
          <w:sz w:val="22"/>
        </w:rPr>
      </w:pPr>
      <w:r w:rsidRPr="00DF6FF4">
        <w:rPr>
          <w:rFonts w:ascii="Arial" w:hAnsi="Arial" w:cs="Arial"/>
          <w:b/>
          <w:sz w:val="22"/>
        </w:rPr>
        <w:t>Expected impact</w:t>
      </w:r>
    </w:p>
    <w:p w14:paraId="3926846D" w14:textId="5564F0DD" w:rsidR="00087615" w:rsidRDefault="00F12380" w:rsidP="003B1C00">
      <w:pPr>
        <w:pStyle w:val="Paragraph"/>
      </w:pPr>
      <w:r>
        <w:t xml:space="preserve">We expect this section of the proposed rule to result in costs of additional producer effort during registration and reporting, and benefits of full information about producers </w:t>
      </w:r>
      <w:r w:rsidR="00DF6FF4">
        <w:t xml:space="preserve">to facilitate accurate data and any needed interactions related to implementation and enforcement. </w:t>
      </w:r>
      <w:r w:rsidR="00D7469E">
        <w:t xml:space="preserve">The proposed rule would not require all producers to certify their reports beyond attestation as to their accuracy – this would be a decision made by the producer – and this flexibility would also impact Ecology oversight costs by affecting the need for </w:t>
      </w:r>
      <w:r w:rsidR="00DB403C">
        <w:t>data checking, audits, and other quality assurance activities.</w:t>
      </w:r>
    </w:p>
    <w:p w14:paraId="3F34B789" w14:textId="590C9F62" w:rsidR="00774DF6" w:rsidRPr="00DF6FF4" w:rsidRDefault="00774DF6" w:rsidP="00DF6FF4">
      <w:pPr>
        <w:pStyle w:val="RMSectionXXX"/>
      </w:pPr>
      <w:bookmarkStart w:id="30" w:name="_Toc132187796"/>
      <w:r w:rsidRPr="001B300B">
        <w:lastRenderedPageBreak/>
        <w:t>2.3.</w:t>
      </w:r>
      <w:r>
        <w:t>3</w:t>
      </w:r>
      <w:r w:rsidRPr="001B300B">
        <w:t xml:space="preserve"> </w:t>
      </w:r>
      <w:r w:rsidRPr="00DF6FF4">
        <w:t>Establish</w:t>
      </w:r>
      <w:r w:rsidR="00F03CD4">
        <w:t>ing</w:t>
      </w:r>
      <w:r w:rsidRPr="00DF6FF4">
        <w:t xml:space="preserve"> fee allocation methods and billing procedures</w:t>
      </w:r>
      <w:bookmarkEnd w:id="30"/>
    </w:p>
    <w:p w14:paraId="0C109DD4" w14:textId="77777777" w:rsidR="0021162F" w:rsidRPr="00DF6FF4" w:rsidRDefault="0021162F" w:rsidP="0021162F">
      <w:pPr>
        <w:pStyle w:val="Paragraph"/>
        <w:rPr>
          <w:b/>
          <w:bCs/>
        </w:rPr>
      </w:pPr>
      <w:r w:rsidRPr="00DF6FF4">
        <w:rPr>
          <w:b/>
          <w:bCs/>
        </w:rPr>
        <w:t>Baseline</w:t>
      </w:r>
    </w:p>
    <w:p w14:paraId="7483902D" w14:textId="3E311120" w:rsidR="0021162F" w:rsidRPr="00DF6FF4" w:rsidRDefault="00A04465" w:rsidP="00593D02">
      <w:pPr>
        <w:pStyle w:val="Paragraph"/>
      </w:pPr>
      <w:r w:rsidRPr="00DF6FF4">
        <w:t>The baseline RCW 70A.245.020</w:t>
      </w:r>
      <w:r w:rsidR="006D0A5E" w:rsidRPr="00DF6FF4">
        <w:t xml:space="preserve"> require</w:t>
      </w:r>
      <w:r w:rsidR="00DF6FF4">
        <w:t>s</w:t>
      </w:r>
      <w:r w:rsidR="006D0A5E" w:rsidRPr="00DF6FF4">
        <w:t xml:space="preserve"> Ecology to </w:t>
      </w:r>
      <w:r w:rsidR="00831B96">
        <w:t xml:space="preserve">prepare </w:t>
      </w:r>
      <w:r w:rsidR="00DF6FF4">
        <w:t xml:space="preserve">a </w:t>
      </w:r>
      <w:r w:rsidR="00831B96">
        <w:t xml:space="preserve">workload analysis and </w:t>
      </w:r>
      <w:r w:rsidR="00062E3B" w:rsidRPr="00DF6FF4">
        <w:t xml:space="preserve">determine a total annual fee payment </w:t>
      </w:r>
      <w:r w:rsidR="00A43984" w:rsidRPr="00DF6FF4">
        <w:t xml:space="preserve">by producers </w:t>
      </w:r>
      <w:r w:rsidR="00062E3B" w:rsidRPr="00DF6FF4">
        <w:t>for each category of covered products</w:t>
      </w:r>
      <w:r w:rsidR="00DF6FF4">
        <w:t>. The fee must be</w:t>
      </w:r>
      <w:r w:rsidR="00643932" w:rsidRPr="00DF6FF4">
        <w:t xml:space="preserve"> adequate to cover, but not exceed, the </w:t>
      </w:r>
      <w:r w:rsidR="003F6471">
        <w:t>e</w:t>
      </w:r>
      <w:r w:rsidR="00D066BE">
        <w:t xml:space="preserve">stimated </w:t>
      </w:r>
      <w:r w:rsidR="00643932" w:rsidRPr="00DF6FF4">
        <w:t>workload</w:t>
      </w:r>
      <w:r w:rsidR="0075285A" w:rsidRPr="00DF6FF4">
        <w:t>.</w:t>
      </w:r>
    </w:p>
    <w:p w14:paraId="763EF718" w14:textId="5C05823D" w:rsidR="0021162F" w:rsidRPr="00DF6FF4" w:rsidRDefault="0021162F" w:rsidP="0021162F">
      <w:pPr>
        <w:pStyle w:val="Paragraph"/>
        <w:rPr>
          <w:b/>
          <w:bCs/>
        </w:rPr>
      </w:pPr>
      <w:r w:rsidRPr="00DF6FF4">
        <w:rPr>
          <w:b/>
          <w:bCs/>
        </w:rPr>
        <w:t>Proposed</w:t>
      </w:r>
    </w:p>
    <w:p w14:paraId="5A625405" w14:textId="4CA33812" w:rsidR="00523B4D" w:rsidRPr="00257276" w:rsidRDefault="00523B4D" w:rsidP="0021162F">
      <w:pPr>
        <w:pStyle w:val="Paragraph"/>
        <w:rPr>
          <w:highlight w:val="cyan"/>
        </w:rPr>
      </w:pPr>
      <w:r w:rsidRPr="00172B7E">
        <w:rPr>
          <w:rFonts w:eastAsia="Times New Roman"/>
        </w:rPr>
        <w:t xml:space="preserve">The proposed rule would establish </w:t>
      </w:r>
      <w:r>
        <w:rPr>
          <w:rFonts w:eastAsia="Times New Roman"/>
        </w:rPr>
        <w:t>fee allocation methods and billing procedures</w:t>
      </w:r>
      <w:r w:rsidRPr="00172B7E">
        <w:rPr>
          <w:rFonts w:eastAsia="Times New Roman"/>
        </w:rPr>
        <w:t xml:space="preserve"> including:</w:t>
      </w:r>
    </w:p>
    <w:p w14:paraId="71ACA729" w14:textId="48808B0B" w:rsidR="00B401D6" w:rsidRPr="00F00486" w:rsidRDefault="00855DE9" w:rsidP="00C66391">
      <w:pPr>
        <w:pStyle w:val="ListParagraph"/>
        <w:numPr>
          <w:ilvl w:val="0"/>
          <w:numId w:val="7"/>
        </w:numPr>
        <w:spacing w:after="160" w:line="252" w:lineRule="auto"/>
        <w:contextualSpacing/>
        <w:rPr>
          <w:rFonts w:eastAsia="Times New Roman"/>
        </w:rPr>
      </w:pPr>
      <w:r>
        <w:rPr>
          <w:rFonts w:eastAsia="Times New Roman"/>
        </w:rPr>
        <w:t>C</w:t>
      </w:r>
      <w:r w:rsidR="00B401D6" w:rsidRPr="00F00486">
        <w:rPr>
          <w:rFonts w:eastAsia="Times New Roman"/>
        </w:rPr>
        <w:t>alculation</w:t>
      </w:r>
      <w:r>
        <w:rPr>
          <w:rFonts w:eastAsia="Times New Roman"/>
        </w:rPr>
        <w:t xml:space="preserve"> and </w:t>
      </w:r>
      <w:r w:rsidR="00B401D6" w:rsidRPr="00F00486">
        <w:rPr>
          <w:rFonts w:eastAsia="Times New Roman"/>
        </w:rPr>
        <w:t>allocation</w:t>
      </w:r>
      <w:r w:rsidR="00467E2C">
        <w:rPr>
          <w:rFonts w:eastAsia="Times New Roman"/>
        </w:rPr>
        <w:t xml:space="preserve"> of </w:t>
      </w:r>
      <w:r w:rsidR="000F157D">
        <w:rPr>
          <w:rFonts w:eastAsia="Times New Roman"/>
        </w:rPr>
        <w:t>a</w:t>
      </w:r>
      <w:r w:rsidR="00DF6FF4">
        <w:rPr>
          <w:rFonts w:eastAsia="Times New Roman"/>
        </w:rPr>
        <w:t xml:space="preserve"> </w:t>
      </w:r>
      <w:r w:rsidR="00557112">
        <w:rPr>
          <w:rFonts w:eastAsia="Times New Roman"/>
        </w:rPr>
        <w:t xml:space="preserve">Program </w:t>
      </w:r>
      <w:r w:rsidR="00467E2C">
        <w:rPr>
          <w:rFonts w:eastAsia="Times New Roman"/>
        </w:rPr>
        <w:t>A</w:t>
      </w:r>
      <w:r w:rsidR="00B401D6" w:rsidRPr="00F00486">
        <w:rPr>
          <w:rFonts w:eastAsia="Times New Roman"/>
        </w:rPr>
        <w:t>dmin</w:t>
      </w:r>
      <w:r w:rsidR="00557112">
        <w:rPr>
          <w:rFonts w:eastAsia="Times New Roman"/>
        </w:rPr>
        <w:t>istration</w:t>
      </w:r>
      <w:r w:rsidR="00B401D6" w:rsidRPr="00F00486">
        <w:rPr>
          <w:rFonts w:eastAsia="Times New Roman"/>
        </w:rPr>
        <w:t xml:space="preserve"> </w:t>
      </w:r>
      <w:r w:rsidR="00467E2C">
        <w:rPr>
          <w:rFonts w:eastAsia="Times New Roman"/>
        </w:rPr>
        <w:t>F</w:t>
      </w:r>
      <w:r w:rsidR="00B401D6" w:rsidRPr="00F00486">
        <w:rPr>
          <w:rFonts w:eastAsia="Times New Roman"/>
        </w:rPr>
        <w:t>ee</w:t>
      </w:r>
      <w:r w:rsidR="00C1781A">
        <w:rPr>
          <w:rFonts w:eastAsia="Times New Roman"/>
        </w:rPr>
        <w:t xml:space="preserve"> (for agency oversight of all registering producers regardless of the PCRC requirement effective during the given </w:t>
      </w:r>
      <w:r w:rsidR="000A4CF3">
        <w:rPr>
          <w:rFonts w:eastAsia="Times New Roman"/>
        </w:rPr>
        <w:t xml:space="preserve">fiscal </w:t>
      </w:r>
      <w:r w:rsidR="00C1781A">
        <w:rPr>
          <w:rFonts w:eastAsia="Times New Roman"/>
        </w:rPr>
        <w:t>year)</w:t>
      </w:r>
      <w:r w:rsidR="00DF6FF4">
        <w:rPr>
          <w:rFonts w:eastAsia="Times New Roman"/>
        </w:rPr>
        <w:t>.</w:t>
      </w:r>
    </w:p>
    <w:p w14:paraId="0795D4D2" w14:textId="01822627" w:rsidR="00B401D6" w:rsidRPr="00F00486" w:rsidRDefault="00855DE9" w:rsidP="00C66391">
      <w:pPr>
        <w:pStyle w:val="ListParagraph"/>
        <w:numPr>
          <w:ilvl w:val="0"/>
          <w:numId w:val="7"/>
        </w:numPr>
        <w:spacing w:after="160" w:line="252" w:lineRule="auto"/>
        <w:contextualSpacing/>
        <w:rPr>
          <w:rFonts w:eastAsia="Times New Roman"/>
        </w:rPr>
      </w:pPr>
      <w:r>
        <w:rPr>
          <w:rFonts w:eastAsia="Times New Roman"/>
        </w:rPr>
        <w:t>Calculation and a</w:t>
      </w:r>
      <w:r w:rsidR="00B401D6" w:rsidRPr="00F00486">
        <w:rPr>
          <w:rFonts w:eastAsia="Times New Roman"/>
        </w:rPr>
        <w:t>llocation</w:t>
      </w:r>
      <w:r w:rsidR="00467E2C">
        <w:rPr>
          <w:rFonts w:eastAsia="Times New Roman"/>
        </w:rPr>
        <w:t xml:space="preserve"> of </w:t>
      </w:r>
      <w:r w:rsidR="00DF6FF4">
        <w:rPr>
          <w:rFonts w:eastAsia="Times New Roman"/>
        </w:rPr>
        <w:t xml:space="preserve">an </w:t>
      </w:r>
      <w:r w:rsidR="00467E2C">
        <w:rPr>
          <w:rFonts w:eastAsia="Times New Roman"/>
        </w:rPr>
        <w:t>O</w:t>
      </w:r>
      <w:r w:rsidR="00B401D6" w:rsidRPr="00F00486">
        <w:rPr>
          <w:rFonts w:eastAsia="Times New Roman"/>
        </w:rPr>
        <w:t xml:space="preserve">versight </w:t>
      </w:r>
      <w:r w:rsidR="00467E2C">
        <w:rPr>
          <w:rFonts w:eastAsia="Times New Roman"/>
        </w:rPr>
        <w:t>F</w:t>
      </w:r>
      <w:r w:rsidR="00B401D6" w:rsidRPr="00F00486">
        <w:rPr>
          <w:rFonts w:eastAsia="Times New Roman"/>
        </w:rPr>
        <w:t>ee</w:t>
      </w:r>
      <w:r w:rsidR="00C1781A">
        <w:rPr>
          <w:rFonts w:eastAsia="Times New Roman"/>
        </w:rPr>
        <w:t xml:space="preserve"> (for agency oversight of reporting producers actively required to meet </w:t>
      </w:r>
      <w:r w:rsidR="004258F0">
        <w:rPr>
          <w:rFonts w:eastAsia="Times New Roman"/>
        </w:rPr>
        <w:t xml:space="preserve">minimum </w:t>
      </w:r>
      <w:r w:rsidR="00C1781A">
        <w:rPr>
          <w:rFonts w:eastAsia="Times New Roman"/>
        </w:rPr>
        <w:t>PCRC</w:t>
      </w:r>
      <w:r w:rsidR="004258F0">
        <w:rPr>
          <w:rFonts w:eastAsia="Times New Roman"/>
        </w:rPr>
        <w:t xml:space="preserve"> </w:t>
      </w:r>
      <w:r w:rsidR="00C1781A">
        <w:rPr>
          <w:rFonts w:eastAsia="Times New Roman"/>
        </w:rPr>
        <w:t xml:space="preserve">requirements in a given </w:t>
      </w:r>
      <w:r w:rsidR="000A4CF3">
        <w:rPr>
          <w:rFonts w:eastAsia="Times New Roman"/>
        </w:rPr>
        <w:t xml:space="preserve">fiscal </w:t>
      </w:r>
      <w:r w:rsidR="00C1781A">
        <w:rPr>
          <w:rFonts w:eastAsia="Times New Roman"/>
        </w:rPr>
        <w:t>year)</w:t>
      </w:r>
      <w:r w:rsidR="00DF6FF4">
        <w:rPr>
          <w:rFonts w:eastAsia="Times New Roman"/>
        </w:rPr>
        <w:t>.</w:t>
      </w:r>
    </w:p>
    <w:p w14:paraId="1A1238C2" w14:textId="08E8846C" w:rsidR="00B401D6" w:rsidRPr="00F00486" w:rsidRDefault="00DF6FF4" w:rsidP="00C66391">
      <w:pPr>
        <w:pStyle w:val="ListParagraph"/>
        <w:numPr>
          <w:ilvl w:val="0"/>
          <w:numId w:val="7"/>
        </w:numPr>
        <w:spacing w:after="160" w:line="252" w:lineRule="auto"/>
        <w:contextualSpacing/>
        <w:rPr>
          <w:rFonts w:eastAsia="Times New Roman"/>
        </w:rPr>
      </w:pPr>
      <w:r>
        <w:rPr>
          <w:rFonts w:eastAsia="Times New Roman"/>
        </w:rPr>
        <w:t xml:space="preserve">Calculation of the </w:t>
      </w:r>
      <w:r w:rsidR="00CB0EBF">
        <w:rPr>
          <w:rFonts w:eastAsia="Times New Roman"/>
        </w:rPr>
        <w:t xml:space="preserve">Total Producer </w:t>
      </w:r>
      <w:r w:rsidR="00B401D6" w:rsidRPr="00F00486">
        <w:rPr>
          <w:rFonts w:eastAsia="Times New Roman"/>
        </w:rPr>
        <w:t>Fee</w:t>
      </w:r>
      <w:r>
        <w:rPr>
          <w:rFonts w:eastAsia="Times New Roman"/>
        </w:rPr>
        <w:t xml:space="preserve"> (the </w:t>
      </w:r>
      <w:r w:rsidR="00CB0EBF">
        <w:rPr>
          <w:rFonts w:eastAsia="Times New Roman"/>
        </w:rPr>
        <w:t xml:space="preserve">sum of </w:t>
      </w:r>
      <w:r>
        <w:rPr>
          <w:rFonts w:eastAsia="Times New Roman"/>
        </w:rPr>
        <w:t>the Program Administration Fee and Oversight Fee).</w:t>
      </w:r>
    </w:p>
    <w:p w14:paraId="4818345B" w14:textId="1A609D7F" w:rsidR="00B401D6" w:rsidRPr="00F00486" w:rsidRDefault="00F00486" w:rsidP="00C66391">
      <w:pPr>
        <w:pStyle w:val="ListParagraph"/>
        <w:numPr>
          <w:ilvl w:val="0"/>
          <w:numId w:val="7"/>
        </w:numPr>
        <w:spacing w:after="160" w:line="252" w:lineRule="auto"/>
        <w:contextualSpacing/>
        <w:rPr>
          <w:rFonts w:eastAsia="Times New Roman"/>
        </w:rPr>
      </w:pPr>
      <w:r>
        <w:rPr>
          <w:rFonts w:eastAsia="Times New Roman"/>
        </w:rPr>
        <w:t>Requirements and p</w:t>
      </w:r>
      <w:r w:rsidR="00DF6FF4">
        <w:rPr>
          <w:rFonts w:eastAsia="Times New Roman"/>
        </w:rPr>
        <w:t xml:space="preserve">rocedures for adjusting </w:t>
      </w:r>
      <w:r>
        <w:rPr>
          <w:rFonts w:eastAsia="Times New Roman"/>
        </w:rPr>
        <w:t>annual billing</w:t>
      </w:r>
      <w:r w:rsidR="00D066BE">
        <w:rPr>
          <w:rFonts w:eastAsia="Times New Roman"/>
        </w:rPr>
        <w:t xml:space="preserve"> in the event of delinquent or late registrations</w:t>
      </w:r>
      <w:r>
        <w:rPr>
          <w:rFonts w:eastAsia="Times New Roman"/>
        </w:rPr>
        <w:t>.</w:t>
      </w:r>
    </w:p>
    <w:p w14:paraId="689A5185" w14:textId="303DB167" w:rsidR="0021162F" w:rsidRPr="00F00486" w:rsidRDefault="00F00486" w:rsidP="00C66391">
      <w:pPr>
        <w:pStyle w:val="ListParagraph"/>
        <w:numPr>
          <w:ilvl w:val="0"/>
          <w:numId w:val="7"/>
        </w:numPr>
        <w:spacing w:after="160" w:line="252" w:lineRule="auto"/>
        <w:contextualSpacing/>
        <w:rPr>
          <w:rFonts w:eastAsia="Times New Roman"/>
        </w:rPr>
      </w:pPr>
      <w:r>
        <w:rPr>
          <w:rFonts w:eastAsia="Times New Roman"/>
        </w:rPr>
        <w:t xml:space="preserve">Due dates </w:t>
      </w:r>
      <w:r w:rsidR="00C1781A">
        <w:rPr>
          <w:rFonts w:eastAsia="Times New Roman"/>
        </w:rPr>
        <w:t xml:space="preserve">for </w:t>
      </w:r>
      <w:r w:rsidR="00AF2F03">
        <w:rPr>
          <w:rFonts w:eastAsia="Times New Roman"/>
        </w:rPr>
        <w:t>annual fee</w:t>
      </w:r>
      <w:r>
        <w:rPr>
          <w:rFonts w:eastAsia="Times New Roman"/>
        </w:rPr>
        <w:t>s.</w:t>
      </w:r>
    </w:p>
    <w:p w14:paraId="03365AA0" w14:textId="77777777" w:rsidR="0021162F" w:rsidRPr="00DF6FF4" w:rsidRDefault="0021162F" w:rsidP="0021162F">
      <w:pPr>
        <w:pStyle w:val="Paragraph"/>
        <w:rPr>
          <w:b/>
          <w:bCs/>
        </w:rPr>
      </w:pPr>
      <w:r w:rsidRPr="00DF6FF4">
        <w:rPr>
          <w:b/>
          <w:bCs/>
        </w:rPr>
        <w:t>Expected impact</w:t>
      </w:r>
    </w:p>
    <w:p w14:paraId="66E89EF9" w14:textId="33C71F39" w:rsidR="002C6E5E" w:rsidRPr="008B50BC" w:rsidRDefault="003E5C9A" w:rsidP="002C6E5E">
      <w:pPr>
        <w:pStyle w:val="Paragraph"/>
      </w:pPr>
      <w:r>
        <w:t xml:space="preserve">This </w:t>
      </w:r>
      <w:r w:rsidR="00E15402">
        <w:t xml:space="preserve">section of the proposed rule </w:t>
      </w:r>
      <w:r>
        <w:t xml:space="preserve">would establish the methods and procedures </w:t>
      </w:r>
      <w:r w:rsidR="00AC7449">
        <w:t xml:space="preserve">required for rule implementation regarding </w:t>
      </w:r>
      <w:r>
        <w:t>fee calculation, allocation, billing adjustments, and due date setting for the payments</w:t>
      </w:r>
      <w:r w:rsidR="00AC7449">
        <w:t>.</w:t>
      </w:r>
      <w:r w:rsidR="002C6E5E">
        <w:t xml:space="preserve"> We expect </w:t>
      </w:r>
      <w:r w:rsidR="00E15402">
        <w:t xml:space="preserve">this section of the </w:t>
      </w:r>
      <w:r w:rsidR="002C6E5E">
        <w:t>proposed rule to result in cost</w:t>
      </w:r>
      <w:r w:rsidR="00E15402">
        <w:t>s of producer fees, as well as benefits of meeting the statutory requirement to fully fund program costs, and the added value they provide to producers in meeting the baseline law</w:t>
      </w:r>
      <w:r w:rsidR="002C6E5E">
        <w:t>.</w:t>
      </w:r>
      <w:r w:rsidR="00443B1B">
        <w:t xml:space="preserve"> Transparency in the fee process also potentially improves the ability of producers to plan.</w:t>
      </w:r>
      <w:r w:rsidR="009A1811">
        <w:t xml:space="preserve"> Division of fees into the Program Administration and Oversight Fee categories gives producers confidence that they are only paying into the portion of oversight which actively applies to them within a given reporting year (meaning producers not yet required to meet PCRC minimum requirements would only have to pay the overall Program Administration fee and not the P</w:t>
      </w:r>
      <w:r w:rsidR="003D323D">
        <w:t>CRC Oversight Fee).</w:t>
      </w:r>
    </w:p>
    <w:p w14:paraId="30F83D70" w14:textId="66448665" w:rsidR="0021162F" w:rsidRPr="0021162F" w:rsidRDefault="0021162F" w:rsidP="00B37193">
      <w:pPr>
        <w:pStyle w:val="RMSectionXXX"/>
      </w:pPr>
      <w:bookmarkStart w:id="31" w:name="_Toc132187797"/>
      <w:r w:rsidRPr="001B300B">
        <w:t>2.3.</w:t>
      </w:r>
      <w:r>
        <w:t>4</w:t>
      </w:r>
      <w:r w:rsidRPr="001B300B">
        <w:t xml:space="preserve"> </w:t>
      </w:r>
      <w:r w:rsidRPr="0021162F">
        <w:t>Add</w:t>
      </w:r>
      <w:r w:rsidR="00F03CD4">
        <w:t>ing</w:t>
      </w:r>
      <w:r w:rsidRPr="0021162F">
        <w:t xml:space="preserve"> specific requirements for PCRC weight calculations</w:t>
      </w:r>
      <w:bookmarkEnd w:id="31"/>
    </w:p>
    <w:p w14:paraId="6E5D865A" w14:textId="77777777" w:rsidR="00B30B87" w:rsidRPr="00B72976" w:rsidRDefault="00B30B87" w:rsidP="00B30B87">
      <w:pPr>
        <w:pStyle w:val="Paragraph"/>
        <w:rPr>
          <w:b/>
          <w:bCs/>
        </w:rPr>
      </w:pPr>
      <w:r w:rsidRPr="00B72976">
        <w:rPr>
          <w:b/>
          <w:bCs/>
        </w:rPr>
        <w:t>Baseline</w:t>
      </w:r>
    </w:p>
    <w:p w14:paraId="5B9E406C" w14:textId="3A43160D" w:rsidR="0021162F" w:rsidRDefault="001E4074" w:rsidP="009011C8">
      <w:pPr>
        <w:pStyle w:val="Paragraph"/>
        <w:widowControl w:val="0"/>
        <w:rPr>
          <w:b/>
        </w:rPr>
      </w:pPr>
      <w:r w:rsidRPr="00B72976">
        <w:t>The baseline RCW 70A.245.020 require</w:t>
      </w:r>
      <w:r w:rsidR="00326CD1">
        <w:t>s</w:t>
      </w:r>
      <w:r>
        <w:t xml:space="preserve"> </w:t>
      </w:r>
      <w:r w:rsidRPr="00B72976">
        <w:t xml:space="preserve">producers </w:t>
      </w:r>
      <w:r w:rsidR="00B72976" w:rsidRPr="00B72976">
        <w:t>to</w:t>
      </w:r>
      <w:r w:rsidRPr="00B72976">
        <w:t xml:space="preserve"> annually meet minimum PCRC percentages in their respective PCRC product categories</w:t>
      </w:r>
      <w:r w:rsidR="00B72976">
        <w:rPr>
          <w:b/>
        </w:rPr>
        <w:t>,</w:t>
      </w:r>
      <w:r w:rsidRPr="00B72976">
        <w:t xml:space="preserve"> beginning on the</w:t>
      </w:r>
      <w:r w:rsidR="000524DD">
        <w:t xml:space="preserve"> </w:t>
      </w:r>
      <w:r w:rsidRPr="00B72976">
        <w:t>dates below</w:t>
      </w:r>
      <w:r>
        <w:t>:</w:t>
      </w:r>
    </w:p>
    <w:p w14:paraId="3AB1B7D5" w14:textId="7D0B99F8" w:rsidR="00B72976" w:rsidRPr="00CF67F2" w:rsidRDefault="00464ABF" w:rsidP="003714E6">
      <w:pPr>
        <w:pStyle w:val="Caption"/>
        <w:keepNext/>
        <w:keepLines/>
      </w:pPr>
      <w:bookmarkStart w:id="32" w:name="_Toc133303721"/>
      <w:r w:rsidRPr="00CF67F2">
        <w:lastRenderedPageBreak/>
        <w:t xml:space="preserve">Table </w:t>
      </w:r>
      <w:fldSimple w:instr=" SEQ Table \* ARABIC ">
        <w:r w:rsidR="00B94460">
          <w:rPr>
            <w:noProof/>
          </w:rPr>
          <w:t>2</w:t>
        </w:r>
      </w:fldSimple>
      <w:r w:rsidR="00CF67F2" w:rsidRPr="00CF67F2">
        <w:t xml:space="preserve">. </w:t>
      </w:r>
      <w:r w:rsidR="000C7507">
        <w:t>Postconsumer</w:t>
      </w:r>
      <w:r w:rsidRPr="00CF67F2">
        <w:t xml:space="preserve"> recycl</w:t>
      </w:r>
      <w:r w:rsidR="00C12B3D" w:rsidRPr="00CF67F2">
        <w:t>ed</w:t>
      </w:r>
      <w:r w:rsidRPr="00CF67F2">
        <w:t xml:space="preserve"> content requirement and phases</w:t>
      </w:r>
      <w:r w:rsidR="0056657A" w:rsidRPr="00CF67F2">
        <w:t>.</w:t>
      </w:r>
      <w:bookmarkEnd w:id="32"/>
    </w:p>
    <w:tbl>
      <w:tblPr>
        <w:tblStyle w:val="GridTable5Dark-Accent3"/>
        <w:tblW w:w="0" w:type="auto"/>
        <w:jc w:val="center"/>
        <w:tblLook w:val="04A0" w:firstRow="1" w:lastRow="0" w:firstColumn="1" w:lastColumn="0" w:noHBand="0" w:noVBand="1"/>
        <w:tblCaption w:val="Post-consumer recycled content requirement and phases."/>
      </w:tblPr>
      <w:tblGrid>
        <w:gridCol w:w="1426"/>
        <w:gridCol w:w="1426"/>
        <w:gridCol w:w="1426"/>
        <w:gridCol w:w="1426"/>
        <w:gridCol w:w="1426"/>
        <w:gridCol w:w="1426"/>
      </w:tblGrid>
      <w:tr w:rsidR="00D6388B" w:rsidRPr="003714E6" w14:paraId="1857742F" w14:textId="77777777" w:rsidTr="003714E6">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426" w:type="dxa"/>
            <w:tcBorders>
              <w:bottom w:val="single" w:sz="4" w:space="0" w:color="auto"/>
            </w:tcBorders>
            <w:shd w:val="clear" w:color="auto" w:fill="auto"/>
            <w:noWrap/>
            <w:vAlign w:val="center"/>
          </w:tcPr>
          <w:p w14:paraId="68B466D4" w14:textId="7178F7AE" w:rsidR="00D6388B" w:rsidRPr="003714E6" w:rsidRDefault="00B72976" w:rsidP="003714E6">
            <w:pPr>
              <w:pStyle w:val="Paragraph"/>
              <w:keepNext/>
              <w:keepLines/>
              <w:rPr>
                <w:b w:val="0"/>
                <w:bCs w:val="0"/>
                <w:color w:val="auto"/>
              </w:rPr>
            </w:pPr>
            <w:r w:rsidRPr="003714E6">
              <w:rPr>
                <w:b w:val="0"/>
                <w:bCs w:val="0"/>
                <w:color w:val="auto"/>
              </w:rPr>
              <w:t>Minimum Recycled Content</w:t>
            </w:r>
          </w:p>
        </w:tc>
        <w:tc>
          <w:tcPr>
            <w:tcW w:w="1426" w:type="dxa"/>
            <w:tcBorders>
              <w:bottom w:val="single" w:sz="4" w:space="0" w:color="auto"/>
            </w:tcBorders>
            <w:shd w:val="clear" w:color="auto" w:fill="auto"/>
            <w:noWrap/>
            <w:vAlign w:val="center"/>
          </w:tcPr>
          <w:p w14:paraId="6BD9B0AC" w14:textId="000504AA" w:rsidR="00D6388B" w:rsidRPr="003714E6" w:rsidRDefault="00D6388B" w:rsidP="003714E6">
            <w:pPr>
              <w:pStyle w:val="Paragraph"/>
              <w:keepNext/>
              <w:keepLines/>
              <w:cnfStyle w:val="100000000000" w:firstRow="1" w:lastRow="0" w:firstColumn="0" w:lastColumn="0" w:oddVBand="0" w:evenVBand="0" w:oddHBand="0" w:evenHBand="0" w:firstRowFirstColumn="0" w:firstRowLastColumn="0" w:lastRowFirstColumn="0" w:lastRowLastColumn="0"/>
              <w:rPr>
                <w:b w:val="0"/>
                <w:bCs w:val="0"/>
                <w:color w:val="auto"/>
              </w:rPr>
            </w:pPr>
            <w:r w:rsidRPr="003714E6">
              <w:rPr>
                <w:b w:val="0"/>
                <w:bCs w:val="0"/>
                <w:color w:val="auto"/>
              </w:rPr>
              <w:t>Beverage container producers</w:t>
            </w:r>
          </w:p>
        </w:tc>
        <w:tc>
          <w:tcPr>
            <w:tcW w:w="1426" w:type="dxa"/>
            <w:tcBorders>
              <w:bottom w:val="single" w:sz="4" w:space="0" w:color="auto"/>
            </w:tcBorders>
            <w:shd w:val="clear" w:color="auto" w:fill="auto"/>
            <w:vAlign w:val="center"/>
          </w:tcPr>
          <w:p w14:paraId="195BB8A3" w14:textId="6506E60F" w:rsidR="00D6388B" w:rsidRPr="003714E6" w:rsidRDefault="00D6388B" w:rsidP="003714E6">
            <w:pPr>
              <w:pStyle w:val="Paragraph"/>
              <w:keepNext/>
              <w:keepLines/>
              <w:cnfStyle w:val="100000000000" w:firstRow="1" w:lastRow="0" w:firstColumn="0" w:lastColumn="0" w:oddVBand="0" w:evenVBand="0" w:oddHBand="0" w:evenHBand="0" w:firstRowFirstColumn="0" w:firstRowLastColumn="0" w:lastRowFirstColumn="0" w:lastRowLastColumn="0"/>
              <w:rPr>
                <w:b w:val="0"/>
                <w:bCs w:val="0"/>
                <w:color w:val="auto"/>
              </w:rPr>
            </w:pPr>
            <w:r w:rsidRPr="003714E6">
              <w:rPr>
                <w:b w:val="0"/>
                <w:bCs w:val="0"/>
                <w:color w:val="auto"/>
              </w:rPr>
              <w:t>Household cleaner and personal care container producers</w:t>
            </w:r>
          </w:p>
        </w:tc>
        <w:tc>
          <w:tcPr>
            <w:tcW w:w="1426" w:type="dxa"/>
            <w:tcBorders>
              <w:bottom w:val="single" w:sz="4" w:space="0" w:color="auto"/>
            </w:tcBorders>
            <w:shd w:val="clear" w:color="auto" w:fill="auto"/>
            <w:vAlign w:val="center"/>
          </w:tcPr>
          <w:p w14:paraId="6EC70C52" w14:textId="5E696788" w:rsidR="00D6388B" w:rsidRPr="003714E6" w:rsidRDefault="00D6388B" w:rsidP="003714E6">
            <w:pPr>
              <w:pStyle w:val="Paragraph"/>
              <w:keepNext/>
              <w:keepLines/>
              <w:cnfStyle w:val="100000000000" w:firstRow="1" w:lastRow="0" w:firstColumn="0" w:lastColumn="0" w:oddVBand="0" w:evenVBand="0" w:oddHBand="0" w:evenHBand="0" w:firstRowFirstColumn="0" w:firstRowLastColumn="0" w:lastRowFirstColumn="0" w:lastRowLastColumn="0"/>
              <w:rPr>
                <w:b w:val="0"/>
                <w:bCs w:val="0"/>
                <w:color w:val="auto"/>
              </w:rPr>
            </w:pPr>
            <w:r w:rsidRPr="003714E6">
              <w:rPr>
                <w:b w:val="0"/>
                <w:bCs w:val="0"/>
                <w:color w:val="auto"/>
              </w:rPr>
              <w:t>Plastic wine container (187 milliliters) producer</w:t>
            </w:r>
            <w:r w:rsidR="009961D6" w:rsidRPr="003714E6">
              <w:rPr>
                <w:b w:val="0"/>
                <w:bCs w:val="0"/>
                <w:color w:val="auto"/>
              </w:rPr>
              <w:t>s</w:t>
            </w:r>
          </w:p>
        </w:tc>
        <w:tc>
          <w:tcPr>
            <w:tcW w:w="1426" w:type="dxa"/>
            <w:tcBorders>
              <w:bottom w:val="single" w:sz="4" w:space="0" w:color="auto"/>
            </w:tcBorders>
            <w:shd w:val="clear" w:color="auto" w:fill="auto"/>
            <w:vAlign w:val="center"/>
          </w:tcPr>
          <w:p w14:paraId="65308E16" w14:textId="7621D78A" w:rsidR="00D6388B" w:rsidRPr="003714E6" w:rsidRDefault="00D6388B" w:rsidP="003714E6">
            <w:pPr>
              <w:pStyle w:val="Paragraph"/>
              <w:keepNext/>
              <w:keepLines/>
              <w:cnfStyle w:val="100000000000" w:firstRow="1" w:lastRow="0" w:firstColumn="0" w:lastColumn="0" w:oddVBand="0" w:evenVBand="0" w:oddHBand="0" w:evenHBand="0" w:firstRowFirstColumn="0" w:firstRowLastColumn="0" w:lastRowFirstColumn="0" w:lastRowLastColumn="0"/>
              <w:rPr>
                <w:b w:val="0"/>
                <w:bCs w:val="0"/>
                <w:color w:val="auto"/>
              </w:rPr>
            </w:pPr>
            <w:r w:rsidRPr="003714E6">
              <w:rPr>
                <w:b w:val="0"/>
                <w:bCs w:val="0"/>
                <w:color w:val="auto"/>
              </w:rPr>
              <w:t>Dairy container producers</w:t>
            </w:r>
          </w:p>
        </w:tc>
        <w:tc>
          <w:tcPr>
            <w:tcW w:w="1426" w:type="dxa"/>
            <w:tcBorders>
              <w:bottom w:val="single" w:sz="4" w:space="0" w:color="auto"/>
            </w:tcBorders>
            <w:shd w:val="clear" w:color="auto" w:fill="auto"/>
            <w:vAlign w:val="center"/>
          </w:tcPr>
          <w:p w14:paraId="12C7DC34" w14:textId="49EE1130" w:rsidR="00D6388B" w:rsidRPr="003714E6" w:rsidRDefault="00D6388B" w:rsidP="003714E6">
            <w:pPr>
              <w:pStyle w:val="Paragraph"/>
              <w:keepNext/>
              <w:keepLines/>
              <w:cnfStyle w:val="100000000000" w:firstRow="1" w:lastRow="0" w:firstColumn="0" w:lastColumn="0" w:oddVBand="0" w:evenVBand="0" w:oddHBand="0" w:evenHBand="0" w:firstRowFirstColumn="0" w:firstRowLastColumn="0" w:lastRowFirstColumn="0" w:lastRowLastColumn="0"/>
              <w:rPr>
                <w:b w:val="0"/>
                <w:bCs w:val="0"/>
                <w:color w:val="auto"/>
              </w:rPr>
            </w:pPr>
            <w:r w:rsidRPr="003714E6">
              <w:rPr>
                <w:b w:val="0"/>
                <w:bCs w:val="0"/>
                <w:color w:val="auto"/>
              </w:rPr>
              <w:t>Plastic trash bag producers</w:t>
            </w:r>
          </w:p>
        </w:tc>
      </w:tr>
      <w:tr w:rsidR="00D6388B" w:rsidRPr="003714E6" w14:paraId="705D0F2D" w14:textId="77777777" w:rsidTr="003714E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bottom w:val="single" w:sz="4" w:space="0" w:color="auto"/>
            </w:tcBorders>
            <w:shd w:val="clear" w:color="auto" w:fill="auto"/>
            <w:noWrap/>
            <w:vAlign w:val="center"/>
            <w:hideMark/>
          </w:tcPr>
          <w:p w14:paraId="7CB82BA2" w14:textId="77777777" w:rsidR="00D6388B" w:rsidRPr="003714E6" w:rsidRDefault="00D6388B" w:rsidP="003714E6">
            <w:pPr>
              <w:pStyle w:val="Tablecell"/>
              <w:keepLines/>
              <w:widowControl w:val="0"/>
              <w:rPr>
                <w:b w:val="0"/>
                <w:iCs w:val="0"/>
                <w:color w:val="auto"/>
              </w:rPr>
            </w:pPr>
            <w:r w:rsidRPr="003714E6">
              <w:rPr>
                <w:b w:val="0"/>
                <w:iCs w:val="0"/>
                <w:color w:val="auto"/>
              </w:rPr>
              <w:t>10 percent</w:t>
            </w:r>
          </w:p>
        </w:tc>
        <w:tc>
          <w:tcPr>
            <w:tcW w:w="1426" w:type="dxa"/>
            <w:tcBorders>
              <w:top w:val="single" w:sz="4" w:space="0" w:color="auto"/>
              <w:bottom w:val="single" w:sz="4" w:space="0" w:color="auto"/>
            </w:tcBorders>
            <w:shd w:val="clear" w:color="auto" w:fill="auto"/>
            <w:noWrap/>
            <w:vAlign w:val="center"/>
            <w:hideMark/>
          </w:tcPr>
          <w:p w14:paraId="579C59E0" w14:textId="77777777" w:rsidR="00D6388B"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Pr>
                <w:b/>
                <w:iCs w:val="0"/>
              </w:rPr>
              <w:t>n/a</w:t>
            </w:r>
          </w:p>
          <w:p w14:paraId="406EDCB0" w14:textId="318BB49B" w:rsidR="00EE435D" w:rsidRPr="003714E6"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p>
        </w:tc>
        <w:tc>
          <w:tcPr>
            <w:tcW w:w="1426" w:type="dxa"/>
            <w:tcBorders>
              <w:top w:val="single" w:sz="4" w:space="0" w:color="auto"/>
              <w:bottom w:val="single" w:sz="4" w:space="0" w:color="auto"/>
            </w:tcBorders>
            <w:shd w:val="clear" w:color="auto" w:fill="auto"/>
            <w:vAlign w:val="center"/>
            <w:hideMark/>
          </w:tcPr>
          <w:p w14:paraId="78152912" w14:textId="75C93543" w:rsidR="00D6388B" w:rsidRPr="003714E6"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Pr>
                <w:b/>
                <w:iCs w:val="0"/>
              </w:rPr>
              <w:t>n/a</w:t>
            </w:r>
          </w:p>
        </w:tc>
        <w:tc>
          <w:tcPr>
            <w:tcW w:w="1426" w:type="dxa"/>
            <w:tcBorders>
              <w:top w:val="single" w:sz="4" w:space="0" w:color="auto"/>
              <w:bottom w:val="single" w:sz="4" w:space="0" w:color="auto"/>
            </w:tcBorders>
            <w:shd w:val="clear" w:color="auto" w:fill="auto"/>
            <w:vAlign w:val="center"/>
            <w:hideMark/>
          </w:tcPr>
          <w:p w14:paraId="5ED58F46" w14:textId="07E53257" w:rsidR="00D6388B" w:rsidRPr="003714E6"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Pr>
                <w:b/>
                <w:iCs w:val="0"/>
              </w:rPr>
              <w:t>n/a</w:t>
            </w:r>
          </w:p>
        </w:tc>
        <w:tc>
          <w:tcPr>
            <w:tcW w:w="1426" w:type="dxa"/>
            <w:tcBorders>
              <w:top w:val="single" w:sz="4" w:space="0" w:color="auto"/>
              <w:bottom w:val="single" w:sz="4" w:space="0" w:color="auto"/>
            </w:tcBorders>
            <w:shd w:val="clear" w:color="auto" w:fill="auto"/>
            <w:vAlign w:val="center"/>
            <w:hideMark/>
          </w:tcPr>
          <w:p w14:paraId="41E65476" w14:textId="6706BB96" w:rsidR="00D6388B" w:rsidRPr="003714E6"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Pr>
                <w:b/>
                <w:iCs w:val="0"/>
              </w:rPr>
              <w:t>n/a</w:t>
            </w:r>
          </w:p>
        </w:tc>
        <w:tc>
          <w:tcPr>
            <w:tcW w:w="1426" w:type="dxa"/>
            <w:tcBorders>
              <w:top w:val="single" w:sz="4" w:space="0" w:color="auto"/>
              <w:bottom w:val="single" w:sz="4" w:space="0" w:color="auto"/>
            </w:tcBorders>
            <w:shd w:val="clear" w:color="auto" w:fill="auto"/>
            <w:vAlign w:val="center"/>
            <w:hideMark/>
          </w:tcPr>
          <w:p w14:paraId="3C42F927" w14:textId="77777777" w:rsidR="00D6388B" w:rsidRPr="003714E6" w:rsidRDefault="00D6388B"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sidRPr="003714E6">
              <w:rPr>
                <w:b/>
                <w:iCs w:val="0"/>
              </w:rPr>
              <w:t>1/1/2023</w:t>
            </w:r>
          </w:p>
        </w:tc>
      </w:tr>
      <w:tr w:rsidR="00D6388B" w:rsidRPr="003714E6" w14:paraId="5B043B51" w14:textId="77777777" w:rsidTr="003714E6">
        <w:trPr>
          <w:cantSplit/>
          <w:jc w:val="center"/>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bottom w:val="single" w:sz="4" w:space="0" w:color="auto"/>
            </w:tcBorders>
            <w:shd w:val="clear" w:color="auto" w:fill="auto"/>
            <w:noWrap/>
            <w:vAlign w:val="center"/>
            <w:hideMark/>
          </w:tcPr>
          <w:p w14:paraId="3D1C3286" w14:textId="77777777" w:rsidR="00D6388B" w:rsidRPr="003714E6" w:rsidRDefault="00D6388B" w:rsidP="003714E6">
            <w:pPr>
              <w:pStyle w:val="Tablecell"/>
              <w:keepLines/>
              <w:widowControl w:val="0"/>
              <w:rPr>
                <w:b w:val="0"/>
                <w:iCs w:val="0"/>
                <w:color w:val="auto"/>
              </w:rPr>
            </w:pPr>
            <w:r w:rsidRPr="003714E6">
              <w:rPr>
                <w:b w:val="0"/>
                <w:iCs w:val="0"/>
                <w:color w:val="auto"/>
              </w:rPr>
              <w:t>15 percent</w:t>
            </w:r>
          </w:p>
        </w:tc>
        <w:tc>
          <w:tcPr>
            <w:tcW w:w="1426" w:type="dxa"/>
            <w:tcBorders>
              <w:top w:val="single" w:sz="4" w:space="0" w:color="auto"/>
              <w:bottom w:val="single" w:sz="4" w:space="0" w:color="auto"/>
            </w:tcBorders>
            <w:shd w:val="clear" w:color="auto" w:fill="auto"/>
            <w:noWrap/>
            <w:vAlign w:val="center"/>
            <w:hideMark/>
          </w:tcPr>
          <w:p w14:paraId="7F9DD4E1" w14:textId="77777777" w:rsidR="00D6388B" w:rsidRDefault="00D6388B"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r w:rsidRPr="003714E6">
              <w:rPr>
                <w:b/>
                <w:iCs w:val="0"/>
              </w:rPr>
              <w:t>1/1/2023</w:t>
            </w:r>
          </w:p>
          <w:p w14:paraId="7DCB1E36" w14:textId="2430CFBA" w:rsidR="00EE435D" w:rsidRPr="003714E6" w:rsidRDefault="00EE435D"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p>
        </w:tc>
        <w:tc>
          <w:tcPr>
            <w:tcW w:w="1426" w:type="dxa"/>
            <w:tcBorders>
              <w:top w:val="single" w:sz="4" w:space="0" w:color="auto"/>
              <w:bottom w:val="single" w:sz="4" w:space="0" w:color="auto"/>
            </w:tcBorders>
            <w:shd w:val="clear" w:color="auto" w:fill="auto"/>
            <w:noWrap/>
            <w:vAlign w:val="center"/>
            <w:hideMark/>
          </w:tcPr>
          <w:p w14:paraId="7452EE28" w14:textId="77777777" w:rsidR="00D6388B" w:rsidRPr="003714E6" w:rsidRDefault="00D6388B"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r w:rsidRPr="003714E6">
              <w:rPr>
                <w:b/>
                <w:iCs w:val="0"/>
              </w:rPr>
              <w:t>1/1/2025</w:t>
            </w:r>
          </w:p>
        </w:tc>
        <w:tc>
          <w:tcPr>
            <w:tcW w:w="1426" w:type="dxa"/>
            <w:tcBorders>
              <w:top w:val="single" w:sz="4" w:space="0" w:color="auto"/>
              <w:bottom w:val="single" w:sz="4" w:space="0" w:color="auto"/>
            </w:tcBorders>
            <w:shd w:val="clear" w:color="auto" w:fill="auto"/>
            <w:noWrap/>
            <w:vAlign w:val="center"/>
            <w:hideMark/>
          </w:tcPr>
          <w:p w14:paraId="2C876E24" w14:textId="77777777" w:rsidR="00D6388B" w:rsidRPr="003714E6" w:rsidRDefault="00D6388B"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r w:rsidRPr="003714E6">
              <w:rPr>
                <w:b/>
                <w:iCs w:val="0"/>
              </w:rPr>
              <w:t>1/1/2028</w:t>
            </w:r>
          </w:p>
        </w:tc>
        <w:tc>
          <w:tcPr>
            <w:tcW w:w="1426" w:type="dxa"/>
            <w:tcBorders>
              <w:top w:val="single" w:sz="4" w:space="0" w:color="auto"/>
              <w:bottom w:val="single" w:sz="4" w:space="0" w:color="auto"/>
            </w:tcBorders>
            <w:shd w:val="clear" w:color="auto" w:fill="auto"/>
            <w:noWrap/>
            <w:vAlign w:val="center"/>
            <w:hideMark/>
          </w:tcPr>
          <w:p w14:paraId="62992D6C" w14:textId="77777777" w:rsidR="00D6388B" w:rsidRPr="003714E6" w:rsidRDefault="00D6388B"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r w:rsidRPr="003714E6">
              <w:rPr>
                <w:b/>
                <w:iCs w:val="0"/>
              </w:rPr>
              <w:t>1/1/2028</w:t>
            </w:r>
          </w:p>
        </w:tc>
        <w:tc>
          <w:tcPr>
            <w:tcW w:w="1426" w:type="dxa"/>
            <w:tcBorders>
              <w:top w:val="single" w:sz="4" w:space="0" w:color="auto"/>
              <w:bottom w:val="single" w:sz="4" w:space="0" w:color="auto"/>
            </w:tcBorders>
            <w:shd w:val="clear" w:color="auto" w:fill="auto"/>
            <w:vAlign w:val="center"/>
            <w:hideMark/>
          </w:tcPr>
          <w:p w14:paraId="297079FA" w14:textId="77777777" w:rsidR="00D6388B" w:rsidRPr="003714E6" w:rsidRDefault="00D6388B"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r w:rsidRPr="003714E6">
              <w:rPr>
                <w:b/>
                <w:iCs w:val="0"/>
              </w:rPr>
              <w:t>1/1/2025</w:t>
            </w:r>
          </w:p>
        </w:tc>
      </w:tr>
      <w:tr w:rsidR="00D6388B" w:rsidRPr="003714E6" w14:paraId="154B2C20" w14:textId="77777777" w:rsidTr="003714E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bottom w:val="single" w:sz="4" w:space="0" w:color="auto"/>
            </w:tcBorders>
            <w:shd w:val="clear" w:color="auto" w:fill="auto"/>
            <w:noWrap/>
            <w:vAlign w:val="center"/>
            <w:hideMark/>
          </w:tcPr>
          <w:p w14:paraId="4C6487EA" w14:textId="77777777" w:rsidR="00D6388B" w:rsidRPr="003714E6" w:rsidRDefault="00D6388B" w:rsidP="003714E6">
            <w:pPr>
              <w:pStyle w:val="Tablecell"/>
              <w:keepLines/>
              <w:widowControl w:val="0"/>
              <w:rPr>
                <w:b w:val="0"/>
                <w:iCs w:val="0"/>
                <w:color w:val="auto"/>
              </w:rPr>
            </w:pPr>
            <w:r w:rsidRPr="003714E6">
              <w:rPr>
                <w:b w:val="0"/>
                <w:iCs w:val="0"/>
                <w:color w:val="auto"/>
              </w:rPr>
              <w:t>20 percent</w:t>
            </w:r>
          </w:p>
        </w:tc>
        <w:tc>
          <w:tcPr>
            <w:tcW w:w="1426" w:type="dxa"/>
            <w:tcBorders>
              <w:top w:val="single" w:sz="4" w:space="0" w:color="auto"/>
              <w:bottom w:val="single" w:sz="4" w:space="0" w:color="auto"/>
            </w:tcBorders>
            <w:shd w:val="clear" w:color="auto" w:fill="auto"/>
            <w:noWrap/>
            <w:vAlign w:val="center"/>
            <w:hideMark/>
          </w:tcPr>
          <w:p w14:paraId="4D55CEA6" w14:textId="77777777" w:rsidR="00D6388B"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Pr>
                <w:b/>
                <w:iCs w:val="0"/>
              </w:rPr>
              <w:t>n/a</w:t>
            </w:r>
          </w:p>
          <w:p w14:paraId="47BEEEA7" w14:textId="64FCB26C" w:rsidR="00EE435D" w:rsidRPr="003714E6"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p>
        </w:tc>
        <w:tc>
          <w:tcPr>
            <w:tcW w:w="1426" w:type="dxa"/>
            <w:tcBorders>
              <w:top w:val="single" w:sz="4" w:space="0" w:color="auto"/>
              <w:bottom w:val="single" w:sz="4" w:space="0" w:color="auto"/>
            </w:tcBorders>
            <w:shd w:val="clear" w:color="auto" w:fill="auto"/>
            <w:vAlign w:val="center"/>
            <w:hideMark/>
          </w:tcPr>
          <w:p w14:paraId="02D663EC" w14:textId="5655E458" w:rsidR="00D6388B" w:rsidRPr="003714E6"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Pr>
                <w:b/>
                <w:iCs w:val="0"/>
              </w:rPr>
              <w:t>n/a</w:t>
            </w:r>
          </w:p>
        </w:tc>
        <w:tc>
          <w:tcPr>
            <w:tcW w:w="1426" w:type="dxa"/>
            <w:tcBorders>
              <w:top w:val="single" w:sz="4" w:space="0" w:color="auto"/>
              <w:bottom w:val="single" w:sz="4" w:space="0" w:color="auto"/>
            </w:tcBorders>
            <w:shd w:val="clear" w:color="auto" w:fill="auto"/>
            <w:vAlign w:val="center"/>
            <w:hideMark/>
          </w:tcPr>
          <w:p w14:paraId="75C413BF" w14:textId="6E6F06AC" w:rsidR="00D6388B" w:rsidRPr="003714E6"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Pr>
                <w:b/>
                <w:iCs w:val="0"/>
              </w:rPr>
              <w:t>n/a</w:t>
            </w:r>
          </w:p>
        </w:tc>
        <w:tc>
          <w:tcPr>
            <w:tcW w:w="1426" w:type="dxa"/>
            <w:tcBorders>
              <w:top w:val="single" w:sz="4" w:space="0" w:color="auto"/>
              <w:bottom w:val="single" w:sz="4" w:space="0" w:color="auto"/>
            </w:tcBorders>
            <w:shd w:val="clear" w:color="auto" w:fill="auto"/>
            <w:vAlign w:val="center"/>
            <w:hideMark/>
          </w:tcPr>
          <w:p w14:paraId="7E367D5F" w14:textId="74FCF996" w:rsidR="00D6388B" w:rsidRPr="003714E6"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Pr>
                <w:b/>
                <w:iCs w:val="0"/>
              </w:rPr>
              <w:t>n/a</w:t>
            </w:r>
          </w:p>
        </w:tc>
        <w:tc>
          <w:tcPr>
            <w:tcW w:w="1426" w:type="dxa"/>
            <w:tcBorders>
              <w:top w:val="single" w:sz="4" w:space="0" w:color="auto"/>
              <w:bottom w:val="single" w:sz="4" w:space="0" w:color="auto"/>
            </w:tcBorders>
            <w:shd w:val="clear" w:color="auto" w:fill="auto"/>
            <w:vAlign w:val="center"/>
            <w:hideMark/>
          </w:tcPr>
          <w:p w14:paraId="0B74A784" w14:textId="77777777" w:rsidR="00D6388B" w:rsidRPr="003714E6" w:rsidRDefault="00D6388B"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sidRPr="003714E6">
              <w:rPr>
                <w:b/>
                <w:iCs w:val="0"/>
              </w:rPr>
              <w:t>1/1/2027</w:t>
            </w:r>
          </w:p>
        </w:tc>
      </w:tr>
      <w:tr w:rsidR="00D6388B" w:rsidRPr="003714E6" w14:paraId="6E3E73F4" w14:textId="77777777" w:rsidTr="003714E6">
        <w:trPr>
          <w:cantSplit/>
          <w:jc w:val="center"/>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bottom w:val="single" w:sz="4" w:space="0" w:color="auto"/>
            </w:tcBorders>
            <w:shd w:val="clear" w:color="auto" w:fill="auto"/>
            <w:noWrap/>
            <w:vAlign w:val="center"/>
            <w:hideMark/>
          </w:tcPr>
          <w:p w14:paraId="7FE891CD" w14:textId="77777777" w:rsidR="00D6388B" w:rsidRPr="003714E6" w:rsidRDefault="00D6388B" w:rsidP="003714E6">
            <w:pPr>
              <w:pStyle w:val="Tablecell"/>
              <w:keepLines/>
              <w:widowControl w:val="0"/>
              <w:rPr>
                <w:b w:val="0"/>
                <w:iCs w:val="0"/>
                <w:color w:val="auto"/>
              </w:rPr>
            </w:pPr>
            <w:r w:rsidRPr="003714E6">
              <w:rPr>
                <w:b w:val="0"/>
                <w:iCs w:val="0"/>
                <w:color w:val="auto"/>
              </w:rPr>
              <w:t>25 percent</w:t>
            </w:r>
          </w:p>
        </w:tc>
        <w:tc>
          <w:tcPr>
            <w:tcW w:w="1426" w:type="dxa"/>
            <w:tcBorders>
              <w:top w:val="single" w:sz="4" w:space="0" w:color="auto"/>
              <w:bottom w:val="single" w:sz="4" w:space="0" w:color="auto"/>
            </w:tcBorders>
            <w:shd w:val="clear" w:color="auto" w:fill="auto"/>
            <w:noWrap/>
            <w:vAlign w:val="center"/>
            <w:hideMark/>
          </w:tcPr>
          <w:p w14:paraId="52B8658E" w14:textId="77777777" w:rsidR="00D6388B" w:rsidRDefault="00D6388B"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r w:rsidRPr="003714E6">
              <w:rPr>
                <w:b/>
                <w:iCs w:val="0"/>
              </w:rPr>
              <w:t>1/1/2026</w:t>
            </w:r>
          </w:p>
          <w:p w14:paraId="182E5EEF" w14:textId="6FE581FB" w:rsidR="00EE435D" w:rsidRPr="003714E6" w:rsidRDefault="00EE435D"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p>
        </w:tc>
        <w:tc>
          <w:tcPr>
            <w:tcW w:w="1426" w:type="dxa"/>
            <w:tcBorders>
              <w:top w:val="single" w:sz="4" w:space="0" w:color="auto"/>
              <w:bottom w:val="single" w:sz="4" w:space="0" w:color="auto"/>
            </w:tcBorders>
            <w:shd w:val="clear" w:color="auto" w:fill="auto"/>
            <w:noWrap/>
            <w:vAlign w:val="center"/>
            <w:hideMark/>
          </w:tcPr>
          <w:p w14:paraId="45FCBB3C" w14:textId="77777777" w:rsidR="00D6388B" w:rsidRPr="003714E6" w:rsidRDefault="00D6388B"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r w:rsidRPr="003714E6">
              <w:rPr>
                <w:b/>
                <w:iCs w:val="0"/>
              </w:rPr>
              <w:t>1/1/2028</w:t>
            </w:r>
          </w:p>
        </w:tc>
        <w:tc>
          <w:tcPr>
            <w:tcW w:w="1426" w:type="dxa"/>
            <w:tcBorders>
              <w:top w:val="single" w:sz="4" w:space="0" w:color="auto"/>
              <w:bottom w:val="single" w:sz="4" w:space="0" w:color="auto"/>
            </w:tcBorders>
            <w:shd w:val="clear" w:color="auto" w:fill="auto"/>
            <w:noWrap/>
            <w:vAlign w:val="center"/>
            <w:hideMark/>
          </w:tcPr>
          <w:p w14:paraId="0BA7C06C" w14:textId="77777777" w:rsidR="00D6388B" w:rsidRPr="003714E6" w:rsidRDefault="00D6388B"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r w:rsidRPr="003714E6">
              <w:rPr>
                <w:b/>
                <w:iCs w:val="0"/>
              </w:rPr>
              <w:t>1/1/2031</w:t>
            </w:r>
          </w:p>
        </w:tc>
        <w:tc>
          <w:tcPr>
            <w:tcW w:w="1426" w:type="dxa"/>
            <w:tcBorders>
              <w:top w:val="single" w:sz="4" w:space="0" w:color="auto"/>
              <w:bottom w:val="single" w:sz="4" w:space="0" w:color="auto"/>
            </w:tcBorders>
            <w:shd w:val="clear" w:color="auto" w:fill="auto"/>
            <w:noWrap/>
            <w:vAlign w:val="center"/>
            <w:hideMark/>
          </w:tcPr>
          <w:p w14:paraId="3D8D979F" w14:textId="77777777" w:rsidR="00D6388B" w:rsidRPr="003714E6" w:rsidRDefault="00D6388B"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r w:rsidRPr="003714E6">
              <w:rPr>
                <w:b/>
                <w:iCs w:val="0"/>
              </w:rPr>
              <w:t>1/1/2031</w:t>
            </w:r>
          </w:p>
        </w:tc>
        <w:tc>
          <w:tcPr>
            <w:tcW w:w="1426" w:type="dxa"/>
            <w:tcBorders>
              <w:top w:val="single" w:sz="4" w:space="0" w:color="auto"/>
              <w:bottom w:val="single" w:sz="4" w:space="0" w:color="auto"/>
            </w:tcBorders>
            <w:shd w:val="clear" w:color="auto" w:fill="auto"/>
            <w:vAlign w:val="center"/>
            <w:hideMark/>
          </w:tcPr>
          <w:p w14:paraId="7BFE84ED" w14:textId="278C9266" w:rsidR="00D6388B" w:rsidRPr="003714E6" w:rsidRDefault="00EE435D" w:rsidP="003714E6">
            <w:pPr>
              <w:pStyle w:val="Tablecell"/>
              <w:keepLines/>
              <w:widowControl w:val="0"/>
              <w:jc w:val="center"/>
              <w:cnfStyle w:val="000000000000" w:firstRow="0" w:lastRow="0" w:firstColumn="0" w:lastColumn="0" w:oddVBand="0" w:evenVBand="0" w:oddHBand="0" w:evenHBand="0" w:firstRowFirstColumn="0" w:firstRowLastColumn="0" w:lastRowFirstColumn="0" w:lastRowLastColumn="0"/>
              <w:rPr>
                <w:b/>
                <w:iCs w:val="0"/>
              </w:rPr>
            </w:pPr>
            <w:r>
              <w:rPr>
                <w:b/>
                <w:iCs w:val="0"/>
              </w:rPr>
              <w:t>n/a</w:t>
            </w:r>
          </w:p>
        </w:tc>
      </w:tr>
      <w:tr w:rsidR="00D6388B" w:rsidRPr="003714E6" w14:paraId="703E7B9C" w14:textId="77777777" w:rsidTr="003714E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tcBorders>
            <w:shd w:val="clear" w:color="auto" w:fill="auto"/>
            <w:noWrap/>
            <w:vAlign w:val="center"/>
            <w:hideMark/>
          </w:tcPr>
          <w:p w14:paraId="6CF33B38" w14:textId="77777777" w:rsidR="00D6388B" w:rsidRPr="003714E6" w:rsidRDefault="00D6388B" w:rsidP="003714E6">
            <w:pPr>
              <w:pStyle w:val="Tablecell"/>
              <w:keepLines/>
              <w:widowControl w:val="0"/>
              <w:rPr>
                <w:b w:val="0"/>
                <w:iCs w:val="0"/>
                <w:color w:val="auto"/>
              </w:rPr>
            </w:pPr>
            <w:r w:rsidRPr="003714E6">
              <w:rPr>
                <w:b w:val="0"/>
                <w:iCs w:val="0"/>
                <w:color w:val="auto"/>
              </w:rPr>
              <w:t>50 percent</w:t>
            </w:r>
          </w:p>
        </w:tc>
        <w:tc>
          <w:tcPr>
            <w:tcW w:w="1426" w:type="dxa"/>
            <w:tcBorders>
              <w:top w:val="single" w:sz="4" w:space="0" w:color="auto"/>
            </w:tcBorders>
            <w:shd w:val="clear" w:color="auto" w:fill="auto"/>
            <w:noWrap/>
            <w:vAlign w:val="center"/>
            <w:hideMark/>
          </w:tcPr>
          <w:p w14:paraId="79709DDE" w14:textId="77777777" w:rsidR="00D6388B" w:rsidRDefault="00D6388B"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sidRPr="003714E6">
              <w:rPr>
                <w:b/>
                <w:iCs w:val="0"/>
              </w:rPr>
              <w:t>1/1/2031</w:t>
            </w:r>
          </w:p>
          <w:p w14:paraId="4A33BC9E" w14:textId="071CDDAB" w:rsidR="00EE435D" w:rsidRPr="003714E6"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p>
        </w:tc>
        <w:tc>
          <w:tcPr>
            <w:tcW w:w="1426" w:type="dxa"/>
            <w:tcBorders>
              <w:top w:val="single" w:sz="4" w:space="0" w:color="auto"/>
            </w:tcBorders>
            <w:shd w:val="clear" w:color="auto" w:fill="auto"/>
            <w:noWrap/>
            <w:vAlign w:val="center"/>
            <w:hideMark/>
          </w:tcPr>
          <w:p w14:paraId="3DD7DB2E" w14:textId="77777777" w:rsidR="00D6388B" w:rsidRPr="003714E6" w:rsidRDefault="00D6388B"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sidRPr="003714E6">
              <w:rPr>
                <w:b/>
                <w:iCs w:val="0"/>
              </w:rPr>
              <w:t>1/1/2031</w:t>
            </w:r>
          </w:p>
        </w:tc>
        <w:tc>
          <w:tcPr>
            <w:tcW w:w="1426" w:type="dxa"/>
            <w:tcBorders>
              <w:top w:val="single" w:sz="4" w:space="0" w:color="auto"/>
            </w:tcBorders>
            <w:shd w:val="clear" w:color="auto" w:fill="auto"/>
            <w:noWrap/>
            <w:vAlign w:val="center"/>
            <w:hideMark/>
          </w:tcPr>
          <w:p w14:paraId="1D004F20" w14:textId="77777777" w:rsidR="00D6388B" w:rsidRPr="003714E6" w:rsidRDefault="00D6388B"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sidRPr="003714E6">
              <w:rPr>
                <w:b/>
                <w:iCs w:val="0"/>
              </w:rPr>
              <w:t>1/1/2036</w:t>
            </w:r>
          </w:p>
        </w:tc>
        <w:tc>
          <w:tcPr>
            <w:tcW w:w="1426" w:type="dxa"/>
            <w:tcBorders>
              <w:top w:val="single" w:sz="4" w:space="0" w:color="auto"/>
            </w:tcBorders>
            <w:shd w:val="clear" w:color="auto" w:fill="auto"/>
            <w:noWrap/>
            <w:vAlign w:val="center"/>
            <w:hideMark/>
          </w:tcPr>
          <w:p w14:paraId="2FE8492E" w14:textId="77777777" w:rsidR="00D6388B" w:rsidRPr="003714E6" w:rsidRDefault="00D6388B"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sidRPr="003714E6">
              <w:rPr>
                <w:b/>
                <w:iCs w:val="0"/>
              </w:rPr>
              <w:t>1/1/2036</w:t>
            </w:r>
          </w:p>
        </w:tc>
        <w:tc>
          <w:tcPr>
            <w:tcW w:w="1426" w:type="dxa"/>
            <w:tcBorders>
              <w:top w:val="single" w:sz="4" w:space="0" w:color="auto"/>
            </w:tcBorders>
            <w:shd w:val="clear" w:color="auto" w:fill="auto"/>
            <w:vAlign w:val="center"/>
            <w:hideMark/>
          </w:tcPr>
          <w:p w14:paraId="7D4C3948" w14:textId="0F669213" w:rsidR="00D6388B" w:rsidRPr="003714E6" w:rsidRDefault="00EE435D" w:rsidP="003714E6">
            <w:pPr>
              <w:pStyle w:val="Tablecell"/>
              <w:keepLines/>
              <w:widowControl w:val="0"/>
              <w:jc w:val="center"/>
              <w:cnfStyle w:val="000000100000" w:firstRow="0" w:lastRow="0" w:firstColumn="0" w:lastColumn="0" w:oddVBand="0" w:evenVBand="0" w:oddHBand="1" w:evenHBand="0" w:firstRowFirstColumn="0" w:firstRowLastColumn="0" w:lastRowFirstColumn="0" w:lastRowLastColumn="0"/>
              <w:rPr>
                <w:b/>
                <w:iCs w:val="0"/>
              </w:rPr>
            </w:pPr>
            <w:r>
              <w:rPr>
                <w:b/>
                <w:iCs w:val="0"/>
              </w:rPr>
              <w:t>n/a</w:t>
            </w:r>
          </w:p>
        </w:tc>
      </w:tr>
    </w:tbl>
    <w:p w14:paraId="53EECD3D" w14:textId="209B749E" w:rsidR="00D6388B" w:rsidRPr="00D6388B" w:rsidRDefault="00E14EBE" w:rsidP="009011C8">
      <w:pPr>
        <w:pStyle w:val="Paragraph"/>
        <w:widowControl w:val="0"/>
        <w:spacing w:before="240"/>
      </w:pPr>
      <w:r>
        <w:t xml:space="preserve">In addition, </w:t>
      </w:r>
      <w:r w:rsidR="00464ED8" w:rsidRPr="00326CD1">
        <w:t>RCW 70A.245.030</w:t>
      </w:r>
      <w:r w:rsidR="00326CD1">
        <w:t xml:space="preserve"> </w:t>
      </w:r>
      <w:r>
        <w:t xml:space="preserve">requires </w:t>
      </w:r>
      <w:r w:rsidR="001E5B99">
        <w:t>p</w:t>
      </w:r>
      <w:r w:rsidR="0023361A" w:rsidRPr="00B72976">
        <w:t>roducers</w:t>
      </w:r>
      <w:r w:rsidR="00D066BE">
        <w:t xml:space="preserve"> to</w:t>
      </w:r>
      <w:r w:rsidR="0023361A" w:rsidRPr="00B72976" w:rsidDel="00D066BE">
        <w:t xml:space="preserve"> </w:t>
      </w:r>
      <w:r w:rsidR="0023361A" w:rsidRPr="00B72976">
        <w:t>annually report PCRC percentages for PCRC products</w:t>
      </w:r>
      <w:r w:rsidR="00472AD8">
        <w:t xml:space="preserve"> beginning on specified dates</w:t>
      </w:r>
      <w:r w:rsidR="00D066BE">
        <w:t xml:space="preserve"> in the previous year</w:t>
      </w:r>
      <w:r w:rsidR="00D96BAB">
        <w:t>.</w:t>
      </w:r>
      <w:r w:rsidR="00464ED8">
        <w:t xml:space="preserve"> </w:t>
      </w:r>
      <w:r w:rsidR="0023361A" w:rsidRPr="00B72976">
        <w:t xml:space="preserve"> </w:t>
      </w:r>
    </w:p>
    <w:p w14:paraId="658ADA32" w14:textId="77777777" w:rsidR="0021162F" w:rsidRPr="00B72976" w:rsidRDefault="0021162F" w:rsidP="009011C8">
      <w:pPr>
        <w:pStyle w:val="Paragraph"/>
        <w:widowControl w:val="0"/>
        <w:rPr>
          <w:b/>
          <w:bCs/>
        </w:rPr>
      </w:pPr>
      <w:r w:rsidRPr="00B72976">
        <w:rPr>
          <w:b/>
          <w:bCs/>
        </w:rPr>
        <w:t>Proposed</w:t>
      </w:r>
    </w:p>
    <w:p w14:paraId="6087AF43" w14:textId="331BA32A" w:rsidR="006C7EDD" w:rsidRDefault="00233B44" w:rsidP="006C7EDD">
      <w:pPr>
        <w:spacing w:after="0"/>
      </w:pPr>
      <w:r w:rsidRPr="00E15402">
        <w:t>The proposed rule would</w:t>
      </w:r>
      <w:r w:rsidR="00860A8D">
        <w:t xml:space="preserve"> provide </w:t>
      </w:r>
      <w:r w:rsidR="009731B3">
        <w:t xml:space="preserve">multiple </w:t>
      </w:r>
      <w:r w:rsidR="00860A8D">
        <w:t xml:space="preserve">options for </w:t>
      </w:r>
      <w:r w:rsidR="009731B3">
        <w:t xml:space="preserve">calculating </w:t>
      </w:r>
      <w:r w:rsidR="00860A8D">
        <w:t xml:space="preserve">PCRC weight and </w:t>
      </w:r>
      <w:r w:rsidR="001B24CF">
        <w:t>percentages</w:t>
      </w:r>
      <w:r w:rsidR="0037427D">
        <w:t xml:space="preserve"> for reporting purposes</w:t>
      </w:r>
      <w:r w:rsidR="00B154E7">
        <w:t xml:space="preserve">. </w:t>
      </w:r>
      <w:r w:rsidR="00E15402">
        <w:t>P</w:t>
      </w:r>
      <w:r w:rsidR="00B154E7" w:rsidRPr="00E15402">
        <w:t xml:space="preserve">roducers </w:t>
      </w:r>
      <w:r w:rsidR="00E15402">
        <w:t>would be able to</w:t>
      </w:r>
      <w:r w:rsidR="00B154E7" w:rsidRPr="00E15402">
        <w:t xml:space="preserve"> calculate resin weight and PCRC percentage from the following sources:</w:t>
      </w:r>
      <w:r w:rsidR="00B154E7" w:rsidRPr="00B154E7">
        <w:t xml:space="preserve"> </w:t>
      </w:r>
    </w:p>
    <w:p w14:paraId="7AF4F5A8" w14:textId="1005EC2C" w:rsidR="00B154E7" w:rsidRPr="00E15402" w:rsidRDefault="00B154E7" w:rsidP="00C66391">
      <w:pPr>
        <w:pStyle w:val="ListParagraph"/>
        <w:numPr>
          <w:ilvl w:val="0"/>
          <w:numId w:val="11"/>
        </w:numPr>
        <w:spacing w:after="0"/>
      </w:pPr>
      <w:r w:rsidRPr="00E15402">
        <w:t xml:space="preserve">PCRC derived from mechanical recycling using postconsumer materials, </w:t>
      </w:r>
    </w:p>
    <w:p w14:paraId="22811D27" w14:textId="2C527EAA" w:rsidR="00B154E7" w:rsidRPr="00E15402" w:rsidRDefault="00B154E7" w:rsidP="00C66391">
      <w:pPr>
        <w:pStyle w:val="ListParagraph"/>
        <w:numPr>
          <w:ilvl w:val="0"/>
          <w:numId w:val="10"/>
        </w:numPr>
        <w:spacing w:after="0"/>
      </w:pPr>
      <w:r w:rsidRPr="00E15402">
        <w:t xml:space="preserve">PCRC from non-mechanical processing of postconsumer materials calculated using an existing and recognized international or multi-national third-party certification system which incorporates chain of custody, and certified mass balance attribution as identified in ISO 22095:2020, or </w:t>
      </w:r>
    </w:p>
    <w:p w14:paraId="4E482308" w14:textId="0CBB5344" w:rsidR="00B154E7" w:rsidRPr="00E15402" w:rsidRDefault="00B154E7" w:rsidP="00C66391">
      <w:pPr>
        <w:pStyle w:val="ListParagraph"/>
        <w:numPr>
          <w:ilvl w:val="0"/>
          <w:numId w:val="10"/>
        </w:numPr>
        <w:spacing w:after="0"/>
      </w:pPr>
      <w:r w:rsidRPr="00E15402">
        <w:t xml:space="preserve">Other sources or methods that the producer demonstrates to the department to have a comparable degree of accuracy. </w:t>
      </w:r>
    </w:p>
    <w:p w14:paraId="4074B6C8" w14:textId="6F739A72" w:rsidR="00B154E7" w:rsidRPr="00B154E7" w:rsidRDefault="00B154E7" w:rsidP="00043419">
      <w:pPr>
        <w:pStyle w:val="Paragraph"/>
      </w:pPr>
      <w:r w:rsidRPr="00E15402">
        <w:t>Plastic sold or marketed for use as fuel feedstock may not be included in PCRC reports to the department.</w:t>
      </w:r>
    </w:p>
    <w:p w14:paraId="5C3E1A17" w14:textId="77777777" w:rsidR="0021162F" w:rsidRPr="00B72976" w:rsidRDefault="0021162F" w:rsidP="00E15402">
      <w:pPr>
        <w:pStyle w:val="Paragraph"/>
        <w:spacing w:before="240"/>
        <w:rPr>
          <w:b/>
          <w:bCs/>
        </w:rPr>
      </w:pPr>
      <w:r w:rsidRPr="00B72976">
        <w:rPr>
          <w:b/>
          <w:bCs/>
        </w:rPr>
        <w:t>Expected impact</w:t>
      </w:r>
    </w:p>
    <w:p w14:paraId="1CFEC259" w14:textId="77777777" w:rsidR="00EC2AC8" w:rsidRDefault="00755CAD" w:rsidP="00043419">
      <w:pPr>
        <w:pStyle w:val="ListParagraph"/>
      </w:pPr>
      <w:r>
        <w:t xml:space="preserve">This </w:t>
      </w:r>
      <w:r w:rsidR="00EC2AC8">
        <w:t xml:space="preserve">section of the proposed rule </w:t>
      </w:r>
      <w:r>
        <w:t xml:space="preserve">would establish standard options for PCRC weight and percentage calculation for reporting. </w:t>
      </w:r>
      <w:r w:rsidR="00C56DC0">
        <w:t xml:space="preserve">We </w:t>
      </w:r>
      <w:r w:rsidR="00EC2AC8">
        <w:t>do not expect these additional specifications to result in costs as compared to the baseline, as:</w:t>
      </w:r>
    </w:p>
    <w:p w14:paraId="2A13E83E" w14:textId="77777777" w:rsidR="00EC2AC8" w:rsidRDefault="00EC2AC8" w:rsidP="00043419">
      <w:pPr>
        <w:pStyle w:val="ListParagraph"/>
      </w:pPr>
      <w:r>
        <w:t>The statute requires the reporting itself, with the implicit expectation that it be accurate.</w:t>
      </w:r>
    </w:p>
    <w:p w14:paraId="6AFD153D" w14:textId="59371145" w:rsidR="00890152" w:rsidRDefault="00890152" w:rsidP="00043419">
      <w:pPr>
        <w:pStyle w:val="ListParagraph"/>
      </w:pPr>
      <w:r>
        <w:t xml:space="preserve">The proposed rule facilitates compliance by specifying data </w:t>
      </w:r>
      <w:r w:rsidR="00D066BE">
        <w:t>calculation methods</w:t>
      </w:r>
      <w:r>
        <w:t xml:space="preserve"> that meet accuracy requirements, but also allow</w:t>
      </w:r>
      <w:r w:rsidR="00D066BE">
        <w:t>s</w:t>
      </w:r>
      <w:r>
        <w:t xml:space="preserve"> producers to use alternative </w:t>
      </w:r>
      <w:r w:rsidR="00D066BE">
        <w:t>methods</w:t>
      </w:r>
      <w:r>
        <w:t xml:space="preserve"> </w:t>
      </w:r>
      <w:r w:rsidR="0025689E">
        <w:t>if</w:t>
      </w:r>
      <w:r>
        <w:t xml:space="preserve"> they are accurate.</w:t>
      </w:r>
    </w:p>
    <w:p w14:paraId="1B3BCA28" w14:textId="7A89DF3D" w:rsidR="00C56DC0" w:rsidRPr="008B50BC" w:rsidRDefault="00890152" w:rsidP="00C56DC0">
      <w:pPr>
        <w:pStyle w:val="Paragraph"/>
      </w:pPr>
      <w:r>
        <w:t xml:space="preserve">We do not expect this section of the proposed rule to result in benefits beyond reducing potential time it might take under the baseline for producers and Ecology to align data and </w:t>
      </w:r>
      <w:r>
        <w:lastRenderedPageBreak/>
        <w:t>expectations (which would result in additional interactions and potentially delay verification of compliance or identification of issues with compliance).</w:t>
      </w:r>
    </w:p>
    <w:p w14:paraId="06248068" w14:textId="3CF83551" w:rsidR="00B37193" w:rsidRPr="001B300B" w:rsidRDefault="00B37193" w:rsidP="00B37193">
      <w:pPr>
        <w:pStyle w:val="RMSectionXXX"/>
      </w:pPr>
      <w:bookmarkStart w:id="33" w:name="_Toc132187798"/>
      <w:r w:rsidRPr="001B300B">
        <w:t>2.3.</w:t>
      </w:r>
      <w:r>
        <w:t>5</w:t>
      </w:r>
      <w:r w:rsidRPr="001B300B">
        <w:t xml:space="preserve"> </w:t>
      </w:r>
      <w:r w:rsidRPr="00755D42">
        <w:t>Establish</w:t>
      </w:r>
      <w:r w:rsidR="00F03CD4">
        <w:t>ing</w:t>
      </w:r>
      <w:r w:rsidRPr="00755D42">
        <w:t xml:space="preserve"> requirements for temporary exclusion</w:t>
      </w:r>
      <w:r w:rsidR="001959B8">
        <w:t xml:space="preserve"> and adjustment</w:t>
      </w:r>
      <w:r w:rsidRPr="00755D42">
        <w:t xml:space="preserve"> requests</w:t>
      </w:r>
      <w:bookmarkEnd w:id="33"/>
    </w:p>
    <w:p w14:paraId="415EC702" w14:textId="77777777" w:rsidR="00B37193" w:rsidRPr="00755D42" w:rsidRDefault="00B37193" w:rsidP="00B37193">
      <w:pPr>
        <w:pStyle w:val="Paragraph"/>
        <w:rPr>
          <w:b/>
          <w:bCs/>
        </w:rPr>
      </w:pPr>
      <w:r w:rsidRPr="00755D42">
        <w:rPr>
          <w:b/>
          <w:bCs/>
        </w:rPr>
        <w:t>Baseline</w:t>
      </w:r>
    </w:p>
    <w:p w14:paraId="6C057E87" w14:textId="5C7210E9" w:rsidR="00B37193" w:rsidRPr="00755D42" w:rsidRDefault="009D59FF" w:rsidP="00B37193">
      <w:pPr>
        <w:pStyle w:val="Paragraph"/>
      </w:pPr>
      <w:r w:rsidRPr="00755D42">
        <w:t xml:space="preserve">The baseline RCW 70A.245.020 </w:t>
      </w:r>
      <w:r>
        <w:t xml:space="preserve">establishes </w:t>
      </w:r>
      <w:r w:rsidRPr="00755D42">
        <w:t>temporary exclusion</w:t>
      </w:r>
      <w:r w:rsidR="00755D42">
        <w:t>s</w:t>
      </w:r>
      <w:r w:rsidRPr="00755D42">
        <w:t xml:space="preserve"> </w:t>
      </w:r>
      <w:r w:rsidR="000F49A0">
        <w:t>and adjustment</w:t>
      </w:r>
      <w:r w:rsidR="00755D42">
        <w:t>s</w:t>
      </w:r>
      <w:r w:rsidR="000F49A0">
        <w:t xml:space="preserve"> </w:t>
      </w:r>
      <w:r w:rsidRPr="00755D42">
        <w:t>of PCRC requirement</w:t>
      </w:r>
      <w:r w:rsidR="00755D42">
        <w:t>s</w:t>
      </w:r>
      <w:r w:rsidRPr="00755D42">
        <w:t xml:space="preserve"> </w:t>
      </w:r>
      <w:r w:rsidR="00E070F8">
        <w:t>for producers under specified circu</w:t>
      </w:r>
      <w:r w:rsidR="009E78FE">
        <w:t>m</w:t>
      </w:r>
      <w:r w:rsidR="00E070F8">
        <w:t>st</w:t>
      </w:r>
      <w:r w:rsidR="009E78FE">
        <w:t>an</w:t>
      </w:r>
      <w:r w:rsidR="00E070F8">
        <w:t>ces.</w:t>
      </w:r>
      <w:r w:rsidRPr="00755D42">
        <w:t xml:space="preserve"> </w:t>
      </w:r>
    </w:p>
    <w:p w14:paraId="29D3E2FA" w14:textId="77777777" w:rsidR="00B37193" w:rsidRPr="00755D42" w:rsidRDefault="00B37193" w:rsidP="00B37193">
      <w:pPr>
        <w:pStyle w:val="Paragraph"/>
        <w:rPr>
          <w:b/>
          <w:bCs/>
        </w:rPr>
      </w:pPr>
      <w:r w:rsidRPr="00755D42">
        <w:rPr>
          <w:b/>
          <w:bCs/>
        </w:rPr>
        <w:t>Proposed</w:t>
      </w:r>
    </w:p>
    <w:p w14:paraId="40B753E2" w14:textId="491BCD79" w:rsidR="00B37193" w:rsidRDefault="00B12360">
      <w:pPr>
        <w:spacing w:after="160" w:line="259" w:lineRule="auto"/>
        <w:contextualSpacing/>
      </w:pPr>
      <w:r w:rsidRPr="00172B7E">
        <w:t>The proposed rule would</w:t>
      </w:r>
      <w:r>
        <w:t xml:space="preserve"> </w:t>
      </w:r>
      <w:r w:rsidR="00223345">
        <w:t>provide detail</w:t>
      </w:r>
      <w:r w:rsidR="00807DBD">
        <w:t>ed</w:t>
      </w:r>
      <w:r w:rsidR="00C74C71">
        <w:t xml:space="preserve"> requirements for the submittal of temporary exclusion requests</w:t>
      </w:r>
      <w:r w:rsidR="00223345">
        <w:t xml:space="preserve"> </w:t>
      </w:r>
      <w:r w:rsidR="00C74C71">
        <w:t>and</w:t>
      </w:r>
      <w:r w:rsidR="005069DB">
        <w:t xml:space="preserve"> </w:t>
      </w:r>
      <w:r w:rsidR="00223345">
        <w:t xml:space="preserve">petitions to revise PCRC </w:t>
      </w:r>
      <w:r w:rsidR="006F25B6">
        <w:t>percentage</w:t>
      </w:r>
      <w:r w:rsidR="00223345">
        <w:t xml:space="preserve"> requirements</w:t>
      </w:r>
      <w:r w:rsidR="00BA0401">
        <w:t>:</w:t>
      </w:r>
    </w:p>
    <w:p w14:paraId="4BB150AD" w14:textId="66601A8B" w:rsidR="00861E7F" w:rsidRDefault="00792B46" w:rsidP="00043419">
      <w:pPr>
        <w:pStyle w:val="ListParagraph"/>
      </w:pPr>
      <w:r>
        <w:t>For t</w:t>
      </w:r>
      <w:r w:rsidR="00BA0401">
        <w:t>emporary exclusions from minimum percentage requirements</w:t>
      </w:r>
      <w:r w:rsidR="00282D3F">
        <w:t xml:space="preserve"> for a type of PCRC product</w:t>
      </w:r>
      <w:r w:rsidR="00BA0401">
        <w:t>:</w:t>
      </w:r>
    </w:p>
    <w:p w14:paraId="5F7D55DD" w14:textId="5C186DD2" w:rsidR="00792B46" w:rsidRPr="00792B46" w:rsidRDefault="00792B46" w:rsidP="00C66391">
      <w:pPr>
        <w:pStyle w:val="ListParagraph"/>
        <w:numPr>
          <w:ilvl w:val="1"/>
          <w:numId w:val="17"/>
        </w:numPr>
        <w:spacing w:after="0"/>
      </w:pPr>
      <w:r w:rsidRPr="00792B46">
        <w:t>Identif</w:t>
      </w:r>
      <w:r>
        <w:t>y</w:t>
      </w:r>
      <w:r w:rsidRPr="00792B46">
        <w:t xml:space="preserve"> the applicable</w:t>
      </w:r>
      <w:r w:rsidR="00C74C71">
        <w:t xml:space="preserve"> federal</w:t>
      </w:r>
      <w:r w:rsidRPr="00792B46">
        <w:t xml:space="preserve"> health and safety standards that make the achievement of minimum PCRC requirements infeasible</w:t>
      </w:r>
      <w:r>
        <w:t>.</w:t>
      </w:r>
    </w:p>
    <w:p w14:paraId="6653E3D6" w14:textId="6D983704" w:rsidR="00792B46" w:rsidRPr="00792B46" w:rsidRDefault="00792B46" w:rsidP="00C66391">
      <w:pPr>
        <w:pStyle w:val="ListParagraph"/>
        <w:numPr>
          <w:ilvl w:val="1"/>
          <w:numId w:val="17"/>
        </w:numPr>
        <w:spacing w:after="0"/>
        <w:rPr>
          <w:rFonts w:eastAsia="Times New Roman"/>
          <w:bCs/>
        </w:rPr>
      </w:pPr>
      <w:r>
        <w:t>Document and convincingly support</w:t>
      </w:r>
      <w:r w:rsidRPr="00792B46">
        <w:t xml:space="preserve"> the producer’s claim that it is technically infeasible to meet the minimum requirements during the following year while still meeting applicable federal health and safety standards.</w:t>
      </w:r>
    </w:p>
    <w:p w14:paraId="4D2BCD5D" w14:textId="0BB809E9" w:rsidR="00792B46" w:rsidRPr="00792B46" w:rsidRDefault="00792B46" w:rsidP="00C66391">
      <w:pPr>
        <w:pStyle w:val="ListParagraph"/>
        <w:numPr>
          <w:ilvl w:val="1"/>
          <w:numId w:val="17"/>
        </w:numPr>
        <w:spacing w:after="0"/>
      </w:pPr>
      <w:r w:rsidRPr="00792B46">
        <w:t>Producer name, mailing address, and contact information</w:t>
      </w:r>
      <w:r>
        <w:t>.</w:t>
      </w:r>
    </w:p>
    <w:p w14:paraId="24724639" w14:textId="2AFF7649" w:rsidR="00792B46" w:rsidRPr="00792B46" w:rsidRDefault="00792B46" w:rsidP="00C66391">
      <w:pPr>
        <w:pStyle w:val="ListParagraph"/>
        <w:numPr>
          <w:ilvl w:val="1"/>
          <w:numId w:val="17"/>
        </w:numPr>
        <w:spacing w:after="0"/>
      </w:pPr>
      <w:r w:rsidRPr="00792B46">
        <w:t>Products and brand names for which the exclusion is requested</w:t>
      </w:r>
      <w:r>
        <w:t>.</w:t>
      </w:r>
    </w:p>
    <w:p w14:paraId="4EFCBF97" w14:textId="65E73574" w:rsidR="00792B46" w:rsidRPr="00792B46" w:rsidRDefault="00792B46" w:rsidP="00C66391">
      <w:pPr>
        <w:pStyle w:val="ListParagraph"/>
        <w:numPr>
          <w:ilvl w:val="1"/>
          <w:numId w:val="17"/>
        </w:numPr>
        <w:spacing w:after="0"/>
      </w:pPr>
      <w:r w:rsidRPr="00792B46">
        <w:t>Total resin weight of PCRC products estimated to be sold, offered for sale, or distributed in or into Washington for which the producer requests temporary exclusion.</w:t>
      </w:r>
    </w:p>
    <w:p w14:paraId="4ABDBA7B" w14:textId="00CA0F83" w:rsidR="00BA0401" w:rsidRDefault="00282D3F" w:rsidP="00043419">
      <w:pPr>
        <w:pStyle w:val="ListParagraph"/>
      </w:pPr>
      <w:r>
        <w:t>For temporary adjustments to the minimum percentage required for a type of container, PCRC product, or product category:</w:t>
      </w:r>
    </w:p>
    <w:p w14:paraId="4A813C16" w14:textId="2134110C" w:rsidR="00282D3F" w:rsidRPr="00282D3F" w:rsidRDefault="00282D3F" w:rsidP="00C66391">
      <w:pPr>
        <w:pStyle w:val="ListParagraph"/>
        <w:numPr>
          <w:ilvl w:val="1"/>
          <w:numId w:val="17"/>
        </w:numPr>
        <w:spacing w:after="0"/>
      </w:pPr>
      <w:r w:rsidRPr="00282D3F">
        <w:t>Producer name, mailing address, and contact information</w:t>
      </w:r>
      <w:r>
        <w:t>.</w:t>
      </w:r>
    </w:p>
    <w:p w14:paraId="4B92D4D9" w14:textId="77777777" w:rsidR="00282D3F" w:rsidRPr="00282D3F" w:rsidRDefault="00282D3F" w:rsidP="00C66391">
      <w:pPr>
        <w:pStyle w:val="ListParagraph"/>
        <w:numPr>
          <w:ilvl w:val="1"/>
          <w:numId w:val="17"/>
        </w:numPr>
        <w:shd w:val="clear" w:color="auto" w:fill="FFFFFF" w:themeFill="background1"/>
        <w:spacing w:after="0"/>
        <w:rPr>
          <w:rFonts w:eastAsia="Times New Roman"/>
        </w:rPr>
      </w:pPr>
      <w:r w:rsidRPr="00282D3F">
        <w:t>Year(s) for which the temporary adjustment is requested</w:t>
      </w:r>
      <w:r>
        <w:t>.</w:t>
      </w:r>
    </w:p>
    <w:p w14:paraId="5AEAFB1F" w14:textId="1DCE6F9E" w:rsidR="00282D3F" w:rsidRPr="00282D3F" w:rsidRDefault="00282D3F" w:rsidP="00C66391">
      <w:pPr>
        <w:pStyle w:val="ListParagraph"/>
        <w:numPr>
          <w:ilvl w:val="1"/>
          <w:numId w:val="17"/>
        </w:numPr>
        <w:shd w:val="clear" w:color="auto" w:fill="FFFFFF" w:themeFill="background1"/>
        <w:spacing w:after="0"/>
        <w:rPr>
          <w:rFonts w:eastAsia="Times New Roman"/>
        </w:rPr>
      </w:pPr>
      <w:r w:rsidRPr="00282D3F">
        <w:rPr>
          <w:rFonts w:eastAsia="Times New Roman"/>
        </w:rPr>
        <w:t>A thorough explanation by qualified experts supporting the producer’s or PCRC product manufacturing industry’s claim that a temporary adjustment to the minimum PCRC percentage is needed.</w:t>
      </w:r>
    </w:p>
    <w:p w14:paraId="03B0BA05" w14:textId="207B8316" w:rsidR="00282D3F" w:rsidRPr="00282D3F" w:rsidRDefault="00282D3F" w:rsidP="00C66391">
      <w:pPr>
        <w:pStyle w:val="ListParagraph"/>
        <w:numPr>
          <w:ilvl w:val="1"/>
          <w:numId w:val="17"/>
        </w:numPr>
        <w:shd w:val="clear" w:color="auto" w:fill="FFFFFF" w:themeFill="background1"/>
        <w:spacing w:after="0"/>
        <w:rPr>
          <w:rFonts w:eastAsia="Times New Roman"/>
        </w:rPr>
      </w:pPr>
      <w:r w:rsidRPr="00282D3F">
        <w:rPr>
          <w:rFonts w:eastAsia="Times New Roman"/>
        </w:rPr>
        <w:t>Supporting documentation including changes in market conditions, recycling collection rates, product quality or shelf</w:t>
      </w:r>
      <w:r w:rsidR="00C7594E">
        <w:rPr>
          <w:rFonts w:eastAsia="Times New Roman"/>
        </w:rPr>
        <w:t>-</w:t>
      </w:r>
      <w:r w:rsidRPr="00282D3F">
        <w:rPr>
          <w:rFonts w:eastAsia="Times New Roman"/>
        </w:rPr>
        <w:t>life issues, production line issues, capacity of recycling and processing infrastructure, domestic and global PCRC resin bale availability, transportation barriers, public health emergencies, work stoppages, catastrophic events, and/or other relevant factors</w:t>
      </w:r>
      <w:r>
        <w:rPr>
          <w:rFonts w:eastAsia="Times New Roman"/>
        </w:rPr>
        <w:t>.</w:t>
      </w:r>
    </w:p>
    <w:p w14:paraId="2DDCF88E" w14:textId="0436499E" w:rsidR="00282D3F" w:rsidRPr="00282D3F" w:rsidRDefault="00282D3F" w:rsidP="00C66391">
      <w:pPr>
        <w:pStyle w:val="ListParagraph"/>
        <w:numPr>
          <w:ilvl w:val="1"/>
          <w:numId w:val="17"/>
        </w:numPr>
        <w:shd w:val="clear" w:color="auto" w:fill="FFFFFF" w:themeFill="background1"/>
        <w:spacing w:after="0"/>
        <w:rPr>
          <w:rFonts w:eastAsia="Times New Roman"/>
        </w:rPr>
      </w:pPr>
      <w:r w:rsidRPr="00282D3F">
        <w:rPr>
          <w:rFonts w:eastAsia="Times New Roman"/>
        </w:rPr>
        <w:t>Progress made by the producers of PCRC products in achieving the requirements of this chapter</w:t>
      </w:r>
      <w:r>
        <w:rPr>
          <w:rFonts w:eastAsia="Times New Roman"/>
        </w:rPr>
        <w:t>.</w:t>
      </w:r>
    </w:p>
    <w:p w14:paraId="113835E8" w14:textId="5EA27777" w:rsidR="00282D3F" w:rsidRPr="00282D3F" w:rsidRDefault="00282D3F" w:rsidP="00C66391">
      <w:pPr>
        <w:pStyle w:val="ListParagraph"/>
        <w:numPr>
          <w:ilvl w:val="1"/>
          <w:numId w:val="17"/>
        </w:numPr>
        <w:shd w:val="clear" w:color="auto" w:fill="FFFFFF" w:themeFill="background1"/>
        <w:spacing w:after="0"/>
        <w:rPr>
          <w:rFonts w:eastAsia="Times New Roman"/>
        </w:rPr>
      </w:pPr>
      <w:r w:rsidRPr="00282D3F">
        <w:rPr>
          <w:rFonts w:eastAsia="Times New Roman"/>
        </w:rPr>
        <w:t>Estimated</w:t>
      </w:r>
      <w:r w:rsidR="0025689E">
        <w:rPr>
          <w:rFonts w:eastAsia="Times New Roman"/>
        </w:rPr>
        <w:t xml:space="preserve"> dates</w:t>
      </w:r>
      <w:r w:rsidRPr="00282D3F">
        <w:rPr>
          <w:rFonts w:eastAsia="Times New Roman"/>
        </w:rPr>
        <w:t xml:space="preserve"> the identified factors impacting PCRC minimum feasibility are expected to extend</w:t>
      </w:r>
      <w:r>
        <w:rPr>
          <w:rFonts w:eastAsia="Times New Roman"/>
        </w:rPr>
        <w:t>.</w:t>
      </w:r>
    </w:p>
    <w:p w14:paraId="62C1CDE9" w14:textId="1C4FFC98" w:rsidR="00282D3F" w:rsidRPr="00282D3F" w:rsidRDefault="00282D3F" w:rsidP="00C66391">
      <w:pPr>
        <w:pStyle w:val="ListParagraph"/>
        <w:numPr>
          <w:ilvl w:val="1"/>
          <w:numId w:val="17"/>
        </w:numPr>
        <w:shd w:val="clear" w:color="auto" w:fill="FFFFFF" w:themeFill="background1"/>
        <w:spacing w:after="0"/>
        <w:rPr>
          <w:rFonts w:eastAsia="Times New Roman"/>
        </w:rPr>
      </w:pPr>
      <w:r w:rsidRPr="00282D3F">
        <w:rPr>
          <w:rFonts w:eastAsia="Times New Roman"/>
        </w:rPr>
        <w:t>Any additional information the producer or the department deems necessary and relevant to support the basis for the request.</w:t>
      </w:r>
    </w:p>
    <w:p w14:paraId="5419CE61" w14:textId="7FEEC79F" w:rsidR="00B37193" w:rsidRPr="00755D42" w:rsidRDefault="00B37193" w:rsidP="006866E9">
      <w:pPr>
        <w:pStyle w:val="Paragraph"/>
        <w:spacing w:before="240"/>
        <w:rPr>
          <w:b/>
          <w:bCs/>
        </w:rPr>
      </w:pPr>
      <w:r w:rsidRPr="00755D42">
        <w:rPr>
          <w:b/>
          <w:bCs/>
        </w:rPr>
        <w:lastRenderedPageBreak/>
        <w:t>Expected impact</w:t>
      </w:r>
    </w:p>
    <w:p w14:paraId="3507ED40" w14:textId="6C5ED199" w:rsidR="00826A1C" w:rsidRPr="008B50BC" w:rsidRDefault="000C4230" w:rsidP="00826A1C">
      <w:pPr>
        <w:pStyle w:val="Paragraph"/>
      </w:pPr>
      <w:r>
        <w:t>We expect t</w:t>
      </w:r>
      <w:r w:rsidR="001959B8">
        <w:t xml:space="preserve">his </w:t>
      </w:r>
      <w:r>
        <w:t xml:space="preserve">section of the proposed rule to result in costs of providing necessary documentation in support of exclusions and adjustments. It would also result in benefits of better balance between the compliance requirements and economic conditions that may limit the ability of producers to comply with the rule. </w:t>
      </w:r>
      <w:r w:rsidR="00C74C71">
        <w:t xml:space="preserve">Market or technical barriers to compliance </w:t>
      </w:r>
      <w:r>
        <w:t xml:space="preserve">could result in </w:t>
      </w:r>
      <w:r w:rsidR="00C74C71">
        <w:t>non-compliance</w:t>
      </w:r>
      <w:r w:rsidR="00476B19">
        <w:t xml:space="preserve"> and failure to achieve the goals of the law. If companies comply with the proposed rule despite</w:t>
      </w:r>
      <w:r w:rsidR="00C74C71">
        <w:t xml:space="preserve"> </w:t>
      </w:r>
      <w:r>
        <w:t xml:space="preserve">significant </w:t>
      </w:r>
      <w:r w:rsidR="00476B19">
        <w:t>market or technical barriers, it could instead result in</w:t>
      </w:r>
      <w:r>
        <w:t xml:space="preserve"> upward pressure on </w:t>
      </w:r>
      <w:r w:rsidR="00476B19">
        <w:t xml:space="preserve">product </w:t>
      </w:r>
      <w:r>
        <w:t xml:space="preserve">prices </w:t>
      </w:r>
      <w:r w:rsidR="00476B19">
        <w:t>or even in</w:t>
      </w:r>
      <w:r>
        <w:t xml:space="preserve"> shortages</w:t>
      </w:r>
      <w:r w:rsidR="00476B19">
        <w:t xml:space="preserve"> (depending on the ability of consumer demand and prices to adjust to changes in the </w:t>
      </w:r>
      <w:r w:rsidR="004819CE">
        <w:t>volumes</w:t>
      </w:r>
      <w:r w:rsidR="00476B19">
        <w:t xml:space="preserve"> of products supplied in Washington)</w:t>
      </w:r>
      <w:r>
        <w:t>.</w:t>
      </w:r>
    </w:p>
    <w:p w14:paraId="2C7C4BF7" w14:textId="65465508" w:rsidR="00281B5D" w:rsidRPr="001B300B" w:rsidRDefault="00281B5D" w:rsidP="00281B5D">
      <w:pPr>
        <w:pStyle w:val="RMSectionXXX"/>
      </w:pPr>
      <w:bookmarkStart w:id="34" w:name="_Toc132187799"/>
      <w:r w:rsidRPr="001B300B">
        <w:t>2.3.</w:t>
      </w:r>
      <w:r>
        <w:t>6</w:t>
      </w:r>
      <w:r w:rsidRPr="001B300B">
        <w:t xml:space="preserve"> </w:t>
      </w:r>
      <w:r w:rsidR="00AA2BD1" w:rsidRPr="00AA2BD1">
        <w:t>Limit timing for providing necessary audit documentation</w:t>
      </w:r>
      <w:bookmarkEnd w:id="34"/>
    </w:p>
    <w:p w14:paraId="377B118E" w14:textId="77777777" w:rsidR="00281B5D" w:rsidRPr="006A1F25" w:rsidRDefault="00281B5D" w:rsidP="00281B5D">
      <w:pPr>
        <w:pStyle w:val="Paragraph"/>
        <w:rPr>
          <w:b/>
          <w:bCs/>
        </w:rPr>
      </w:pPr>
      <w:r w:rsidRPr="006A1F25">
        <w:rPr>
          <w:b/>
          <w:bCs/>
        </w:rPr>
        <w:t>Baseline</w:t>
      </w:r>
    </w:p>
    <w:p w14:paraId="6943B2B4" w14:textId="6F3E7639" w:rsidR="00C83D03" w:rsidRPr="00C83D03" w:rsidRDefault="00730709" w:rsidP="006A1F25">
      <w:pPr>
        <w:spacing w:after="160" w:line="259" w:lineRule="auto"/>
        <w:contextualSpacing/>
      </w:pPr>
      <w:r w:rsidRPr="006A1F25">
        <w:t xml:space="preserve">The </w:t>
      </w:r>
      <w:r w:rsidR="001B24CF" w:rsidRPr="006A1F25">
        <w:t>baseline</w:t>
      </w:r>
      <w:r w:rsidRPr="006A1F25">
        <w:t xml:space="preserve"> RCW 70A.245.090 </w:t>
      </w:r>
      <w:r w:rsidR="00615B38">
        <w:t>allows Ecology to</w:t>
      </w:r>
      <w:r w:rsidR="00C83D03" w:rsidRPr="00C83D03">
        <w:t xml:space="preserve"> conduct audits and investigations for the purpose</w:t>
      </w:r>
      <w:r w:rsidR="00D17728">
        <w:t xml:space="preserve"> of</w:t>
      </w:r>
      <w:r w:rsidR="00C83D03" w:rsidRPr="00C83D03">
        <w:t xml:space="preserve"> </w:t>
      </w:r>
      <w:r w:rsidR="00DE0DA2">
        <w:t xml:space="preserve">confirming </w:t>
      </w:r>
      <w:r w:rsidR="00C83D03">
        <w:t xml:space="preserve">producer </w:t>
      </w:r>
      <w:r w:rsidR="00C83D03" w:rsidRPr="00C83D03">
        <w:t>compliance</w:t>
      </w:r>
      <w:r w:rsidR="00C83D03">
        <w:t xml:space="preserve"> on </w:t>
      </w:r>
      <w:r w:rsidR="00C83D03" w:rsidRPr="006A1F25">
        <w:t>meeting the registration, reporting, or PCRC minimum requirements</w:t>
      </w:r>
      <w:r w:rsidR="00C83D03">
        <w:t>.</w:t>
      </w:r>
    </w:p>
    <w:p w14:paraId="2214F795" w14:textId="77777777" w:rsidR="00281B5D" w:rsidRPr="006A1F25" w:rsidRDefault="00281B5D" w:rsidP="00281B5D">
      <w:pPr>
        <w:pStyle w:val="Paragraph"/>
        <w:rPr>
          <w:b/>
          <w:bCs/>
        </w:rPr>
      </w:pPr>
      <w:r w:rsidRPr="006A1F25">
        <w:rPr>
          <w:b/>
          <w:bCs/>
        </w:rPr>
        <w:t>Proposed</w:t>
      </w:r>
    </w:p>
    <w:p w14:paraId="020A5195" w14:textId="2725CF42" w:rsidR="004366F2" w:rsidRPr="006A1F25" w:rsidRDefault="00917279" w:rsidP="004366F2">
      <w:pPr>
        <w:spacing w:after="0"/>
      </w:pPr>
      <w:r>
        <w:t>The proposed rule</w:t>
      </w:r>
      <w:r w:rsidR="00615B38">
        <w:t xml:space="preserve"> would add </w:t>
      </w:r>
      <w:r w:rsidR="001B24CF">
        <w:t>specifics</w:t>
      </w:r>
      <w:r w:rsidR="00615B38">
        <w:t xml:space="preserve"> to timing of audits</w:t>
      </w:r>
      <w:r w:rsidR="00C74C71">
        <w:t xml:space="preserve"> by Ecology</w:t>
      </w:r>
      <w:r w:rsidR="00615B38">
        <w:t xml:space="preserve"> and would </w:t>
      </w:r>
      <w:r w:rsidR="00EA3CDA">
        <w:t>clarify</w:t>
      </w:r>
      <w:r>
        <w:t xml:space="preserve"> information</w:t>
      </w:r>
      <w:r w:rsidR="00CE19C1">
        <w:t xml:space="preserve"> </w:t>
      </w:r>
      <w:r w:rsidR="00615B38">
        <w:t xml:space="preserve">that producers </w:t>
      </w:r>
      <w:r w:rsidR="00EA3CDA">
        <w:t>would potentially</w:t>
      </w:r>
      <w:r w:rsidR="00615B38">
        <w:t xml:space="preserve"> </w:t>
      </w:r>
      <w:r>
        <w:t>need</w:t>
      </w:r>
      <w:r w:rsidR="00615B38">
        <w:t xml:space="preserve"> to provide to</w:t>
      </w:r>
      <w:r>
        <w:t xml:space="preserve"> Ecology beforehand for audit purpose</w:t>
      </w:r>
      <w:r w:rsidR="00615B38">
        <w:t>s</w:t>
      </w:r>
      <w:r w:rsidRPr="004366F2">
        <w:t>.</w:t>
      </w:r>
      <w:r w:rsidR="004366F2" w:rsidRPr="004366F2">
        <w:t xml:space="preserve"> </w:t>
      </w:r>
      <w:r w:rsidR="00615B38">
        <w:t>Ecology may request</w:t>
      </w:r>
      <w:r w:rsidR="004366F2" w:rsidRPr="006A1F25">
        <w:t xml:space="preserve"> documents and records </w:t>
      </w:r>
      <w:r w:rsidR="0069130E">
        <w:t>including, but not limited to</w:t>
      </w:r>
      <w:r w:rsidR="004366F2" w:rsidRPr="006A1F25">
        <w:t>:</w:t>
      </w:r>
    </w:p>
    <w:p w14:paraId="60E87521" w14:textId="0A718DAD" w:rsidR="004366F2" w:rsidRPr="006A1F25" w:rsidRDefault="004366F2" w:rsidP="00C66391">
      <w:pPr>
        <w:pStyle w:val="ListParagraph"/>
        <w:numPr>
          <w:ilvl w:val="0"/>
          <w:numId w:val="7"/>
        </w:numPr>
        <w:spacing w:after="160" w:line="252" w:lineRule="auto"/>
        <w:contextualSpacing/>
        <w:rPr>
          <w:rFonts w:eastAsia="Times New Roman"/>
        </w:rPr>
      </w:pPr>
      <w:r w:rsidRPr="006A1F25">
        <w:rPr>
          <w:rFonts w:eastAsia="Times New Roman"/>
        </w:rPr>
        <w:t>Verify reported PCRC percentage data</w:t>
      </w:r>
      <w:r w:rsidR="005875B0">
        <w:rPr>
          <w:rFonts w:eastAsia="Times New Roman"/>
        </w:rPr>
        <w:t>.</w:t>
      </w:r>
    </w:p>
    <w:p w14:paraId="50E24F14" w14:textId="714C5821" w:rsidR="004366F2" w:rsidRPr="006A1F25" w:rsidRDefault="004366F2" w:rsidP="00C66391">
      <w:pPr>
        <w:pStyle w:val="ListParagraph"/>
        <w:numPr>
          <w:ilvl w:val="0"/>
          <w:numId w:val="7"/>
        </w:numPr>
        <w:spacing w:after="160" w:line="252" w:lineRule="auto"/>
        <w:contextualSpacing/>
        <w:rPr>
          <w:rFonts w:eastAsia="Times New Roman"/>
        </w:rPr>
      </w:pPr>
      <w:r w:rsidRPr="006A1F25">
        <w:rPr>
          <w:rFonts w:eastAsia="Times New Roman"/>
        </w:rPr>
        <w:t>Confirm reported pounds of plastic resin by product type sold, offered for sale, or distributed in or into Washington State</w:t>
      </w:r>
      <w:r w:rsidR="005875B0">
        <w:rPr>
          <w:rFonts w:eastAsia="Times New Roman"/>
        </w:rPr>
        <w:t>.</w:t>
      </w:r>
    </w:p>
    <w:p w14:paraId="150085D0" w14:textId="2B87278D" w:rsidR="004366F2" w:rsidRPr="006A1F25" w:rsidRDefault="004366F2" w:rsidP="00C66391">
      <w:pPr>
        <w:pStyle w:val="ListParagraph"/>
        <w:numPr>
          <w:ilvl w:val="0"/>
          <w:numId w:val="7"/>
        </w:numPr>
        <w:spacing w:after="160" w:line="252" w:lineRule="auto"/>
        <w:contextualSpacing/>
        <w:rPr>
          <w:rFonts w:eastAsia="Times New Roman"/>
        </w:rPr>
      </w:pPr>
      <w:r w:rsidRPr="006A1F25">
        <w:rPr>
          <w:rFonts w:eastAsia="Times New Roman"/>
        </w:rPr>
        <w:t>Demonstrate producer de minimis status</w:t>
      </w:r>
      <w:r w:rsidR="005875B0">
        <w:rPr>
          <w:rFonts w:eastAsia="Times New Roman"/>
        </w:rPr>
        <w:t>.</w:t>
      </w:r>
    </w:p>
    <w:p w14:paraId="501A4458" w14:textId="4FED4CD5" w:rsidR="004366F2" w:rsidRPr="006A1F25" w:rsidRDefault="004366F2" w:rsidP="00C66391">
      <w:pPr>
        <w:pStyle w:val="ListParagraph"/>
        <w:numPr>
          <w:ilvl w:val="0"/>
          <w:numId w:val="7"/>
        </w:numPr>
        <w:spacing w:after="160" w:line="252" w:lineRule="auto"/>
        <w:contextualSpacing/>
        <w:rPr>
          <w:rFonts w:eastAsia="Times New Roman"/>
        </w:rPr>
      </w:pPr>
      <w:r w:rsidRPr="006A1F25">
        <w:rPr>
          <w:rFonts w:eastAsia="Times New Roman"/>
        </w:rPr>
        <w:t>Verify the national or regional data used to determine reported plastic resin</w:t>
      </w:r>
      <w:r w:rsidR="005875B0">
        <w:rPr>
          <w:rFonts w:eastAsia="Times New Roman"/>
        </w:rPr>
        <w:t>.</w:t>
      </w:r>
    </w:p>
    <w:p w14:paraId="196ACCA6" w14:textId="19E3DE79" w:rsidR="00281B5D" w:rsidRDefault="004366F2" w:rsidP="00C66391">
      <w:pPr>
        <w:pStyle w:val="ListParagraph"/>
        <w:numPr>
          <w:ilvl w:val="0"/>
          <w:numId w:val="7"/>
        </w:numPr>
        <w:spacing w:after="160" w:line="252" w:lineRule="auto"/>
        <w:contextualSpacing/>
        <w:rPr>
          <w:rFonts w:eastAsia="Times New Roman"/>
        </w:rPr>
      </w:pPr>
      <w:r w:rsidRPr="006A1F25">
        <w:rPr>
          <w:rFonts w:eastAsia="Times New Roman"/>
        </w:rPr>
        <w:t>Additional information requested by the department pertinent to verifying compliance</w:t>
      </w:r>
      <w:r w:rsidR="005875B0">
        <w:rPr>
          <w:rFonts w:eastAsia="Times New Roman"/>
        </w:rPr>
        <w:t>.</w:t>
      </w:r>
    </w:p>
    <w:p w14:paraId="0B2FE798" w14:textId="3A35D753" w:rsidR="00EA3CDA" w:rsidRPr="00EA3CDA" w:rsidRDefault="00EA3CDA" w:rsidP="00EA3CDA">
      <w:pPr>
        <w:spacing w:after="160" w:line="252" w:lineRule="auto"/>
        <w:contextualSpacing/>
        <w:rPr>
          <w:rFonts w:eastAsia="Times New Roman"/>
        </w:rPr>
      </w:pPr>
      <w:r>
        <w:rPr>
          <w:rFonts w:eastAsia="Times New Roman"/>
        </w:rPr>
        <w:t>Producers would be limited to 30 days in which to provide requested information.</w:t>
      </w:r>
    </w:p>
    <w:p w14:paraId="3139B4A7" w14:textId="77777777" w:rsidR="00281B5D" w:rsidRPr="006A1F25" w:rsidRDefault="00281B5D" w:rsidP="00281B5D">
      <w:pPr>
        <w:pStyle w:val="Paragraph"/>
        <w:rPr>
          <w:b/>
          <w:bCs/>
        </w:rPr>
      </w:pPr>
      <w:r w:rsidRPr="006A1F25">
        <w:rPr>
          <w:b/>
          <w:bCs/>
        </w:rPr>
        <w:t>Expected impact</w:t>
      </w:r>
    </w:p>
    <w:p w14:paraId="7A91B410" w14:textId="4012ED80" w:rsidR="00281B5D" w:rsidRDefault="004366F2" w:rsidP="003B1C00">
      <w:pPr>
        <w:pStyle w:val="Paragraph"/>
      </w:pPr>
      <w:r>
        <w:t xml:space="preserve">This </w:t>
      </w:r>
      <w:r w:rsidR="000C4230">
        <w:t xml:space="preserve">section of the proposed rule </w:t>
      </w:r>
      <w:r>
        <w:t>would</w:t>
      </w:r>
      <w:r w:rsidR="00BA7087">
        <w:t xml:space="preserve"> </w:t>
      </w:r>
      <w:r w:rsidR="000C4230">
        <w:t xml:space="preserve">facilitate producers </w:t>
      </w:r>
      <w:r w:rsidR="004044C7">
        <w:t>providing</w:t>
      </w:r>
      <w:r w:rsidR="000C4230">
        <w:t xml:space="preserve"> audit documents with </w:t>
      </w:r>
      <w:r>
        <w:t>enough info</w:t>
      </w:r>
      <w:r w:rsidR="00BA7087">
        <w:t xml:space="preserve">rmation </w:t>
      </w:r>
      <w:r w:rsidR="000C4230">
        <w:t>for</w:t>
      </w:r>
      <w:r w:rsidR="00BA7087">
        <w:t xml:space="preserve"> Ecology to</w:t>
      </w:r>
      <w:r w:rsidR="00CB0150">
        <w:t xml:space="preserve"> </w:t>
      </w:r>
      <w:r w:rsidR="00BA7087">
        <w:t xml:space="preserve">verify compliance status. </w:t>
      </w:r>
      <w:r w:rsidR="00CB0150">
        <w:t xml:space="preserve">Producers could incur costs </w:t>
      </w:r>
      <w:r w:rsidR="00CB0150" w:rsidRPr="009011C8">
        <w:t xml:space="preserve">associated with </w:t>
      </w:r>
      <w:r w:rsidR="00254150" w:rsidRPr="009011C8">
        <w:t>providing</w:t>
      </w:r>
      <w:r w:rsidR="00CB0150" w:rsidRPr="009011C8">
        <w:t xml:space="preserve"> </w:t>
      </w:r>
      <w:r w:rsidR="001B24CF" w:rsidRPr="009011C8">
        <w:t>needed</w:t>
      </w:r>
      <w:r w:rsidR="00CB0150" w:rsidRPr="009011C8">
        <w:t xml:space="preserve"> documentation </w:t>
      </w:r>
      <w:r w:rsidR="00254150" w:rsidRPr="009011C8">
        <w:t>for the audit without delays that they may have incurred</w:t>
      </w:r>
      <w:r w:rsidR="00CB0150" w:rsidRPr="009011C8">
        <w:t xml:space="preserve"> under the baseline.</w:t>
      </w:r>
    </w:p>
    <w:p w14:paraId="3791FC29" w14:textId="3B73645D" w:rsidR="00177255" w:rsidRPr="001B300B" w:rsidRDefault="00177255" w:rsidP="00177255">
      <w:pPr>
        <w:pStyle w:val="RMSectionXXX"/>
      </w:pPr>
      <w:bookmarkStart w:id="35" w:name="_Toc132187800"/>
      <w:r w:rsidRPr="001B300B">
        <w:t>2.3.</w:t>
      </w:r>
      <w:r>
        <w:t>7</w:t>
      </w:r>
      <w:r w:rsidRPr="001B300B">
        <w:t xml:space="preserve"> </w:t>
      </w:r>
      <w:r w:rsidRPr="006A1F25">
        <w:t>Specify</w:t>
      </w:r>
      <w:r w:rsidR="00F03CD4">
        <w:t>ing</w:t>
      </w:r>
      <w:r w:rsidRPr="006A1F25">
        <w:t xml:space="preserve"> procedures for warnings and penalties for noncompliance</w:t>
      </w:r>
      <w:bookmarkEnd w:id="35"/>
    </w:p>
    <w:p w14:paraId="76838812" w14:textId="77777777" w:rsidR="00177255" w:rsidRPr="00CB0150" w:rsidRDefault="00177255" w:rsidP="00177255">
      <w:pPr>
        <w:pStyle w:val="Paragraph"/>
        <w:rPr>
          <w:b/>
          <w:bCs/>
        </w:rPr>
      </w:pPr>
      <w:r w:rsidRPr="00CB0150">
        <w:rPr>
          <w:b/>
          <w:bCs/>
        </w:rPr>
        <w:t>Baseline</w:t>
      </w:r>
    </w:p>
    <w:p w14:paraId="490B6322" w14:textId="5AD7BF01" w:rsidR="00987E25" w:rsidRDefault="00CE0694" w:rsidP="00177255">
      <w:pPr>
        <w:pStyle w:val="Paragraph"/>
        <w:rPr>
          <w:rFonts w:cstheme="minorBidi"/>
        </w:rPr>
      </w:pPr>
      <w:r w:rsidRPr="00172B7E">
        <w:rPr>
          <w:rFonts w:cstheme="minorBidi"/>
        </w:rPr>
        <w:t xml:space="preserve">The </w:t>
      </w:r>
      <w:r w:rsidR="006866E9" w:rsidRPr="00172B7E">
        <w:rPr>
          <w:rFonts w:cstheme="minorBidi"/>
        </w:rPr>
        <w:t>baseline</w:t>
      </w:r>
      <w:r w:rsidRPr="00172B7E">
        <w:rPr>
          <w:rFonts w:cstheme="minorBidi"/>
        </w:rPr>
        <w:t xml:space="preserve"> RCW 70A.245.0</w:t>
      </w:r>
      <w:r>
        <w:rPr>
          <w:rFonts w:cstheme="minorBidi"/>
        </w:rPr>
        <w:t>40</w:t>
      </w:r>
      <w:r w:rsidRPr="00172B7E">
        <w:rPr>
          <w:rFonts w:cstheme="minorBidi"/>
        </w:rPr>
        <w:t xml:space="preserve"> </w:t>
      </w:r>
      <w:r>
        <w:rPr>
          <w:rFonts w:cstheme="minorBidi"/>
        </w:rPr>
        <w:t xml:space="preserve">and </w:t>
      </w:r>
      <w:r w:rsidRPr="00172B7E">
        <w:rPr>
          <w:rFonts w:cstheme="minorBidi"/>
        </w:rPr>
        <w:t>RCW 70A.245.0</w:t>
      </w:r>
      <w:r>
        <w:rPr>
          <w:rFonts w:cstheme="minorBidi"/>
        </w:rPr>
        <w:t>50 establis</w:t>
      </w:r>
      <w:r w:rsidR="00987E25">
        <w:rPr>
          <w:rFonts w:cstheme="minorBidi"/>
        </w:rPr>
        <w:t>h</w:t>
      </w:r>
      <w:r>
        <w:rPr>
          <w:rFonts w:cstheme="minorBidi"/>
        </w:rPr>
        <w:t xml:space="preserve"> noncompliance warnings and penalties for </w:t>
      </w:r>
      <w:r w:rsidRPr="006A1F25">
        <w:rPr>
          <w:rFonts w:cstheme="minorBidi"/>
        </w:rPr>
        <w:t>PCRC requirements</w:t>
      </w:r>
      <w:r>
        <w:rPr>
          <w:rFonts w:cstheme="minorBidi"/>
        </w:rPr>
        <w:t xml:space="preserve"> and registration, labeling, and reporting requirement</w:t>
      </w:r>
      <w:r w:rsidR="00987E25">
        <w:rPr>
          <w:rFonts w:cstheme="minorBidi"/>
        </w:rPr>
        <w:t>s</w:t>
      </w:r>
      <w:r>
        <w:rPr>
          <w:rFonts w:cstheme="minorBidi"/>
        </w:rPr>
        <w:t xml:space="preserve"> respectively.</w:t>
      </w:r>
      <w:r w:rsidR="00741054">
        <w:rPr>
          <w:rFonts w:cstheme="minorBidi"/>
        </w:rPr>
        <w:t xml:space="preserve"> This includes</w:t>
      </w:r>
      <w:r w:rsidR="00987E25">
        <w:rPr>
          <w:rFonts w:cstheme="minorBidi"/>
        </w:rPr>
        <w:t>:</w:t>
      </w:r>
    </w:p>
    <w:p w14:paraId="02A31E54" w14:textId="77777777" w:rsidR="00987E25" w:rsidRDefault="00987E25" w:rsidP="00043419">
      <w:pPr>
        <w:pStyle w:val="ListParagraph"/>
      </w:pPr>
      <w:r>
        <w:lastRenderedPageBreak/>
        <w:t>P</w:t>
      </w:r>
      <w:r w:rsidR="00741054">
        <w:t>enalty amount</w:t>
      </w:r>
      <w:r>
        <w:t>s.</w:t>
      </w:r>
    </w:p>
    <w:p w14:paraId="471FC13F" w14:textId="1C7017D7" w:rsidR="00987E25" w:rsidRDefault="00987E25" w:rsidP="00043419">
      <w:pPr>
        <w:pStyle w:val="ListParagraph"/>
      </w:pPr>
      <w:r>
        <w:t>S</w:t>
      </w:r>
      <w:r w:rsidR="002765D7">
        <w:t xml:space="preserve">ending </w:t>
      </w:r>
      <w:r>
        <w:t xml:space="preserve">at least two </w:t>
      </w:r>
      <w:r w:rsidR="002765D7">
        <w:t>notice</w:t>
      </w:r>
      <w:r>
        <w:t>s</w:t>
      </w:r>
      <w:r w:rsidR="002765D7">
        <w:t xml:space="preserve"> of </w:t>
      </w:r>
      <w:r w:rsidR="006866E9">
        <w:t>noncompliance</w:t>
      </w:r>
      <w:r w:rsidR="00197988">
        <w:t xml:space="preserve"> prior to administering a penalty for violations of registration, labeling, and reporting requirements</w:t>
      </w:r>
      <w:r>
        <w:t>.</w:t>
      </w:r>
    </w:p>
    <w:p w14:paraId="47383033" w14:textId="77777777" w:rsidR="00987E25" w:rsidRDefault="00987E25" w:rsidP="00043419">
      <w:pPr>
        <w:pStyle w:val="ListParagraph"/>
      </w:pPr>
      <w:r>
        <w:t>F</w:t>
      </w:r>
      <w:r w:rsidR="00741054">
        <w:t>ailure to comply with notice</w:t>
      </w:r>
      <w:r>
        <w:t>s.</w:t>
      </w:r>
    </w:p>
    <w:p w14:paraId="2F081486" w14:textId="6397571D" w:rsidR="00177255" w:rsidRPr="006A1F25" w:rsidRDefault="00987E25" w:rsidP="00043419">
      <w:pPr>
        <w:pStyle w:val="ListParagraph"/>
      </w:pPr>
      <w:r>
        <w:t>A</w:t>
      </w:r>
      <w:r w:rsidR="00741054">
        <w:t>ppeal</w:t>
      </w:r>
      <w:r>
        <w:t>s</w:t>
      </w:r>
      <w:r w:rsidR="00741054">
        <w:t xml:space="preserve"> to </w:t>
      </w:r>
      <w:r>
        <w:t>the Pollution Control Hearings Board (PCHB)</w:t>
      </w:r>
      <w:r w:rsidR="00741054">
        <w:t>.</w:t>
      </w:r>
    </w:p>
    <w:p w14:paraId="6408276D" w14:textId="77777777" w:rsidR="00177255" w:rsidRPr="00CB0150" w:rsidRDefault="00177255" w:rsidP="00177255">
      <w:pPr>
        <w:pStyle w:val="Paragraph"/>
        <w:rPr>
          <w:b/>
          <w:bCs/>
        </w:rPr>
      </w:pPr>
      <w:r w:rsidRPr="00CB0150">
        <w:rPr>
          <w:b/>
          <w:bCs/>
        </w:rPr>
        <w:t>Proposed</w:t>
      </w:r>
    </w:p>
    <w:p w14:paraId="27DD7D21" w14:textId="1988E1C5" w:rsidR="00177255" w:rsidRPr="006A1F25" w:rsidRDefault="002765D7" w:rsidP="00177255">
      <w:pPr>
        <w:pStyle w:val="Paragraph"/>
        <w:rPr>
          <w:rFonts w:cstheme="minorBidi"/>
        </w:rPr>
      </w:pPr>
      <w:r w:rsidRPr="006A1F25">
        <w:rPr>
          <w:rFonts w:cstheme="minorBidi"/>
        </w:rPr>
        <w:t xml:space="preserve">The proposed rule would specify </w:t>
      </w:r>
      <w:r w:rsidR="00987E25">
        <w:rPr>
          <w:rFonts w:cstheme="minorBidi"/>
        </w:rPr>
        <w:t xml:space="preserve">that Ecology will send two notices, and that producers would have </w:t>
      </w:r>
      <w:r>
        <w:rPr>
          <w:rFonts w:cstheme="minorBidi"/>
        </w:rPr>
        <w:t xml:space="preserve">30 days comply </w:t>
      </w:r>
      <w:r w:rsidR="00987E25">
        <w:rPr>
          <w:rFonts w:cstheme="minorBidi"/>
        </w:rPr>
        <w:t>with each notice</w:t>
      </w:r>
      <w:r>
        <w:rPr>
          <w:rFonts w:cstheme="minorBidi"/>
        </w:rPr>
        <w:t>.</w:t>
      </w:r>
    </w:p>
    <w:p w14:paraId="0BE46671" w14:textId="50EDF49A" w:rsidR="00177255" w:rsidRPr="00CB0150" w:rsidRDefault="00177255" w:rsidP="003B1C00">
      <w:pPr>
        <w:pStyle w:val="Paragraph"/>
        <w:rPr>
          <w:b/>
          <w:bCs/>
        </w:rPr>
      </w:pPr>
      <w:r w:rsidRPr="00CB0150">
        <w:rPr>
          <w:b/>
          <w:bCs/>
        </w:rPr>
        <w:t>Expected impact</w:t>
      </w:r>
    </w:p>
    <w:p w14:paraId="15B32371" w14:textId="5948025B" w:rsidR="006A2990" w:rsidRDefault="00987E25" w:rsidP="003B1C00">
      <w:pPr>
        <w:pStyle w:val="Paragraph"/>
        <w:sectPr w:rsidR="006A2990">
          <w:pgSz w:w="12240" w:h="15840"/>
          <w:pgMar w:top="1440" w:right="1440" w:bottom="1440" w:left="1440" w:header="720" w:footer="720" w:gutter="0"/>
          <w:cols w:space="720"/>
        </w:sectPr>
      </w:pPr>
      <w:r>
        <w:t>We expect this section of the proposed rule to result in benefits of clear expectations of how many notices Ecology will send before taking further enforcement action. As a result, it potentially affects the timing of when producers incur the costs of coming into compliance, and benefits of earlier compliance.</w:t>
      </w:r>
      <w:r w:rsidR="009F743A">
        <w:t xml:space="preserve"> </w:t>
      </w:r>
    </w:p>
    <w:p w14:paraId="1463515D" w14:textId="6C0153F3" w:rsidR="00087615" w:rsidRDefault="00087615" w:rsidP="008B4521">
      <w:pPr>
        <w:pStyle w:val="RMChaptertitle"/>
      </w:pPr>
      <w:bookmarkStart w:id="36" w:name="_Toc132187801"/>
      <w:r>
        <w:lastRenderedPageBreak/>
        <w:t>Chapter 3: Likely Costs of the Proposed Rule</w:t>
      </w:r>
      <w:bookmarkEnd w:id="36"/>
      <w:r>
        <w:t xml:space="preserve"> </w:t>
      </w:r>
    </w:p>
    <w:p w14:paraId="41350FD0" w14:textId="77777777" w:rsidR="00087615" w:rsidRDefault="00087615" w:rsidP="00257276">
      <w:pPr>
        <w:pStyle w:val="RMHeading3"/>
      </w:pPr>
      <w:r>
        <w:t>3.1 Introduction</w:t>
      </w:r>
    </w:p>
    <w:p w14:paraId="2BAC6CCA" w14:textId="5BCC9B4F" w:rsidR="00087615" w:rsidRDefault="00087615" w:rsidP="003B1C00">
      <w:pPr>
        <w:pStyle w:val="Paragraph"/>
      </w:pPr>
      <w:r>
        <w:t>We analyzed the likely costs associated with the proposed rule, as compared to the baseline. The proposed rule and the baseline are discussed in detail in Chapter 2 of this document.</w:t>
      </w:r>
    </w:p>
    <w:p w14:paraId="10D64D23" w14:textId="77777777" w:rsidR="00087615" w:rsidRDefault="00087615" w:rsidP="00257276">
      <w:pPr>
        <w:pStyle w:val="RMHeading3"/>
      </w:pPr>
      <w:r>
        <w:t>3.2 Cost analysis</w:t>
      </w:r>
    </w:p>
    <w:p w14:paraId="3C609A34" w14:textId="77777777" w:rsidR="00776A76" w:rsidRDefault="00776A76" w:rsidP="00776A76">
      <w:pPr>
        <w:pStyle w:val="Paragraph"/>
      </w:pPr>
      <w:r w:rsidRPr="003F76E1">
        <w:t xml:space="preserve">The proposed rule </w:t>
      </w:r>
      <w:r>
        <w:t xml:space="preserve">would </w:t>
      </w:r>
      <w:r w:rsidRPr="003F76E1">
        <w:t xml:space="preserve">establish the processes </w:t>
      </w:r>
      <w:r>
        <w:t xml:space="preserve">Ecology and producers of covered products would follow to ensure </w:t>
      </w:r>
      <w:r w:rsidRPr="003F76E1">
        <w:t>compliance</w:t>
      </w:r>
      <w:r>
        <w:t xml:space="preserve"> with the law</w:t>
      </w:r>
      <w:r w:rsidRPr="003F76E1">
        <w:t xml:space="preserve">, </w:t>
      </w:r>
      <w:r>
        <w:t>including calculation of</w:t>
      </w:r>
      <w:r w:rsidRPr="003F76E1">
        <w:t xml:space="preserve"> annual fees. </w:t>
      </w:r>
      <w:r>
        <w:t>The proposed rule would specifically:</w:t>
      </w:r>
    </w:p>
    <w:p w14:paraId="61089AED" w14:textId="77777777" w:rsidR="00776A76" w:rsidRPr="00600796" w:rsidRDefault="00776A76" w:rsidP="00776A76">
      <w:pPr>
        <w:pStyle w:val="ListParagraph"/>
        <w:numPr>
          <w:ilvl w:val="0"/>
          <w:numId w:val="7"/>
        </w:numPr>
        <w:spacing w:after="160" w:line="252" w:lineRule="auto"/>
        <w:contextualSpacing/>
        <w:rPr>
          <w:rFonts w:eastAsia="Times New Roman"/>
          <w:sz w:val="22"/>
        </w:rPr>
      </w:pPr>
      <w:r w:rsidRPr="00600796">
        <w:rPr>
          <w:rFonts w:eastAsia="Times New Roman"/>
        </w:rPr>
        <w:t xml:space="preserve">Add or clarify definitions needed </w:t>
      </w:r>
      <w:r>
        <w:rPr>
          <w:rFonts w:eastAsia="Times New Roman"/>
        </w:rPr>
        <w:t>to comply with</w:t>
      </w:r>
      <w:r w:rsidRPr="00600796">
        <w:rPr>
          <w:rFonts w:eastAsia="Times New Roman"/>
        </w:rPr>
        <w:t xml:space="preserve"> the </w:t>
      </w:r>
      <w:r>
        <w:rPr>
          <w:rFonts w:eastAsia="Times New Roman"/>
        </w:rPr>
        <w:t>law</w:t>
      </w:r>
      <w:r w:rsidRPr="00600796">
        <w:rPr>
          <w:rFonts w:eastAsia="Times New Roman"/>
        </w:rPr>
        <w:t>.</w:t>
      </w:r>
    </w:p>
    <w:p w14:paraId="222C4E5E" w14:textId="77777777" w:rsidR="00776A76" w:rsidRPr="00600796" w:rsidRDefault="00776A76" w:rsidP="00776A76">
      <w:pPr>
        <w:pStyle w:val="ListParagraph"/>
        <w:numPr>
          <w:ilvl w:val="0"/>
          <w:numId w:val="7"/>
        </w:numPr>
        <w:spacing w:after="160" w:line="252" w:lineRule="auto"/>
        <w:contextualSpacing/>
        <w:rPr>
          <w:rFonts w:eastAsia="Times New Roman"/>
        </w:rPr>
      </w:pPr>
      <w:r w:rsidRPr="00600796">
        <w:rPr>
          <w:rFonts w:eastAsia="Times New Roman"/>
        </w:rPr>
        <w:t>Set requirements for registration and reporting.</w:t>
      </w:r>
    </w:p>
    <w:p w14:paraId="18C71E94" w14:textId="77777777" w:rsidR="00776A76" w:rsidRDefault="00776A76" w:rsidP="00776A76">
      <w:pPr>
        <w:pStyle w:val="ListParagraph"/>
        <w:numPr>
          <w:ilvl w:val="0"/>
          <w:numId w:val="7"/>
        </w:numPr>
        <w:spacing w:after="160" w:line="252" w:lineRule="auto"/>
        <w:contextualSpacing/>
        <w:rPr>
          <w:rFonts w:eastAsia="Times New Roman"/>
        </w:rPr>
      </w:pPr>
      <w:r w:rsidRPr="00600796">
        <w:rPr>
          <w:rFonts w:eastAsia="Times New Roman"/>
        </w:rPr>
        <w:t xml:space="preserve">Establish </w:t>
      </w:r>
      <w:r>
        <w:rPr>
          <w:rFonts w:eastAsia="Times New Roman"/>
        </w:rPr>
        <w:t xml:space="preserve">a process to ensure </w:t>
      </w:r>
      <w:r w:rsidRPr="00600796">
        <w:rPr>
          <w:rFonts w:eastAsia="Times New Roman"/>
        </w:rPr>
        <w:t xml:space="preserve">fee allocation methods </w:t>
      </w:r>
      <w:r>
        <w:rPr>
          <w:rFonts w:eastAsia="Times New Roman"/>
        </w:rPr>
        <w:t>are equitable.</w:t>
      </w:r>
    </w:p>
    <w:p w14:paraId="29ECD09C" w14:textId="77777777" w:rsidR="00776A76" w:rsidRPr="00600796" w:rsidRDefault="00776A76" w:rsidP="00776A76">
      <w:pPr>
        <w:pStyle w:val="ListParagraph"/>
        <w:numPr>
          <w:ilvl w:val="0"/>
          <w:numId w:val="7"/>
        </w:numPr>
        <w:spacing w:after="160" w:line="252" w:lineRule="auto"/>
        <w:contextualSpacing/>
        <w:rPr>
          <w:rFonts w:eastAsia="Times New Roman"/>
        </w:rPr>
      </w:pPr>
      <w:r>
        <w:rPr>
          <w:rFonts w:eastAsia="Times New Roman"/>
        </w:rPr>
        <w:t xml:space="preserve">Establish the annual producer fee </w:t>
      </w:r>
      <w:r w:rsidRPr="00600796">
        <w:rPr>
          <w:rFonts w:eastAsia="Times New Roman"/>
        </w:rPr>
        <w:t>billing proc</w:t>
      </w:r>
      <w:r>
        <w:rPr>
          <w:rFonts w:eastAsia="Times New Roman"/>
        </w:rPr>
        <w:t>ess</w:t>
      </w:r>
      <w:r w:rsidRPr="00600796">
        <w:rPr>
          <w:rFonts w:eastAsia="Times New Roman"/>
        </w:rPr>
        <w:t>.</w:t>
      </w:r>
    </w:p>
    <w:p w14:paraId="7D0BB707" w14:textId="77777777" w:rsidR="00776A76" w:rsidRPr="00600796" w:rsidRDefault="00776A76" w:rsidP="00776A76">
      <w:pPr>
        <w:pStyle w:val="ListParagraph"/>
        <w:numPr>
          <w:ilvl w:val="0"/>
          <w:numId w:val="7"/>
        </w:numPr>
        <w:spacing w:after="160" w:line="252" w:lineRule="auto"/>
        <w:contextualSpacing/>
        <w:rPr>
          <w:rFonts w:eastAsia="Times New Roman"/>
        </w:rPr>
      </w:pPr>
      <w:r>
        <w:rPr>
          <w:rFonts w:eastAsia="Times New Roman"/>
        </w:rPr>
        <w:t>Clarify</w:t>
      </w:r>
      <w:r w:rsidRPr="00600796">
        <w:rPr>
          <w:rFonts w:eastAsia="Times New Roman"/>
        </w:rPr>
        <w:t xml:space="preserve"> requirements for PCRC weight calculations.</w:t>
      </w:r>
    </w:p>
    <w:p w14:paraId="457976E3" w14:textId="77777777" w:rsidR="00776A76" w:rsidRPr="00600796" w:rsidRDefault="00776A76" w:rsidP="00776A76">
      <w:pPr>
        <w:pStyle w:val="ListParagraph"/>
        <w:numPr>
          <w:ilvl w:val="0"/>
          <w:numId w:val="7"/>
        </w:numPr>
        <w:spacing w:after="160" w:line="252" w:lineRule="auto"/>
        <w:contextualSpacing/>
        <w:rPr>
          <w:rFonts w:eastAsia="Times New Roman"/>
        </w:rPr>
      </w:pPr>
      <w:r>
        <w:rPr>
          <w:rFonts w:eastAsia="Times New Roman"/>
        </w:rPr>
        <w:t>Clarify</w:t>
      </w:r>
      <w:r w:rsidRPr="00600796">
        <w:rPr>
          <w:rFonts w:eastAsia="Times New Roman"/>
        </w:rPr>
        <w:t xml:space="preserve"> requirements for temporary exclusion requests.</w:t>
      </w:r>
    </w:p>
    <w:p w14:paraId="5FD2B94E" w14:textId="77777777" w:rsidR="00776A76" w:rsidRDefault="00776A76" w:rsidP="00776A76">
      <w:pPr>
        <w:pStyle w:val="ListParagraph"/>
        <w:numPr>
          <w:ilvl w:val="0"/>
          <w:numId w:val="7"/>
        </w:numPr>
        <w:spacing w:after="160" w:line="252" w:lineRule="auto"/>
        <w:contextualSpacing/>
        <w:rPr>
          <w:rFonts w:eastAsia="Times New Roman"/>
        </w:rPr>
      </w:pPr>
      <w:r w:rsidRPr="00EA2055">
        <w:rPr>
          <w:rFonts w:eastAsia="Times New Roman"/>
        </w:rPr>
        <w:t>Limit timing for providing necessary audit documentation.</w:t>
      </w:r>
    </w:p>
    <w:p w14:paraId="37EA2AF5" w14:textId="321BD32F" w:rsidR="004F5493" w:rsidRPr="00600796" w:rsidRDefault="00776A76" w:rsidP="00776A76">
      <w:pPr>
        <w:pStyle w:val="ListParagraph"/>
        <w:numPr>
          <w:ilvl w:val="0"/>
          <w:numId w:val="7"/>
        </w:numPr>
        <w:spacing w:after="160" w:line="252" w:lineRule="auto"/>
        <w:contextualSpacing/>
        <w:rPr>
          <w:rFonts w:eastAsia="Times New Roman"/>
        </w:rPr>
      </w:pPr>
      <w:r>
        <w:rPr>
          <w:rFonts w:eastAsia="Times New Roman"/>
        </w:rPr>
        <w:t xml:space="preserve">Detail the process </w:t>
      </w:r>
      <w:r w:rsidRPr="00600796">
        <w:rPr>
          <w:rFonts w:eastAsia="Times New Roman"/>
        </w:rPr>
        <w:t>for warnings and penalties for noncompliance.</w:t>
      </w:r>
    </w:p>
    <w:p w14:paraId="0930FE76" w14:textId="7DF48800" w:rsidR="00225BBF" w:rsidRDefault="00225BBF" w:rsidP="00225BBF">
      <w:pPr>
        <w:pStyle w:val="RMSectionXXX"/>
      </w:pPr>
      <w:bookmarkStart w:id="37" w:name="_Toc132187802"/>
      <w:r>
        <w:t>3.2</w:t>
      </w:r>
      <w:r w:rsidRPr="00600796">
        <w:t>.1 Add</w:t>
      </w:r>
      <w:r>
        <w:t>ing</w:t>
      </w:r>
      <w:r w:rsidRPr="00600796">
        <w:t xml:space="preserve"> or Clarify</w:t>
      </w:r>
      <w:r>
        <w:t>ing</w:t>
      </w:r>
      <w:r w:rsidRPr="00600796">
        <w:t xml:space="preserve"> Definitions Necessary for Implementation of the Rule</w:t>
      </w:r>
      <w:bookmarkEnd w:id="37"/>
    </w:p>
    <w:p w14:paraId="41541AB4" w14:textId="0FC4004F" w:rsidR="006A75DA" w:rsidRDefault="006A75DA" w:rsidP="006A75DA">
      <w:pPr>
        <w:pStyle w:val="Paragraph"/>
      </w:pPr>
      <w:r>
        <w:t xml:space="preserve">We don’t expect the proposed definitions to result in significant impacts, except adding the definition of additional technical terms needed to implement the proposed rule. The impact of definitions is within the context of how they are used in the rest of the rule (the </w:t>
      </w:r>
      <w:r w:rsidR="00301F93">
        <w:t>costs</w:t>
      </w:r>
      <w:r>
        <w:t xml:space="preserve"> of which are discussed in sections below).</w:t>
      </w:r>
    </w:p>
    <w:p w14:paraId="2FAACC00" w14:textId="72294366" w:rsidR="00DC0794" w:rsidRDefault="00DC0794" w:rsidP="00DC0794">
      <w:pPr>
        <w:pStyle w:val="Paragraph"/>
      </w:pPr>
      <w:r>
        <w:t>Proposed definition</w:t>
      </w:r>
      <w:r w:rsidDel="00E23913">
        <w:t>s</w:t>
      </w:r>
      <w:r>
        <w:t xml:space="preserve"> of a producer </w:t>
      </w:r>
      <w:r w:rsidR="00732993">
        <w:t>could</w:t>
      </w:r>
      <w:r>
        <w:t xml:space="preserve"> affect the scope of </w:t>
      </w:r>
      <w:r w:rsidR="00E45C6F">
        <w:t>producers</w:t>
      </w:r>
      <w:r>
        <w:t xml:space="preserve"> relative to the baseline</w:t>
      </w:r>
      <w:r w:rsidR="00E23913">
        <w:t>.</w:t>
      </w:r>
      <w:r>
        <w:t xml:space="preserve"> </w:t>
      </w:r>
      <w:r w:rsidR="00E23913">
        <w:t xml:space="preserve">Proposed definition of a household cleaning product </w:t>
      </w:r>
      <w:r>
        <w:t>could affect the scope of covered products depending on baseline interpretation:</w:t>
      </w:r>
    </w:p>
    <w:p w14:paraId="4660DF10" w14:textId="5CAE2337" w:rsidR="00DC0794" w:rsidRDefault="00DC0794" w:rsidP="00677B7E">
      <w:pPr>
        <w:pStyle w:val="ListParagraph"/>
      </w:pPr>
      <w:r>
        <w:t xml:space="preserve">Producer: This definition would </w:t>
      </w:r>
      <w:r w:rsidR="00732993">
        <w:t>clarify that</w:t>
      </w:r>
      <w:r>
        <w:t xml:space="preserve"> compliance burden </w:t>
      </w:r>
      <w:r w:rsidR="00732993">
        <w:t>is</w:t>
      </w:r>
      <w:r>
        <w:t xml:space="preserve"> </w:t>
      </w:r>
      <w:r w:rsidR="00732993">
        <w:t>on</w:t>
      </w:r>
      <w:r>
        <w:t xml:space="preserve"> brand owners of products manufactured by other entities. Overall compliance burden would be the same, but including retailers that are brand owners. Associated costs are reflected in estimates that are based on the number and types of </w:t>
      </w:r>
      <w:r w:rsidR="00732993">
        <w:t xml:space="preserve">producers of </w:t>
      </w:r>
      <w:r>
        <w:t xml:space="preserve">covered </w:t>
      </w:r>
      <w:r w:rsidR="00732993">
        <w:t>products</w:t>
      </w:r>
      <w:r>
        <w:t>. Affected industries, as well as output and employment impacts of costs distributed across them are discussed in Chapter 7.</w:t>
      </w:r>
    </w:p>
    <w:p w14:paraId="6D4CA034" w14:textId="21898AEA" w:rsidR="00DC0794" w:rsidRDefault="00DC0794" w:rsidP="00677B7E">
      <w:pPr>
        <w:pStyle w:val="ListParagraph"/>
      </w:pPr>
      <w:r>
        <w:t xml:space="preserve">Household cleaning product: The baseline includes “household cleaning product” as a subset of its definition of “household cleaning and personal care product” but does not offer any specificity. The proposed definition would clarify what is meant by “household" </w:t>
      </w:r>
      <w:r w:rsidR="00E23913">
        <w:t xml:space="preserve">and “cleaning product” </w:t>
      </w:r>
      <w:r>
        <w:t xml:space="preserve">in this context, </w:t>
      </w:r>
      <w:r w:rsidR="0040728E">
        <w:t>compared to</w:t>
      </w:r>
      <w:r>
        <w:t xml:space="preserve"> potentially </w:t>
      </w:r>
      <w:r w:rsidR="0040728E">
        <w:t>variable</w:t>
      </w:r>
      <w:r>
        <w:t xml:space="preserve"> </w:t>
      </w:r>
      <w:r>
        <w:lastRenderedPageBreak/>
        <w:t xml:space="preserve">interpretation of the baseline statutory language. Associated costs are reflected in estimates that are based on the number and types of </w:t>
      </w:r>
      <w:r w:rsidR="00E45C6F">
        <w:t>producers</w:t>
      </w:r>
      <w:r>
        <w:t>.</w:t>
      </w:r>
    </w:p>
    <w:p w14:paraId="11152008" w14:textId="2912E925" w:rsidR="00225BBF" w:rsidRPr="00600796" w:rsidRDefault="00225BBF" w:rsidP="00225BBF">
      <w:pPr>
        <w:pStyle w:val="RMSectionXXX"/>
      </w:pPr>
      <w:bookmarkStart w:id="38" w:name="_Toc132187803"/>
      <w:r w:rsidRPr="0002694A">
        <w:t>3.2.2 Setting requirements for registration</w:t>
      </w:r>
      <w:r w:rsidR="00B94683">
        <w:t xml:space="preserve">, </w:t>
      </w:r>
      <w:r w:rsidR="00B94683" w:rsidDel="007F32E6">
        <w:t>reporting</w:t>
      </w:r>
      <w:r w:rsidR="007F32E6">
        <w:t>,</w:t>
      </w:r>
      <w:r w:rsidR="00B94683">
        <w:t xml:space="preserve"> and de minimis notifications</w:t>
      </w:r>
      <w:bookmarkEnd w:id="38"/>
    </w:p>
    <w:p w14:paraId="552FBC7B" w14:textId="3B5362F9" w:rsidR="00B94683" w:rsidRDefault="006A75DA" w:rsidP="00464ABF">
      <w:pPr>
        <w:pStyle w:val="Paragraph"/>
        <w:widowControl w:val="0"/>
      </w:pPr>
      <w:r>
        <w:t>We expect this section of the proposed rule to result in costs of additional producer effort during registration and reporting.</w:t>
      </w:r>
      <w:r w:rsidR="00782D66">
        <w:t xml:space="preserve"> </w:t>
      </w:r>
      <w:r w:rsidR="00B94683">
        <w:t xml:space="preserve">There would also be costs associated with de minimis notifications. </w:t>
      </w:r>
    </w:p>
    <w:p w14:paraId="542AE845" w14:textId="61D1FC01" w:rsidR="00B94683" w:rsidRPr="00F633C2" w:rsidRDefault="00F72393" w:rsidP="00464ABF">
      <w:pPr>
        <w:pStyle w:val="Paragraph"/>
        <w:widowControl w:val="0"/>
        <w:rPr>
          <w:b/>
        </w:rPr>
      </w:pPr>
      <w:r>
        <w:rPr>
          <w:b/>
          <w:bCs/>
        </w:rPr>
        <w:t>Range of impacted producers</w:t>
      </w:r>
    </w:p>
    <w:p w14:paraId="1851773F" w14:textId="4D938F29" w:rsidR="00A92BF6" w:rsidRDefault="00A92BF6" w:rsidP="00B94683">
      <w:pPr>
        <w:spacing w:before="240"/>
      </w:pPr>
      <w:r>
        <w:t>We estimated a range of producers potentially covered by the proposed rule.</w:t>
      </w:r>
    </w:p>
    <w:p w14:paraId="0648C1E8" w14:textId="081C73F4" w:rsidR="00A92BF6" w:rsidRDefault="00A92BF6" w:rsidP="00677B7E">
      <w:pPr>
        <w:pStyle w:val="ListParagraph"/>
      </w:pPr>
      <w:r>
        <w:t>To estimate a low-end number of likely producers</w:t>
      </w:r>
      <w:r w:rsidR="009011C8">
        <w:t xml:space="preserve"> of covered PCRC products</w:t>
      </w:r>
      <w:r>
        <w:t>, we identified 297 producers that have registered with Ecology as of January 2023 under the law.</w:t>
      </w:r>
      <w:r w:rsidR="004A33E6">
        <w:t xml:space="preserve"> This included 262 producers who had already registered with Ecology in addition to 35 other </w:t>
      </w:r>
      <w:r w:rsidR="00955F9F">
        <w:t>producers</w:t>
      </w:r>
      <w:r w:rsidR="004A33E6">
        <w:t xml:space="preserve"> that were identified </w:t>
      </w:r>
      <w:r w:rsidR="00182B94">
        <w:t xml:space="preserve">by </w:t>
      </w:r>
      <w:r w:rsidR="00955F9F">
        <w:t xml:space="preserve">brands in retail stores and </w:t>
      </w:r>
      <w:r w:rsidR="001548DF">
        <w:t xml:space="preserve">public engagement </w:t>
      </w:r>
      <w:r w:rsidR="00955F9F">
        <w:t>attendees.</w:t>
      </w:r>
    </w:p>
    <w:p w14:paraId="480A02CF" w14:textId="206FAD19" w:rsidR="00A92BF6" w:rsidRDefault="00A92BF6" w:rsidP="00677B7E">
      <w:pPr>
        <w:pStyle w:val="ListParagraph"/>
      </w:pPr>
      <w:r>
        <w:t>To estimate a high-end number of likely producers</w:t>
      </w:r>
      <w:r w:rsidR="009011C8">
        <w:t xml:space="preserve"> of covered PCRC products</w:t>
      </w:r>
      <w:r>
        <w:t xml:space="preserve">, we began by identifying industries that were most likely to have businesses covered by the proposed rule. </w:t>
      </w:r>
      <w:r w:rsidR="00F72393">
        <w:t>This resulted in a starting population of 8,107 businesses globally.</w:t>
      </w:r>
      <w:r w:rsidR="00F72393">
        <w:rPr>
          <w:rStyle w:val="FootnoteReference"/>
        </w:rPr>
        <w:footnoteReference w:id="5"/>
      </w:r>
      <w:r w:rsidR="00F72393">
        <w:t xml:space="preserve"> </w:t>
      </w:r>
      <w:r>
        <w:t>Using the Dun &amp; Bradstreet database, we filtered</w:t>
      </w:r>
      <w:r w:rsidR="00F72393">
        <w:t xml:space="preserve"> this population</w:t>
      </w:r>
      <w:r>
        <w:t xml:space="preserve"> for:</w:t>
      </w:r>
    </w:p>
    <w:p w14:paraId="53CB8CA5" w14:textId="77777777" w:rsidR="00A92BF6" w:rsidRDefault="00A92BF6" w:rsidP="00677B7E">
      <w:pPr>
        <w:pStyle w:val="ListParagraph"/>
        <w:numPr>
          <w:ilvl w:val="1"/>
          <w:numId w:val="3"/>
        </w:numPr>
      </w:pPr>
      <w:r>
        <w:t>22 different industry North American Industry Classification System (NAICS) codes (see section 7.6).</w:t>
      </w:r>
    </w:p>
    <w:p w14:paraId="77A1C4FF" w14:textId="77777777" w:rsidR="00A92BF6" w:rsidRDefault="00A92BF6" w:rsidP="00677B7E">
      <w:pPr>
        <w:pStyle w:val="ListParagraph"/>
        <w:numPr>
          <w:ilvl w:val="1"/>
          <w:numId w:val="3"/>
        </w:numPr>
      </w:pPr>
      <w:r>
        <w:t>Businesses making over $1,000,000 annually in US sales.</w:t>
      </w:r>
    </w:p>
    <w:p w14:paraId="6C477F63" w14:textId="11EB8208" w:rsidR="00A92BF6" w:rsidRDefault="00A92BF6" w:rsidP="00677B7E">
      <w:pPr>
        <w:pStyle w:val="ListParagraph"/>
        <w:numPr>
          <w:ilvl w:val="1"/>
          <w:numId w:val="3"/>
        </w:numPr>
      </w:pPr>
      <w:r>
        <w:t xml:space="preserve">A low financial stress marketing score: A proprietary multivariate index developed by Dun &amp; Bradstreet, and an indicator of business vulnerability to increased costs, market pressures, and other disruptions. We filtered </w:t>
      </w:r>
      <w:r w:rsidR="00CA0D94">
        <w:t>out high financial stress marketing scores as a proxy for small producers in other states or other countries that were not likely to export to Washington.</w:t>
      </w:r>
      <w:r w:rsidR="006B4B90">
        <w:rPr>
          <w:rStyle w:val="FootnoteReference"/>
        </w:rPr>
        <w:footnoteReference w:id="6"/>
      </w:r>
    </w:p>
    <w:p w14:paraId="400F3D7E" w14:textId="6FCA715B" w:rsidR="00254150" w:rsidRPr="00A92BF6" w:rsidRDefault="00952025" w:rsidP="00677B7E">
      <w:pPr>
        <w:pStyle w:val="ListParagraph"/>
      </w:pPr>
      <w:r>
        <w:t>This number was then scaled down depending on how competitive the market for the product was and the Washington market share. For example, a small number of grocery stores own a large percentage of the products sold at these locations</w:t>
      </w:r>
      <w:r w:rsidR="00746DA9">
        <w:t>,</w:t>
      </w:r>
      <w:r>
        <w:t xml:space="preserve"> so we estimated </w:t>
      </w:r>
      <w:r w:rsidR="00746DA9">
        <w:t xml:space="preserve">that only 1.2% of these businesses were likely to have covered products. </w:t>
      </w:r>
      <w:r w:rsidR="00254150">
        <w:t xml:space="preserve">This resulted in </w:t>
      </w:r>
      <w:r w:rsidR="00254150" w:rsidRPr="009011C8">
        <w:t>a high</w:t>
      </w:r>
      <w:r w:rsidR="00C7594E">
        <w:t>-</w:t>
      </w:r>
      <w:r w:rsidR="00254150" w:rsidRPr="009011C8">
        <w:t>end estimate of 623 producers of covered PCRC products.</w:t>
      </w:r>
    </w:p>
    <w:p w14:paraId="2A8FF000" w14:textId="28341875" w:rsidR="00CB7380" w:rsidRDefault="001456AB" w:rsidP="00CB7380">
      <w:pPr>
        <w:pStyle w:val="Paragraph"/>
      </w:pPr>
      <w:r>
        <w:t>According to ecology’s record, o</w:t>
      </w:r>
      <w:r w:rsidR="00CB7380">
        <w:t>f those, 262 registered with Ecology, 155 met de minimis status (only 40.8% required to comply). So, we estimate the high end and low end range of producer</w:t>
      </w:r>
      <w:r w:rsidR="003E698B">
        <w:t xml:space="preserve"> need to comply</w:t>
      </w:r>
      <w:r w:rsidR="00CB7380">
        <w:t xml:space="preserve"> as 40.8% of 297 to 40.8% of 623 (i.e., 12</w:t>
      </w:r>
      <w:r w:rsidR="00687938">
        <w:t>1</w:t>
      </w:r>
      <w:r w:rsidR="00CB7380">
        <w:t xml:space="preserve"> to 254)</w:t>
      </w:r>
      <w:r>
        <w:t>.</w:t>
      </w:r>
      <w:r w:rsidR="00CB7380">
        <w:t xml:space="preserve"> </w:t>
      </w:r>
    </w:p>
    <w:p w14:paraId="4BC8BA95" w14:textId="5C281761" w:rsidR="003E698B" w:rsidRPr="00A92BF6" w:rsidRDefault="003E698B" w:rsidP="00CB7380">
      <w:pPr>
        <w:pStyle w:val="Paragraph"/>
      </w:pPr>
      <w:r>
        <w:lastRenderedPageBreak/>
        <w:t xml:space="preserve">Correspondingly, we expect the remaining </w:t>
      </w:r>
      <w:r w:rsidR="00687938">
        <w:t>176</w:t>
      </w:r>
      <w:r>
        <w:t xml:space="preserve"> (</w:t>
      </w:r>
      <w:r w:rsidR="00687938">
        <w:t>297</w:t>
      </w:r>
      <w:r>
        <w:t xml:space="preserve"> minus 120) or </w:t>
      </w:r>
      <w:r w:rsidR="00687938">
        <w:t>369</w:t>
      </w:r>
      <w:r>
        <w:t xml:space="preserve"> (</w:t>
      </w:r>
      <w:r w:rsidR="00687938">
        <w:t>623</w:t>
      </w:r>
      <w:r>
        <w:t xml:space="preserve"> minus 254) businesses to meet de minimis status requirements</w:t>
      </w:r>
      <w:r w:rsidR="004A5F65">
        <w:t xml:space="preserve"> or to simply not be covered by the rule. As we could not discern the two in our data, we chose to potentially overestimate these costs</w:t>
      </w:r>
      <w:r>
        <w:t>.</w:t>
      </w:r>
    </w:p>
    <w:p w14:paraId="7203979D" w14:textId="493F0F4D" w:rsidR="00F72393" w:rsidRPr="00F72393" w:rsidRDefault="00F72393" w:rsidP="00464ABF">
      <w:pPr>
        <w:pStyle w:val="Paragraph"/>
        <w:widowControl w:val="0"/>
        <w:rPr>
          <w:b/>
          <w:bCs/>
        </w:rPr>
      </w:pPr>
      <w:r>
        <w:rPr>
          <w:b/>
          <w:bCs/>
        </w:rPr>
        <w:t>Registration and reporting costs</w:t>
      </w:r>
    </w:p>
    <w:p w14:paraId="518E2375" w14:textId="376BCAE8" w:rsidR="00D044A1" w:rsidRDefault="00D044A1" w:rsidP="00464ABF">
      <w:pPr>
        <w:pStyle w:val="Paragraph"/>
        <w:widowControl w:val="0"/>
      </w:pPr>
      <w:r>
        <w:t xml:space="preserve">The </w:t>
      </w:r>
      <w:r w:rsidR="0002694A">
        <w:t>table</w:t>
      </w:r>
      <w:r w:rsidR="00A573BD">
        <w:t xml:space="preserve"> </w:t>
      </w:r>
      <w:r>
        <w:t xml:space="preserve">below illustrates the cost of multiple activities required </w:t>
      </w:r>
      <w:r w:rsidR="0061012C">
        <w:t xml:space="preserve">of the </w:t>
      </w:r>
      <w:r>
        <w:t xml:space="preserve">producer </w:t>
      </w:r>
      <w:r w:rsidR="00EC0C40">
        <w:t>for</w:t>
      </w:r>
      <w:r w:rsidR="00683D40">
        <w:t xml:space="preserve"> registration and reporting to Ecology</w:t>
      </w:r>
      <w:r>
        <w:t>.</w:t>
      </w:r>
    </w:p>
    <w:p w14:paraId="337FD723" w14:textId="685A29D5" w:rsidR="00BF1294" w:rsidRDefault="0002694A" w:rsidP="00464ABF">
      <w:pPr>
        <w:pStyle w:val="Caption"/>
        <w:widowControl w:val="0"/>
      </w:pPr>
      <w:bookmarkStart w:id="39" w:name="_Toc133303722"/>
      <w:r>
        <w:t xml:space="preserve">Table </w:t>
      </w:r>
      <w:fldSimple w:instr=" SEQ Table \* ARABIC ">
        <w:r w:rsidR="00B94460">
          <w:rPr>
            <w:noProof/>
          </w:rPr>
          <w:t>3</w:t>
        </w:r>
      </w:fldSimple>
      <w:r w:rsidR="000F5E36">
        <w:t xml:space="preserve">. </w:t>
      </w:r>
      <w:r w:rsidRPr="00C344FD">
        <w:t xml:space="preserve">Annual cost of registration and reporting </w:t>
      </w:r>
      <w:r w:rsidR="0061012C">
        <w:t>for each</w:t>
      </w:r>
      <w:r w:rsidR="0061012C" w:rsidRPr="00C344FD">
        <w:t xml:space="preserve"> </w:t>
      </w:r>
      <w:r w:rsidRPr="00C344FD">
        <w:t>producer</w:t>
      </w:r>
      <w:r w:rsidR="000F5E36">
        <w:t>.</w:t>
      </w:r>
      <w:bookmarkEnd w:id="39"/>
    </w:p>
    <w:tbl>
      <w:tblPr>
        <w:tblW w:w="9450" w:type="dxa"/>
        <w:jc w:val="center"/>
        <w:tblLook w:val="04A0" w:firstRow="1" w:lastRow="0" w:firstColumn="1" w:lastColumn="0" w:noHBand="0" w:noVBand="1"/>
        <w:tblCaption w:val="annual cost of registration and reporting for each producer"/>
      </w:tblPr>
      <w:tblGrid>
        <w:gridCol w:w="4916"/>
        <w:gridCol w:w="1584"/>
        <w:gridCol w:w="1854"/>
        <w:gridCol w:w="1096"/>
      </w:tblGrid>
      <w:tr w:rsidR="00BF1294" w:rsidRPr="00677B7E" w14:paraId="4AE6FDA1" w14:textId="77777777" w:rsidTr="003714E6">
        <w:trPr>
          <w:cantSplit/>
          <w:tblHeader/>
          <w:jc w:val="center"/>
        </w:trPr>
        <w:tc>
          <w:tcPr>
            <w:tcW w:w="4916" w:type="dxa"/>
            <w:tcBorders>
              <w:bottom w:val="single" w:sz="4" w:space="0" w:color="auto"/>
            </w:tcBorders>
            <w:shd w:val="clear" w:color="auto" w:fill="auto"/>
            <w:noWrap/>
            <w:vAlign w:val="center"/>
            <w:hideMark/>
          </w:tcPr>
          <w:p w14:paraId="58E9F112" w14:textId="4AC817AC" w:rsidR="00BF1294" w:rsidRPr="00677B7E" w:rsidRDefault="006F00FD" w:rsidP="00E83111">
            <w:pPr>
              <w:pStyle w:val="Tablecell"/>
              <w:keepNext w:val="0"/>
              <w:widowControl w:val="0"/>
              <w:jc w:val="center"/>
            </w:pPr>
            <w:r w:rsidRPr="00677B7E">
              <w:t>Activities</w:t>
            </w:r>
          </w:p>
        </w:tc>
        <w:tc>
          <w:tcPr>
            <w:tcW w:w="1584" w:type="dxa"/>
            <w:tcBorders>
              <w:bottom w:val="single" w:sz="4" w:space="0" w:color="auto"/>
            </w:tcBorders>
            <w:shd w:val="clear" w:color="auto" w:fill="auto"/>
            <w:noWrap/>
            <w:vAlign w:val="center"/>
            <w:hideMark/>
          </w:tcPr>
          <w:p w14:paraId="21D21795" w14:textId="77777777" w:rsidR="00BF1294" w:rsidRPr="00677B7E" w:rsidRDefault="00BF1294" w:rsidP="00464ABF">
            <w:pPr>
              <w:pStyle w:val="Tablecell"/>
              <w:keepNext w:val="0"/>
              <w:widowControl w:val="0"/>
              <w:jc w:val="center"/>
            </w:pPr>
            <w:r w:rsidRPr="00677B7E">
              <w:t>Hours</w:t>
            </w:r>
          </w:p>
        </w:tc>
        <w:tc>
          <w:tcPr>
            <w:tcW w:w="1854" w:type="dxa"/>
            <w:tcBorders>
              <w:bottom w:val="single" w:sz="4" w:space="0" w:color="auto"/>
            </w:tcBorders>
            <w:shd w:val="clear" w:color="auto" w:fill="auto"/>
            <w:noWrap/>
            <w:vAlign w:val="center"/>
          </w:tcPr>
          <w:p w14:paraId="13DF7304" w14:textId="03879D13" w:rsidR="00BF1294" w:rsidRPr="00677B7E" w:rsidRDefault="00BF1294" w:rsidP="00464ABF">
            <w:pPr>
              <w:pStyle w:val="Tablecell"/>
              <w:keepNext w:val="0"/>
              <w:widowControl w:val="0"/>
              <w:jc w:val="center"/>
            </w:pPr>
            <w:r w:rsidRPr="00677B7E">
              <w:t>Hourly rate</w:t>
            </w:r>
            <w:r w:rsidR="00150AE6" w:rsidRPr="00677B7E">
              <w:rPr>
                <w:rStyle w:val="FootnoteReference"/>
              </w:rPr>
              <w:footnoteReference w:id="7"/>
            </w:r>
          </w:p>
        </w:tc>
        <w:tc>
          <w:tcPr>
            <w:tcW w:w="1096" w:type="dxa"/>
            <w:tcBorders>
              <w:bottom w:val="single" w:sz="4" w:space="0" w:color="auto"/>
            </w:tcBorders>
          </w:tcPr>
          <w:p w14:paraId="7E4C29A8" w14:textId="77777777" w:rsidR="00BF1294" w:rsidRPr="00677B7E" w:rsidRDefault="00BF1294" w:rsidP="00464ABF">
            <w:pPr>
              <w:pStyle w:val="Tablecell"/>
              <w:keepNext w:val="0"/>
              <w:widowControl w:val="0"/>
              <w:jc w:val="center"/>
            </w:pPr>
            <w:r w:rsidRPr="00677B7E">
              <w:t>Cost</w:t>
            </w:r>
          </w:p>
        </w:tc>
      </w:tr>
      <w:tr w:rsidR="00BF1294" w:rsidRPr="00677B7E" w14:paraId="4F231AAB" w14:textId="77777777" w:rsidTr="005A2A0B">
        <w:trPr>
          <w:cantSplit/>
          <w:jc w:val="center"/>
        </w:trPr>
        <w:tc>
          <w:tcPr>
            <w:tcW w:w="4916" w:type="dxa"/>
            <w:tcBorders>
              <w:top w:val="single" w:sz="4" w:space="0" w:color="auto"/>
              <w:bottom w:val="single" w:sz="4" w:space="0" w:color="auto"/>
            </w:tcBorders>
            <w:shd w:val="clear" w:color="auto" w:fill="auto"/>
            <w:noWrap/>
            <w:vAlign w:val="center"/>
            <w:hideMark/>
          </w:tcPr>
          <w:p w14:paraId="6FD101C1" w14:textId="47EB6FA4" w:rsidR="00BF1294" w:rsidRPr="00677B7E" w:rsidRDefault="00B11CB7" w:rsidP="00464ABF">
            <w:pPr>
              <w:pStyle w:val="Tablecell"/>
              <w:keepNext w:val="0"/>
              <w:widowControl w:val="0"/>
            </w:pPr>
            <w:r w:rsidRPr="00677B7E">
              <w:t>a</w:t>
            </w:r>
            <w:r w:rsidR="00A43CCC" w:rsidRPr="00677B7E">
              <w:t xml:space="preserve">. </w:t>
            </w:r>
            <w:r w:rsidR="001016C8" w:rsidRPr="00677B7E">
              <w:t>Additional t</w:t>
            </w:r>
            <w:r w:rsidR="00BF1294" w:rsidRPr="00677B7E">
              <w:t>ime required to include specified information (</w:t>
            </w:r>
            <w:r w:rsidR="000F157D" w:rsidRPr="00677B7E">
              <w:t>e.g.,</w:t>
            </w:r>
            <w:r w:rsidR="00BF1294" w:rsidRPr="00677B7E">
              <w:t xml:space="preserve"> Location, TIN, contact, etc</w:t>
            </w:r>
            <w:r w:rsidR="00EC0C40" w:rsidRPr="00677B7E">
              <w:t>.</w:t>
            </w:r>
            <w:r w:rsidR="00BF1294" w:rsidRPr="00677B7E">
              <w:t>) in registration</w:t>
            </w:r>
            <w:r w:rsidR="00B402C8" w:rsidRPr="00677B7E">
              <w:t>.</w:t>
            </w:r>
          </w:p>
        </w:tc>
        <w:tc>
          <w:tcPr>
            <w:tcW w:w="1584" w:type="dxa"/>
            <w:tcBorders>
              <w:top w:val="single" w:sz="4" w:space="0" w:color="auto"/>
              <w:bottom w:val="single" w:sz="4" w:space="0" w:color="auto"/>
            </w:tcBorders>
            <w:shd w:val="clear" w:color="auto" w:fill="auto"/>
            <w:noWrap/>
            <w:vAlign w:val="center"/>
            <w:hideMark/>
          </w:tcPr>
          <w:p w14:paraId="07301CD6" w14:textId="73C0DF45" w:rsidR="00BF1294" w:rsidRPr="00677B7E" w:rsidRDefault="00BF1294" w:rsidP="008D0427">
            <w:pPr>
              <w:pStyle w:val="Tablecell"/>
              <w:keepNext w:val="0"/>
              <w:widowControl w:val="0"/>
              <w:jc w:val="center"/>
              <w:rPr>
                <w:b/>
                <w:bCs/>
              </w:rPr>
            </w:pPr>
            <w:r w:rsidRPr="00677B7E">
              <w:rPr>
                <w:b/>
                <w:bCs/>
              </w:rPr>
              <w:t>1.00</w:t>
            </w:r>
          </w:p>
        </w:tc>
        <w:tc>
          <w:tcPr>
            <w:tcW w:w="1854" w:type="dxa"/>
            <w:tcBorders>
              <w:top w:val="single" w:sz="4" w:space="0" w:color="auto"/>
              <w:bottom w:val="single" w:sz="4" w:space="0" w:color="auto"/>
            </w:tcBorders>
            <w:shd w:val="clear" w:color="auto" w:fill="auto"/>
            <w:noWrap/>
            <w:vAlign w:val="center"/>
            <w:hideMark/>
          </w:tcPr>
          <w:p w14:paraId="38679A24" w14:textId="55BB9779" w:rsidR="00BF1294" w:rsidRPr="00677B7E" w:rsidRDefault="00BF1294" w:rsidP="008D0427">
            <w:pPr>
              <w:pStyle w:val="Tablecell"/>
              <w:keepNext w:val="0"/>
              <w:widowControl w:val="0"/>
              <w:jc w:val="center"/>
              <w:rPr>
                <w:b/>
                <w:bCs/>
              </w:rPr>
            </w:pPr>
            <w:r w:rsidRPr="00677B7E">
              <w:rPr>
                <w:b/>
                <w:bCs/>
              </w:rPr>
              <w:t>$61.25</w:t>
            </w:r>
          </w:p>
        </w:tc>
        <w:tc>
          <w:tcPr>
            <w:tcW w:w="1096" w:type="dxa"/>
            <w:tcBorders>
              <w:top w:val="single" w:sz="4" w:space="0" w:color="auto"/>
              <w:bottom w:val="single" w:sz="4" w:space="0" w:color="auto"/>
            </w:tcBorders>
            <w:vAlign w:val="center"/>
          </w:tcPr>
          <w:p w14:paraId="79911D6F" w14:textId="73905868" w:rsidR="008D0427" w:rsidRPr="00677B7E" w:rsidRDefault="00BF1294" w:rsidP="008D0427">
            <w:pPr>
              <w:pStyle w:val="Tablecell"/>
              <w:keepNext w:val="0"/>
              <w:widowControl w:val="0"/>
              <w:jc w:val="center"/>
              <w:rPr>
                <w:b/>
                <w:bCs/>
              </w:rPr>
            </w:pPr>
            <w:r w:rsidRPr="00677B7E">
              <w:rPr>
                <w:b/>
                <w:bCs/>
              </w:rPr>
              <w:t>$61.25</w:t>
            </w:r>
          </w:p>
        </w:tc>
      </w:tr>
      <w:tr w:rsidR="00BF1294" w:rsidRPr="00677B7E" w14:paraId="41EFBB3D" w14:textId="77777777" w:rsidTr="005A2A0B">
        <w:trPr>
          <w:cantSplit/>
          <w:jc w:val="center"/>
        </w:trPr>
        <w:tc>
          <w:tcPr>
            <w:tcW w:w="4916" w:type="dxa"/>
            <w:tcBorders>
              <w:top w:val="single" w:sz="4" w:space="0" w:color="auto"/>
              <w:bottom w:val="single" w:sz="4" w:space="0" w:color="auto"/>
            </w:tcBorders>
            <w:shd w:val="clear" w:color="auto" w:fill="auto"/>
            <w:noWrap/>
            <w:vAlign w:val="center"/>
            <w:hideMark/>
          </w:tcPr>
          <w:p w14:paraId="7591D78D" w14:textId="2E26C537" w:rsidR="00BF1294" w:rsidRPr="00677B7E" w:rsidRDefault="00B11CB7" w:rsidP="00464ABF">
            <w:pPr>
              <w:pStyle w:val="Tablecell"/>
              <w:keepNext w:val="0"/>
              <w:widowControl w:val="0"/>
            </w:pPr>
            <w:r w:rsidRPr="00677B7E">
              <w:t>b</w:t>
            </w:r>
            <w:r w:rsidR="00A43CCC" w:rsidRPr="00677B7E">
              <w:t xml:space="preserve">. </w:t>
            </w:r>
            <w:r w:rsidR="0061012C" w:rsidRPr="00677B7E">
              <w:t>Filing the annual report of data into the Ecology database</w:t>
            </w:r>
            <w:r w:rsidR="001016C8" w:rsidRPr="00677B7E">
              <w:t xml:space="preserve"> (additional time to adhere to Ecology reporting form structure)</w:t>
            </w:r>
            <w:r w:rsidR="00B402C8" w:rsidRPr="00677B7E">
              <w:t>.</w:t>
            </w:r>
          </w:p>
        </w:tc>
        <w:tc>
          <w:tcPr>
            <w:tcW w:w="1584" w:type="dxa"/>
            <w:tcBorders>
              <w:top w:val="single" w:sz="4" w:space="0" w:color="auto"/>
              <w:bottom w:val="single" w:sz="4" w:space="0" w:color="auto"/>
            </w:tcBorders>
            <w:shd w:val="clear" w:color="auto" w:fill="auto"/>
            <w:noWrap/>
            <w:vAlign w:val="center"/>
            <w:hideMark/>
          </w:tcPr>
          <w:p w14:paraId="7707226C" w14:textId="3D1AC1D8" w:rsidR="00770D90" w:rsidRPr="00677B7E" w:rsidRDefault="00214B0D" w:rsidP="008D0427">
            <w:pPr>
              <w:pStyle w:val="Tablecell"/>
              <w:keepNext w:val="0"/>
              <w:widowControl w:val="0"/>
              <w:jc w:val="center"/>
              <w:rPr>
                <w:b/>
                <w:bCs/>
              </w:rPr>
            </w:pPr>
            <w:r w:rsidRPr="00677B7E">
              <w:rPr>
                <w:b/>
                <w:bCs/>
              </w:rPr>
              <w:t>1</w:t>
            </w:r>
            <w:r w:rsidR="00BF1294" w:rsidRPr="00677B7E">
              <w:rPr>
                <w:b/>
                <w:bCs/>
              </w:rPr>
              <w:t>.00</w:t>
            </w:r>
          </w:p>
        </w:tc>
        <w:tc>
          <w:tcPr>
            <w:tcW w:w="1854" w:type="dxa"/>
            <w:tcBorders>
              <w:top w:val="single" w:sz="4" w:space="0" w:color="auto"/>
              <w:bottom w:val="single" w:sz="4" w:space="0" w:color="auto"/>
            </w:tcBorders>
            <w:shd w:val="clear" w:color="auto" w:fill="auto"/>
            <w:noWrap/>
            <w:vAlign w:val="center"/>
            <w:hideMark/>
          </w:tcPr>
          <w:p w14:paraId="67C08025" w14:textId="1395AA1C" w:rsidR="00770D90" w:rsidRPr="00677B7E" w:rsidRDefault="00BF1294" w:rsidP="008D0427">
            <w:pPr>
              <w:pStyle w:val="Tablecell"/>
              <w:keepNext w:val="0"/>
              <w:widowControl w:val="0"/>
              <w:jc w:val="center"/>
              <w:rPr>
                <w:b/>
                <w:bCs/>
              </w:rPr>
            </w:pPr>
            <w:r w:rsidRPr="00677B7E">
              <w:rPr>
                <w:b/>
                <w:bCs/>
              </w:rPr>
              <w:t>$</w:t>
            </w:r>
            <w:r w:rsidR="00B11CB7" w:rsidRPr="00677B7E">
              <w:rPr>
                <w:b/>
                <w:bCs/>
              </w:rPr>
              <w:t>61</w:t>
            </w:r>
            <w:r w:rsidRPr="00677B7E">
              <w:rPr>
                <w:b/>
                <w:bCs/>
              </w:rPr>
              <w:t>.</w:t>
            </w:r>
            <w:r w:rsidR="00B11CB7" w:rsidRPr="00677B7E">
              <w:rPr>
                <w:b/>
                <w:bCs/>
              </w:rPr>
              <w:t>25</w:t>
            </w:r>
          </w:p>
        </w:tc>
        <w:tc>
          <w:tcPr>
            <w:tcW w:w="1096" w:type="dxa"/>
            <w:tcBorders>
              <w:top w:val="single" w:sz="4" w:space="0" w:color="auto"/>
              <w:bottom w:val="single" w:sz="4" w:space="0" w:color="auto"/>
            </w:tcBorders>
            <w:vAlign w:val="center"/>
          </w:tcPr>
          <w:p w14:paraId="5F00EF78" w14:textId="7911CB57" w:rsidR="008D0427" w:rsidRPr="00677B7E" w:rsidRDefault="00BF1294" w:rsidP="008D0427">
            <w:pPr>
              <w:pStyle w:val="Tablecell"/>
              <w:keepNext w:val="0"/>
              <w:widowControl w:val="0"/>
              <w:jc w:val="center"/>
              <w:rPr>
                <w:b/>
                <w:bCs/>
              </w:rPr>
            </w:pPr>
            <w:r w:rsidRPr="00677B7E">
              <w:rPr>
                <w:b/>
                <w:bCs/>
              </w:rPr>
              <w:t>$</w:t>
            </w:r>
            <w:r w:rsidR="00214B0D" w:rsidRPr="00677B7E">
              <w:rPr>
                <w:b/>
                <w:bCs/>
              </w:rPr>
              <w:t>61</w:t>
            </w:r>
            <w:r w:rsidRPr="00677B7E">
              <w:rPr>
                <w:b/>
                <w:bCs/>
              </w:rPr>
              <w:t>.</w:t>
            </w:r>
            <w:r w:rsidR="00214B0D" w:rsidRPr="00677B7E">
              <w:rPr>
                <w:b/>
                <w:bCs/>
              </w:rPr>
              <w:t>25</w:t>
            </w:r>
          </w:p>
        </w:tc>
      </w:tr>
      <w:tr w:rsidR="00BF1294" w:rsidRPr="00677B7E" w14:paraId="0EA4E128" w14:textId="77777777" w:rsidTr="005A2A0B">
        <w:trPr>
          <w:cantSplit/>
          <w:jc w:val="center"/>
        </w:trPr>
        <w:tc>
          <w:tcPr>
            <w:tcW w:w="4916" w:type="dxa"/>
            <w:tcBorders>
              <w:top w:val="single" w:sz="4" w:space="0" w:color="auto"/>
            </w:tcBorders>
            <w:shd w:val="clear" w:color="auto" w:fill="auto"/>
            <w:noWrap/>
            <w:vAlign w:val="center"/>
            <w:hideMark/>
          </w:tcPr>
          <w:p w14:paraId="24EEFB8A" w14:textId="3E05AE96" w:rsidR="00BF1294" w:rsidRPr="00677B7E" w:rsidRDefault="006E2D27" w:rsidP="00464ABF">
            <w:pPr>
              <w:pStyle w:val="Tablecell"/>
              <w:keepNext w:val="0"/>
              <w:widowControl w:val="0"/>
              <w:jc w:val="center"/>
            </w:pPr>
            <w:r w:rsidRPr="00677B7E">
              <w:t>Total</w:t>
            </w:r>
          </w:p>
        </w:tc>
        <w:tc>
          <w:tcPr>
            <w:tcW w:w="1584" w:type="dxa"/>
            <w:tcBorders>
              <w:top w:val="single" w:sz="4" w:space="0" w:color="auto"/>
            </w:tcBorders>
            <w:shd w:val="clear" w:color="auto" w:fill="auto"/>
            <w:noWrap/>
            <w:vAlign w:val="center"/>
            <w:hideMark/>
          </w:tcPr>
          <w:p w14:paraId="7F349194" w14:textId="0B041D92" w:rsidR="00BF1294" w:rsidRPr="00677B7E" w:rsidRDefault="006E2D27" w:rsidP="001F442A">
            <w:pPr>
              <w:pStyle w:val="Tablecell"/>
              <w:keepNext w:val="0"/>
              <w:widowControl w:val="0"/>
              <w:jc w:val="center"/>
              <w:rPr>
                <w:b/>
                <w:bCs/>
              </w:rPr>
            </w:pPr>
            <w:r w:rsidRPr="00677B7E">
              <w:rPr>
                <w:b/>
                <w:bCs/>
              </w:rPr>
              <w:t>2.00</w:t>
            </w:r>
          </w:p>
        </w:tc>
        <w:tc>
          <w:tcPr>
            <w:tcW w:w="1854" w:type="dxa"/>
            <w:tcBorders>
              <w:top w:val="single" w:sz="4" w:space="0" w:color="auto"/>
            </w:tcBorders>
            <w:shd w:val="clear" w:color="auto" w:fill="auto"/>
            <w:noWrap/>
            <w:vAlign w:val="center"/>
            <w:hideMark/>
          </w:tcPr>
          <w:p w14:paraId="1EC1E0AA" w14:textId="66040164" w:rsidR="00BF1294" w:rsidRPr="00677B7E" w:rsidRDefault="006E2D27" w:rsidP="001F442A">
            <w:pPr>
              <w:pStyle w:val="Tablecell"/>
              <w:keepNext w:val="0"/>
              <w:widowControl w:val="0"/>
              <w:jc w:val="center"/>
              <w:rPr>
                <w:b/>
                <w:bCs/>
              </w:rPr>
            </w:pPr>
            <w:r w:rsidRPr="00677B7E">
              <w:rPr>
                <w:b/>
                <w:bCs/>
              </w:rPr>
              <w:t>$61.25</w:t>
            </w:r>
          </w:p>
        </w:tc>
        <w:tc>
          <w:tcPr>
            <w:tcW w:w="1096" w:type="dxa"/>
            <w:tcBorders>
              <w:top w:val="single" w:sz="4" w:space="0" w:color="auto"/>
            </w:tcBorders>
            <w:vAlign w:val="center"/>
          </w:tcPr>
          <w:p w14:paraId="0ED4A404" w14:textId="5A18D50E" w:rsidR="00BF1294" w:rsidRPr="00677B7E" w:rsidRDefault="00BF1294" w:rsidP="005A2A0B">
            <w:pPr>
              <w:pStyle w:val="Tablecell"/>
              <w:keepNext w:val="0"/>
              <w:widowControl w:val="0"/>
              <w:jc w:val="center"/>
              <w:rPr>
                <w:b/>
                <w:bCs/>
              </w:rPr>
            </w:pPr>
            <w:r w:rsidRPr="00677B7E">
              <w:rPr>
                <w:b/>
                <w:bCs/>
              </w:rPr>
              <w:t>$</w:t>
            </w:r>
            <w:r w:rsidR="00214B0D" w:rsidRPr="00677B7E">
              <w:rPr>
                <w:b/>
                <w:bCs/>
              </w:rPr>
              <w:t>122.50</w:t>
            </w:r>
          </w:p>
        </w:tc>
      </w:tr>
    </w:tbl>
    <w:p w14:paraId="488962DC" w14:textId="4D2F446E" w:rsidR="00B8676F" w:rsidRDefault="00BE719C" w:rsidP="008D0427">
      <w:pPr>
        <w:pStyle w:val="Paragraph"/>
        <w:spacing w:before="240"/>
      </w:pPr>
      <w:r>
        <w:t>W</w:t>
      </w:r>
      <w:r w:rsidR="00B8676F">
        <w:t xml:space="preserve">e </w:t>
      </w:r>
      <w:r w:rsidR="001D466C">
        <w:t>estimate</w:t>
      </w:r>
      <w:r w:rsidR="00F26214">
        <w:t>d an</w:t>
      </w:r>
      <w:r>
        <w:t xml:space="preserve"> annual cost of</w:t>
      </w:r>
      <w:r w:rsidR="00B8676F">
        <w:t xml:space="preserve"> registration and reporting of </w:t>
      </w:r>
      <w:r w:rsidR="0006677C">
        <w:t>approximately</w:t>
      </w:r>
      <w:r>
        <w:t xml:space="preserve"> </w:t>
      </w:r>
      <w:r w:rsidR="00B8676F">
        <w:t>$</w:t>
      </w:r>
      <w:r w:rsidR="003A112A">
        <w:t>12</w:t>
      </w:r>
      <w:r w:rsidR="0006677C">
        <w:t>3</w:t>
      </w:r>
      <w:r w:rsidR="00B8676F">
        <w:t xml:space="preserve"> </w:t>
      </w:r>
      <w:r>
        <w:t>for a single producer required to comply with PCRC requirements</w:t>
      </w:r>
      <w:r w:rsidR="00B8676F">
        <w:t>.</w:t>
      </w:r>
      <w:r>
        <w:t xml:space="preserve"> </w:t>
      </w:r>
      <w:r w:rsidR="00F26214">
        <w:t xml:space="preserve">Based on this </w:t>
      </w:r>
      <w:r w:rsidR="00B8676F">
        <w:t>per</w:t>
      </w:r>
      <w:r w:rsidR="00F26214">
        <w:t>-producer cost, w</w:t>
      </w:r>
      <w:r w:rsidR="00B8676F">
        <w:t>e estimat</w:t>
      </w:r>
      <w:r>
        <w:t>e</w:t>
      </w:r>
      <w:r w:rsidR="00B8676F">
        <w:t xml:space="preserve"> total annual costs of registration and reporting between </w:t>
      </w:r>
      <w:r w:rsidR="00F26214">
        <w:t>approximately</w:t>
      </w:r>
      <w:r w:rsidR="00B8676F">
        <w:t xml:space="preserve"> $</w:t>
      </w:r>
      <w:r w:rsidR="00A6042A">
        <w:t>14,</w:t>
      </w:r>
      <w:r w:rsidR="00245579">
        <w:t>823</w:t>
      </w:r>
      <w:r w:rsidR="00B8676F">
        <w:t xml:space="preserve"> and $</w:t>
      </w:r>
      <w:r w:rsidR="00A6042A">
        <w:t>31,1</w:t>
      </w:r>
      <w:r w:rsidR="00245579">
        <w:t>15</w:t>
      </w:r>
      <w:r w:rsidR="00687938">
        <w:t xml:space="preserve"> for all producers</w:t>
      </w:r>
      <w:r w:rsidR="00B8676F">
        <w:t xml:space="preserve">. The 20-year present value of the range of </w:t>
      </w:r>
      <w:r w:rsidR="00687938">
        <w:t xml:space="preserve">total </w:t>
      </w:r>
      <w:r w:rsidR="00B8676F">
        <w:t xml:space="preserve">annual costs is </w:t>
      </w:r>
      <w:r w:rsidR="00666A94">
        <w:t>$</w:t>
      </w:r>
      <w:r w:rsidR="00BB0040">
        <w:t>27</w:t>
      </w:r>
      <w:r w:rsidR="00EE0943">
        <w:t>2</w:t>
      </w:r>
      <w:r w:rsidR="00BB0040">
        <w:t>,</w:t>
      </w:r>
      <w:r w:rsidR="00EE0943">
        <w:t>873</w:t>
      </w:r>
      <w:r w:rsidR="00B8676F">
        <w:t xml:space="preserve"> to $</w:t>
      </w:r>
      <w:r w:rsidR="00BB0040">
        <w:t>57</w:t>
      </w:r>
      <w:r w:rsidR="00EE0943">
        <w:t>2</w:t>
      </w:r>
      <w:r w:rsidR="00BB0040">
        <w:t>,</w:t>
      </w:r>
      <w:r w:rsidR="00EE0943">
        <w:t>808</w:t>
      </w:r>
      <w:r w:rsidR="00B8676F">
        <w:t>.</w:t>
      </w:r>
    </w:p>
    <w:p w14:paraId="34098CD6" w14:textId="10D9C634" w:rsidR="00B94683" w:rsidRPr="00F26214" w:rsidRDefault="00B94683" w:rsidP="00677B7E">
      <w:pPr>
        <w:pStyle w:val="Paragraph"/>
        <w:rPr>
          <w:b/>
        </w:rPr>
      </w:pPr>
      <w:r w:rsidRPr="00EA494B">
        <w:rPr>
          <w:b/>
        </w:rPr>
        <w:t>De minimis notifications</w:t>
      </w:r>
    </w:p>
    <w:p w14:paraId="51962A90" w14:textId="56C8C0CC" w:rsidR="00B8676F" w:rsidRPr="00B8676F" w:rsidRDefault="00470D1B" w:rsidP="00677B7E">
      <w:pPr>
        <w:pStyle w:val="Paragraph"/>
        <w:rPr>
          <w:b/>
        </w:rPr>
      </w:pPr>
      <w:r>
        <w:t>Ecology require</w:t>
      </w:r>
      <w:r w:rsidR="00E62447">
        <w:t>s</w:t>
      </w:r>
      <w:r>
        <w:t xml:space="preserve"> </w:t>
      </w:r>
      <w:r w:rsidR="00152E5B">
        <w:t>d</w:t>
      </w:r>
      <w:r>
        <w:t xml:space="preserve">e minimis producers to </w:t>
      </w:r>
      <w:r w:rsidR="00724717">
        <w:t xml:space="preserve">annually </w:t>
      </w:r>
      <w:r>
        <w:t xml:space="preserve">notify </w:t>
      </w:r>
      <w:r w:rsidR="00724717">
        <w:t xml:space="preserve">Ecology of </w:t>
      </w:r>
      <w:r>
        <w:t xml:space="preserve">their </w:t>
      </w:r>
      <w:r w:rsidR="00152E5B">
        <w:t>d</w:t>
      </w:r>
      <w:r>
        <w:t>e minimis status</w:t>
      </w:r>
      <w:r w:rsidR="00D762B6">
        <w:t xml:space="preserve">, however, </w:t>
      </w:r>
      <w:r w:rsidR="00E62447">
        <w:t>they are exempted from</w:t>
      </w:r>
      <w:r>
        <w:t xml:space="preserve"> annual reporting and registration</w:t>
      </w:r>
      <w:r w:rsidR="00724717">
        <w:t xml:space="preserve"> requirements</w:t>
      </w:r>
      <w:r>
        <w:t>.</w:t>
      </w:r>
      <w:r w:rsidR="008A22BF">
        <w:t xml:space="preserve"> </w:t>
      </w:r>
      <w:r w:rsidR="008A22BF" w:rsidRPr="008A22BF">
        <w:t xml:space="preserve">The table below illustrates the </w:t>
      </w:r>
      <w:r w:rsidR="008A22BF">
        <w:t xml:space="preserve">annual cost of </w:t>
      </w:r>
      <w:r w:rsidR="00152E5B">
        <w:t>d</w:t>
      </w:r>
      <w:r w:rsidR="008A22BF">
        <w:t>e minimis notification for a single producer.</w:t>
      </w:r>
    </w:p>
    <w:p w14:paraId="578389DB" w14:textId="7CB1F33E" w:rsidR="00B94683" w:rsidRDefault="00B94683" w:rsidP="00A22A08">
      <w:pPr>
        <w:pStyle w:val="Caption"/>
        <w:widowControl w:val="0"/>
      </w:pPr>
      <w:bookmarkStart w:id="40" w:name="_Toc133303723"/>
      <w:r>
        <w:t xml:space="preserve">Table </w:t>
      </w:r>
      <w:fldSimple w:instr=" SEQ Table \* ARABIC ">
        <w:r w:rsidR="00B94460">
          <w:rPr>
            <w:noProof/>
          </w:rPr>
          <w:t>4</w:t>
        </w:r>
      </w:fldSimple>
      <w:r w:rsidR="000F5E36">
        <w:rPr>
          <w:noProof/>
        </w:rPr>
        <w:t>.</w:t>
      </w:r>
      <w:r>
        <w:t xml:space="preserve"> </w:t>
      </w:r>
      <w:r w:rsidR="00E334FA">
        <w:t xml:space="preserve">Annual cost of </w:t>
      </w:r>
      <w:r w:rsidR="00E50D1B">
        <w:t>d</w:t>
      </w:r>
      <w:r>
        <w:t>e minimis notificatio</w:t>
      </w:r>
      <w:r w:rsidR="00A22A08">
        <w:t>n</w:t>
      </w:r>
      <w:r w:rsidR="000F5E36">
        <w:t>.</w:t>
      </w:r>
      <w:bookmarkEnd w:id="40"/>
    </w:p>
    <w:tbl>
      <w:tblPr>
        <w:tblW w:w="9450" w:type="dxa"/>
        <w:jc w:val="center"/>
        <w:tblLook w:val="04A0" w:firstRow="1" w:lastRow="0" w:firstColumn="1" w:lastColumn="0" w:noHBand="0" w:noVBand="1"/>
        <w:tblCaption w:val="annual cost of de minimis notification"/>
      </w:tblPr>
      <w:tblGrid>
        <w:gridCol w:w="4524"/>
        <w:gridCol w:w="2596"/>
        <w:gridCol w:w="1412"/>
        <w:gridCol w:w="918"/>
      </w:tblGrid>
      <w:tr w:rsidR="00B94683" w:rsidRPr="00677B7E" w14:paraId="1C5B805E" w14:textId="77777777" w:rsidTr="006D1743">
        <w:trPr>
          <w:cantSplit/>
          <w:tblHeader/>
          <w:jc w:val="center"/>
        </w:trPr>
        <w:tc>
          <w:tcPr>
            <w:tcW w:w="4524" w:type="dxa"/>
            <w:tcBorders>
              <w:bottom w:val="single" w:sz="4" w:space="0" w:color="auto"/>
            </w:tcBorders>
            <w:shd w:val="clear" w:color="auto" w:fill="auto"/>
            <w:noWrap/>
            <w:vAlign w:val="center"/>
            <w:hideMark/>
          </w:tcPr>
          <w:p w14:paraId="2BF2FE60" w14:textId="758EBF0F" w:rsidR="00B94683" w:rsidRPr="00677B7E" w:rsidRDefault="00B94683" w:rsidP="006D1743">
            <w:pPr>
              <w:pStyle w:val="Tablecell"/>
              <w:keepNext w:val="0"/>
              <w:widowControl w:val="0"/>
              <w:jc w:val="center"/>
            </w:pPr>
            <w:r w:rsidRPr="00677B7E">
              <w:t>Activities</w:t>
            </w:r>
          </w:p>
        </w:tc>
        <w:tc>
          <w:tcPr>
            <w:tcW w:w="2596" w:type="dxa"/>
            <w:tcBorders>
              <w:bottom w:val="single" w:sz="4" w:space="0" w:color="auto"/>
            </w:tcBorders>
            <w:shd w:val="clear" w:color="auto" w:fill="auto"/>
            <w:noWrap/>
            <w:vAlign w:val="center"/>
            <w:hideMark/>
          </w:tcPr>
          <w:p w14:paraId="2415826B" w14:textId="77777777" w:rsidR="00B94683" w:rsidRPr="00677B7E" w:rsidRDefault="00B94683" w:rsidP="006D1743">
            <w:pPr>
              <w:pStyle w:val="Tablecell"/>
              <w:keepNext w:val="0"/>
              <w:widowControl w:val="0"/>
            </w:pPr>
            <w:r w:rsidRPr="00677B7E">
              <w:t>Hours</w:t>
            </w:r>
          </w:p>
        </w:tc>
        <w:tc>
          <w:tcPr>
            <w:tcW w:w="1412" w:type="dxa"/>
            <w:tcBorders>
              <w:bottom w:val="single" w:sz="4" w:space="0" w:color="auto"/>
            </w:tcBorders>
            <w:shd w:val="clear" w:color="auto" w:fill="auto"/>
            <w:noWrap/>
            <w:vAlign w:val="center"/>
          </w:tcPr>
          <w:p w14:paraId="6838F8AB" w14:textId="77777777" w:rsidR="00B94683" w:rsidRPr="00677B7E" w:rsidRDefault="00B94683" w:rsidP="006D1743">
            <w:pPr>
              <w:pStyle w:val="Tablecell"/>
              <w:keepNext w:val="0"/>
              <w:widowControl w:val="0"/>
            </w:pPr>
            <w:r w:rsidRPr="00677B7E">
              <w:t>Hourly rate</w:t>
            </w:r>
          </w:p>
        </w:tc>
        <w:tc>
          <w:tcPr>
            <w:tcW w:w="918" w:type="dxa"/>
            <w:tcBorders>
              <w:bottom w:val="single" w:sz="4" w:space="0" w:color="auto"/>
            </w:tcBorders>
            <w:vAlign w:val="center"/>
          </w:tcPr>
          <w:p w14:paraId="6CA8A1FE" w14:textId="77777777" w:rsidR="00B94683" w:rsidRPr="00677B7E" w:rsidRDefault="00B94683" w:rsidP="006D1743">
            <w:pPr>
              <w:pStyle w:val="Tablecell"/>
              <w:keepNext w:val="0"/>
              <w:widowControl w:val="0"/>
            </w:pPr>
            <w:r w:rsidRPr="00677B7E">
              <w:t>Cost</w:t>
            </w:r>
          </w:p>
        </w:tc>
      </w:tr>
      <w:tr w:rsidR="00B94683" w:rsidRPr="00677B7E" w14:paraId="4F359B43" w14:textId="77777777" w:rsidTr="006D1743">
        <w:trPr>
          <w:cantSplit/>
          <w:jc w:val="center"/>
        </w:trPr>
        <w:tc>
          <w:tcPr>
            <w:tcW w:w="4524" w:type="dxa"/>
            <w:tcBorders>
              <w:top w:val="single" w:sz="4" w:space="0" w:color="auto"/>
              <w:bottom w:val="single" w:sz="4" w:space="0" w:color="auto"/>
            </w:tcBorders>
            <w:shd w:val="clear" w:color="auto" w:fill="auto"/>
            <w:noWrap/>
            <w:vAlign w:val="center"/>
            <w:hideMark/>
          </w:tcPr>
          <w:p w14:paraId="7D58499F" w14:textId="7BDC27AF" w:rsidR="00B94683" w:rsidRPr="00677B7E" w:rsidRDefault="00B94683" w:rsidP="00677B7E">
            <w:pPr>
              <w:pStyle w:val="Paragraph"/>
              <w:rPr>
                <w:iCs/>
              </w:rPr>
            </w:pPr>
            <w:r w:rsidRPr="00677B7E">
              <w:rPr>
                <w:iCs/>
              </w:rPr>
              <w:t>a. De minimis notification</w:t>
            </w:r>
            <w:r w:rsidR="00B402C8" w:rsidRPr="00677B7E">
              <w:rPr>
                <w:iCs/>
              </w:rPr>
              <w:t>.</w:t>
            </w:r>
          </w:p>
        </w:tc>
        <w:tc>
          <w:tcPr>
            <w:tcW w:w="2596" w:type="dxa"/>
            <w:tcBorders>
              <w:top w:val="single" w:sz="4" w:space="0" w:color="auto"/>
              <w:bottom w:val="single" w:sz="4" w:space="0" w:color="auto"/>
            </w:tcBorders>
            <w:shd w:val="clear" w:color="auto" w:fill="auto"/>
            <w:noWrap/>
            <w:vAlign w:val="center"/>
            <w:hideMark/>
          </w:tcPr>
          <w:p w14:paraId="7CE17BA5" w14:textId="735C9B71" w:rsidR="00B94683" w:rsidRPr="00677B7E" w:rsidRDefault="0077611B" w:rsidP="00677B7E">
            <w:pPr>
              <w:pStyle w:val="Paragraph"/>
              <w:rPr>
                <w:b/>
                <w:bCs/>
                <w:iCs/>
              </w:rPr>
            </w:pPr>
            <w:r w:rsidRPr="00677B7E">
              <w:rPr>
                <w:b/>
                <w:bCs/>
                <w:iCs/>
              </w:rPr>
              <w:t>0</w:t>
            </w:r>
            <w:r w:rsidR="00B94683" w:rsidRPr="00677B7E">
              <w:rPr>
                <w:b/>
                <w:bCs/>
                <w:iCs/>
              </w:rPr>
              <w:t>.</w:t>
            </w:r>
            <w:r w:rsidRPr="00677B7E">
              <w:rPr>
                <w:b/>
                <w:bCs/>
                <w:iCs/>
              </w:rPr>
              <w:t>5</w:t>
            </w:r>
          </w:p>
        </w:tc>
        <w:tc>
          <w:tcPr>
            <w:tcW w:w="1412" w:type="dxa"/>
            <w:tcBorders>
              <w:top w:val="single" w:sz="4" w:space="0" w:color="auto"/>
              <w:bottom w:val="single" w:sz="4" w:space="0" w:color="auto"/>
            </w:tcBorders>
            <w:shd w:val="clear" w:color="auto" w:fill="auto"/>
            <w:noWrap/>
            <w:vAlign w:val="center"/>
            <w:hideMark/>
          </w:tcPr>
          <w:p w14:paraId="5B949E41" w14:textId="5B614AC7" w:rsidR="00B94683" w:rsidRPr="00677B7E" w:rsidRDefault="00B94683" w:rsidP="006D1743">
            <w:pPr>
              <w:pStyle w:val="Paragraph"/>
              <w:rPr>
                <w:b/>
                <w:bCs/>
                <w:iCs/>
              </w:rPr>
            </w:pPr>
            <w:r w:rsidRPr="00677B7E">
              <w:rPr>
                <w:b/>
                <w:bCs/>
                <w:iCs/>
              </w:rPr>
              <w:t>$61.25</w:t>
            </w:r>
            <w:r w:rsidRPr="00677B7E">
              <w:rPr>
                <w:rStyle w:val="FootnoteReference"/>
                <w:b/>
                <w:bCs/>
                <w:iCs/>
              </w:rPr>
              <w:footnoteReference w:id="8"/>
            </w:r>
          </w:p>
        </w:tc>
        <w:tc>
          <w:tcPr>
            <w:tcW w:w="918" w:type="dxa"/>
            <w:tcBorders>
              <w:top w:val="single" w:sz="4" w:space="0" w:color="auto"/>
              <w:bottom w:val="single" w:sz="4" w:space="0" w:color="auto"/>
            </w:tcBorders>
            <w:vAlign w:val="center"/>
          </w:tcPr>
          <w:p w14:paraId="6F87FE59" w14:textId="75606884" w:rsidR="00B94683" w:rsidRPr="00677B7E" w:rsidRDefault="00B94683" w:rsidP="006D1743">
            <w:pPr>
              <w:pStyle w:val="Paragraph"/>
              <w:rPr>
                <w:b/>
                <w:bCs/>
                <w:iCs/>
              </w:rPr>
            </w:pPr>
            <w:r w:rsidRPr="00677B7E">
              <w:rPr>
                <w:b/>
                <w:bCs/>
                <w:iCs/>
              </w:rPr>
              <w:t>$</w:t>
            </w:r>
            <w:r w:rsidR="00DB2E03" w:rsidRPr="00677B7E">
              <w:rPr>
                <w:b/>
                <w:bCs/>
                <w:iCs/>
              </w:rPr>
              <w:t>30</w:t>
            </w:r>
            <w:r w:rsidRPr="00677B7E">
              <w:rPr>
                <w:b/>
                <w:bCs/>
                <w:iCs/>
              </w:rPr>
              <w:t>.</w:t>
            </w:r>
            <w:r w:rsidR="00DB2E03" w:rsidRPr="00677B7E">
              <w:rPr>
                <w:b/>
                <w:bCs/>
                <w:iCs/>
              </w:rPr>
              <w:t>63</w:t>
            </w:r>
          </w:p>
        </w:tc>
      </w:tr>
    </w:tbl>
    <w:p w14:paraId="7150A22D" w14:textId="701C9561" w:rsidR="00126145" w:rsidRDefault="00CC17C8" w:rsidP="00677B7E">
      <w:pPr>
        <w:pStyle w:val="Paragraph"/>
        <w:spacing w:before="240"/>
      </w:pPr>
      <w:r>
        <w:t>W</w:t>
      </w:r>
      <w:r w:rsidR="00B8676F">
        <w:t>e</w:t>
      </w:r>
      <w:r w:rsidR="00B8676F" w:rsidRPr="0012152B">
        <w:t xml:space="preserve"> estimate </w:t>
      </w:r>
      <w:r w:rsidR="00B8676F">
        <w:t xml:space="preserve">annual cost of </w:t>
      </w:r>
      <w:r w:rsidR="00E2171E">
        <w:t>approximately</w:t>
      </w:r>
      <w:r w:rsidR="00850246">
        <w:t xml:space="preserve"> </w:t>
      </w:r>
      <w:r w:rsidR="00B8676F">
        <w:t>$</w:t>
      </w:r>
      <w:r w:rsidR="0058339D">
        <w:t>3</w:t>
      </w:r>
      <w:r w:rsidR="007A62CE">
        <w:t>1</w:t>
      </w:r>
      <w:r w:rsidR="00B8676F">
        <w:t xml:space="preserve"> (per entity)</w:t>
      </w:r>
      <w:r w:rsidR="00B41DBB">
        <w:t xml:space="preserve"> for </w:t>
      </w:r>
      <w:r w:rsidR="009D57CD">
        <w:t>d</w:t>
      </w:r>
      <w:r w:rsidR="00B41DBB">
        <w:t>e minimis notification</w:t>
      </w:r>
      <w:r w:rsidR="00B8676F">
        <w:t xml:space="preserve">. </w:t>
      </w:r>
      <w:r w:rsidR="00152462">
        <w:t>Based on the above ranges</w:t>
      </w:r>
      <w:r w:rsidR="00BB1900">
        <w:t xml:space="preserve"> of de minimis producer (i.e., 176 to 369)</w:t>
      </w:r>
      <w:r w:rsidR="00152462">
        <w:t xml:space="preserve">, we estimated </w:t>
      </w:r>
      <w:r w:rsidR="006C5334">
        <w:t xml:space="preserve">total annual costs </w:t>
      </w:r>
      <w:r w:rsidR="00BA5372">
        <w:t xml:space="preserve">of de minimis </w:t>
      </w:r>
      <w:r w:rsidR="00B8676F">
        <w:t>notification</w:t>
      </w:r>
      <w:r w:rsidR="00BA5372">
        <w:t xml:space="preserve"> </w:t>
      </w:r>
      <w:r w:rsidR="006C5334">
        <w:t xml:space="preserve">between </w:t>
      </w:r>
      <w:r w:rsidR="007D1486">
        <w:t>approximately $</w:t>
      </w:r>
      <w:r w:rsidR="00BB1900">
        <w:t>5,391</w:t>
      </w:r>
      <w:r w:rsidR="00C746F9">
        <w:t xml:space="preserve"> </w:t>
      </w:r>
      <w:r w:rsidR="007D1486">
        <w:t>and</w:t>
      </w:r>
      <w:r w:rsidR="00A2353E">
        <w:t xml:space="preserve"> </w:t>
      </w:r>
      <w:r w:rsidR="007C2336">
        <w:t>$</w:t>
      </w:r>
      <w:r w:rsidR="00BB1900">
        <w:t>11,302 for all producers</w:t>
      </w:r>
      <w:r w:rsidR="006C5334">
        <w:t>.</w:t>
      </w:r>
      <w:r w:rsidR="00BA5372">
        <w:t xml:space="preserve"> </w:t>
      </w:r>
      <w:r w:rsidR="006C5334">
        <w:t>Ecology reflects streams of costs and benefits over time using present values, which adjust future impacts for inflation and the opportunity cost of having funds later instead of now.</w:t>
      </w:r>
      <w:r w:rsidR="006C5334">
        <w:rPr>
          <w:rStyle w:val="FootnoteReference"/>
        </w:rPr>
        <w:footnoteReference w:id="9"/>
      </w:r>
      <w:r w:rsidR="006C5334">
        <w:t xml:space="preserve"> The 20-</w:t>
      </w:r>
      <w:r w:rsidR="006C5334">
        <w:lastRenderedPageBreak/>
        <w:t>year present value of the range of</w:t>
      </w:r>
      <w:r w:rsidR="003C4E83">
        <w:t xml:space="preserve"> total</w:t>
      </w:r>
      <w:r w:rsidR="006C5334">
        <w:t xml:space="preserve"> annual costs</w:t>
      </w:r>
      <w:r w:rsidR="003C4E83">
        <w:t xml:space="preserve"> for all producers</w:t>
      </w:r>
      <w:r w:rsidR="006C5334" w:rsidDel="00EE0943">
        <w:t xml:space="preserve"> </w:t>
      </w:r>
      <w:r w:rsidR="006C5334">
        <w:t xml:space="preserve">is </w:t>
      </w:r>
      <w:r w:rsidR="00EE0943">
        <w:t xml:space="preserve">between approximately </w:t>
      </w:r>
      <w:r w:rsidR="00F56676">
        <w:t>$</w:t>
      </w:r>
      <w:r w:rsidR="00EE0943">
        <w:t>99,243</w:t>
      </w:r>
      <w:r w:rsidR="00711AFD">
        <w:t xml:space="preserve"> </w:t>
      </w:r>
      <w:r w:rsidR="00F56676">
        <w:t xml:space="preserve">to </w:t>
      </w:r>
      <w:r w:rsidR="007C2336">
        <w:t>$</w:t>
      </w:r>
      <w:r w:rsidR="00EE0943">
        <w:t>208,072</w:t>
      </w:r>
      <w:r w:rsidR="00BA5372">
        <w:t>.</w:t>
      </w:r>
    </w:p>
    <w:p w14:paraId="2E256D45" w14:textId="006A08E0" w:rsidR="00B8676F" w:rsidRPr="007D1486" w:rsidRDefault="00B8676F" w:rsidP="00677B7E">
      <w:pPr>
        <w:pStyle w:val="Paragraph"/>
        <w:rPr>
          <w:b/>
        </w:rPr>
      </w:pPr>
      <w:r w:rsidRPr="007D1486">
        <w:rPr>
          <w:b/>
        </w:rPr>
        <w:t>Total</w:t>
      </w:r>
      <w:r w:rsidRPr="007D1486" w:rsidDel="00126145">
        <w:rPr>
          <w:b/>
        </w:rPr>
        <w:t xml:space="preserve"> </w:t>
      </w:r>
      <w:r w:rsidRPr="007D1486">
        <w:rPr>
          <w:b/>
        </w:rPr>
        <w:t>costs</w:t>
      </w:r>
      <w:r w:rsidR="00C30A9B">
        <w:rPr>
          <w:b/>
          <w:bCs/>
        </w:rPr>
        <w:t xml:space="preserve"> for registration, reporting, and de minimis notification</w:t>
      </w:r>
    </w:p>
    <w:p w14:paraId="3B847E6F" w14:textId="340B362C" w:rsidR="001703A1" w:rsidRPr="00C66391" w:rsidRDefault="00BA5372" w:rsidP="00677B7E">
      <w:pPr>
        <w:pStyle w:val="Paragraph"/>
        <w:rPr>
          <w:b/>
        </w:rPr>
      </w:pPr>
      <w:r w:rsidRPr="009011C8">
        <w:t xml:space="preserve">Across </w:t>
      </w:r>
      <w:r w:rsidR="007D1486" w:rsidRPr="009011C8">
        <w:t>the full range of likely producers</w:t>
      </w:r>
      <w:r w:rsidR="009011C8" w:rsidRPr="009011C8">
        <w:t xml:space="preserve"> of covered PCRC products</w:t>
      </w:r>
      <w:r w:rsidR="00F80CA7" w:rsidRPr="009011C8">
        <w:t xml:space="preserve">, </w:t>
      </w:r>
      <w:r w:rsidR="00A37190" w:rsidRPr="009011C8">
        <w:t>we estimate</w:t>
      </w:r>
      <w:r w:rsidRPr="009011C8">
        <w:t>d</w:t>
      </w:r>
      <w:r w:rsidR="00A37190" w:rsidRPr="009011C8">
        <w:t xml:space="preserve"> </w:t>
      </w:r>
      <w:r w:rsidRPr="009011C8">
        <w:t>a</w:t>
      </w:r>
      <w:r w:rsidR="00A37190" w:rsidRPr="009011C8">
        <w:t xml:space="preserve"> total annual</w:t>
      </w:r>
      <w:r w:rsidR="00A37190">
        <w:t xml:space="preserve"> cost of </w:t>
      </w:r>
      <w:r w:rsidR="00802909">
        <w:t>reporting</w:t>
      </w:r>
      <w:r w:rsidR="00B8676F">
        <w:t xml:space="preserve">, </w:t>
      </w:r>
      <w:r w:rsidR="00802909">
        <w:t>registration</w:t>
      </w:r>
      <w:r w:rsidR="00B8676F">
        <w:t xml:space="preserve">, </w:t>
      </w:r>
      <w:r w:rsidR="00EF3AE0">
        <w:t xml:space="preserve">and </w:t>
      </w:r>
      <w:r w:rsidR="00B8676F">
        <w:t>d</w:t>
      </w:r>
      <w:r w:rsidR="00EF3AE0">
        <w:t xml:space="preserve">e minimis </w:t>
      </w:r>
      <w:r w:rsidR="00B94683">
        <w:t>notification</w:t>
      </w:r>
      <w:r w:rsidR="00EF3AE0">
        <w:t xml:space="preserve"> </w:t>
      </w:r>
      <w:r w:rsidR="007D1486">
        <w:t>approximately $</w:t>
      </w:r>
      <w:r w:rsidR="00BE395B">
        <w:t>2</w:t>
      </w:r>
      <w:r w:rsidR="00E40241">
        <w:t>0</w:t>
      </w:r>
      <w:r w:rsidR="003C4E83">
        <w:t>,213</w:t>
      </w:r>
      <w:r w:rsidR="00A10AFA">
        <w:t xml:space="preserve"> to $</w:t>
      </w:r>
      <w:r w:rsidR="003554FF">
        <w:t>42,417</w:t>
      </w:r>
      <w:r w:rsidR="007D1486">
        <w:t>.</w:t>
      </w:r>
      <w:r>
        <w:t xml:space="preserve"> The corresponding </w:t>
      </w:r>
      <w:r w:rsidR="00A37190">
        <w:t>20-year present value</w:t>
      </w:r>
      <w:r>
        <w:t xml:space="preserve">s are </w:t>
      </w:r>
      <w:r w:rsidR="00D27DF3">
        <w:t>approximately</w:t>
      </w:r>
      <w:r w:rsidR="00244E40">
        <w:t xml:space="preserve"> </w:t>
      </w:r>
      <w:r w:rsidR="00A37190">
        <w:t>$</w:t>
      </w:r>
      <w:r w:rsidR="003C4E83">
        <w:t>372,116</w:t>
      </w:r>
      <w:r w:rsidR="00A37190">
        <w:t xml:space="preserve"> to $</w:t>
      </w:r>
      <w:r w:rsidR="003C4E83">
        <w:t>780,880</w:t>
      </w:r>
      <w:r w:rsidR="00A37190">
        <w:t>.</w:t>
      </w:r>
    </w:p>
    <w:p w14:paraId="10AE6FE1" w14:textId="34265C30" w:rsidR="00225BBF" w:rsidRPr="00DF6FF4" w:rsidRDefault="00225BBF" w:rsidP="00225BBF">
      <w:pPr>
        <w:pStyle w:val="RMSectionXXX"/>
      </w:pPr>
      <w:bookmarkStart w:id="41" w:name="_Toc132187804"/>
      <w:r w:rsidRPr="00B247C8">
        <w:t>3.2.3 Establishing fee allocation methods and billing procedures</w:t>
      </w:r>
      <w:bookmarkEnd w:id="41"/>
    </w:p>
    <w:p w14:paraId="0B15EB53" w14:textId="1632597D" w:rsidR="006A75DA" w:rsidRDefault="006A75DA" w:rsidP="006A75DA">
      <w:pPr>
        <w:pStyle w:val="Paragraph"/>
      </w:pPr>
      <w:r>
        <w:t>This section of the proposed rule would establish the methods and procedures required for rule implementation regarding fee calculation, allocation, billing adjustments, and due date setting for the payments. We expect this section of the proposed rule to result in costs of producer fees</w:t>
      </w:r>
      <w:r w:rsidR="008075B2">
        <w:t xml:space="preserve"> that match the value of the benefits they fund</w:t>
      </w:r>
      <w:r w:rsidR="00BC2682">
        <w:t xml:space="preserve"> (since fees equal program costs, and wages are a way to approximate the value of services provided; see Chapter 4)</w:t>
      </w:r>
      <w:r>
        <w:t>.</w:t>
      </w:r>
    </w:p>
    <w:p w14:paraId="3DC6F1BA" w14:textId="5BB004A4" w:rsidR="00D54A99" w:rsidRDefault="00D54A99" w:rsidP="006A75DA">
      <w:pPr>
        <w:pStyle w:val="Paragraph"/>
      </w:pPr>
      <w:r>
        <w:t xml:space="preserve">We estimated these costs based on Ecology’s </w:t>
      </w:r>
      <w:r w:rsidR="001D7917">
        <w:t xml:space="preserve">current </w:t>
      </w:r>
      <w:r>
        <w:t>workload analysis</w:t>
      </w:r>
      <w:r w:rsidDel="001D7917">
        <w:t xml:space="preserve"> </w:t>
      </w:r>
      <w:r w:rsidR="001D7917">
        <w:t>required under statute</w:t>
      </w:r>
      <w:r>
        <w:t xml:space="preserve"> (Fiscal Year </w:t>
      </w:r>
      <w:r w:rsidR="001D7917">
        <w:t xml:space="preserve">(FY) </w:t>
      </w:r>
      <w:r>
        <w:t>2024</w:t>
      </w:r>
      <w:r w:rsidR="0044017F">
        <w:t xml:space="preserve"> – July 202</w:t>
      </w:r>
      <w:r w:rsidR="00197988">
        <w:t>3</w:t>
      </w:r>
      <w:r w:rsidR="0044017F">
        <w:t xml:space="preserve"> through June 202</w:t>
      </w:r>
      <w:r w:rsidR="00197988">
        <w:t>4</w:t>
      </w:r>
      <w:r>
        <w:t>).</w:t>
      </w:r>
      <w:r>
        <w:rPr>
          <w:rStyle w:val="FootnoteReference"/>
        </w:rPr>
        <w:footnoteReference w:id="10"/>
      </w:r>
      <w:r>
        <w:t xml:space="preserve"> </w:t>
      </w:r>
      <w:r w:rsidR="000E207A">
        <w:t xml:space="preserve">Ecology estimated total workload costs of approximately $578,000 </w:t>
      </w:r>
      <w:r w:rsidR="0044017F">
        <w:t>during</w:t>
      </w:r>
      <w:r w:rsidR="000E207A">
        <w:t xml:space="preserve"> </w:t>
      </w:r>
      <w:r w:rsidR="001D7917">
        <w:t>FY 2024</w:t>
      </w:r>
      <w:r w:rsidR="000E207A">
        <w:t>. These total costs are the sum of $299,000 in Program Administration costs</w:t>
      </w:r>
      <w:r w:rsidR="00433A2F">
        <w:t xml:space="preserve"> (including the cost of rulemaking)</w:t>
      </w:r>
      <w:r w:rsidR="000E207A">
        <w:t>, and $279,000 in PCRC Oversight costs.</w:t>
      </w:r>
    </w:p>
    <w:p w14:paraId="4FBB6F02" w14:textId="0053BCC1" w:rsidR="000E207A" w:rsidRDefault="00FB7885" w:rsidP="003A07EE">
      <w:pPr>
        <w:pStyle w:val="Paragraph"/>
        <w:widowControl w:val="0"/>
      </w:pPr>
      <w:r>
        <w:t xml:space="preserve">For each </w:t>
      </w:r>
      <w:r w:rsidR="002B6AA5">
        <w:t>producer</w:t>
      </w:r>
      <w:r>
        <w:t xml:space="preserve">, Ecology’s workload analysis </w:t>
      </w:r>
      <w:r w:rsidR="002B6AA5">
        <w:t xml:space="preserve">used the producer reported </w:t>
      </w:r>
      <w:r>
        <w:t xml:space="preserve">total </w:t>
      </w:r>
      <w:r w:rsidR="00BE21F4">
        <w:t xml:space="preserve">covered product </w:t>
      </w:r>
      <w:r>
        <w:t xml:space="preserve">plastic resin weight and weight of plastic resin subject to PCRC content requirements, and </w:t>
      </w:r>
      <w:r w:rsidR="002B6AA5">
        <w:t xml:space="preserve">calculated </w:t>
      </w:r>
      <w:r>
        <w:t xml:space="preserve">the share of program costs incurred by </w:t>
      </w:r>
      <w:r w:rsidR="007C09D3">
        <w:t>p</w:t>
      </w:r>
      <w:r w:rsidR="002B6AA5">
        <w:t>roducer</w:t>
      </w:r>
      <w:r w:rsidR="001D7917">
        <w:t>s</w:t>
      </w:r>
      <w:r w:rsidR="007C09D3">
        <w:t xml:space="preserve"> </w:t>
      </w:r>
      <w:r w:rsidR="001D7917">
        <w:t>belonging to</w:t>
      </w:r>
      <w:r w:rsidR="007C09D3">
        <w:t xml:space="preserve"> each covered </w:t>
      </w:r>
      <w:r>
        <w:t>product category</w:t>
      </w:r>
      <w:r w:rsidR="00755D60">
        <w:t xml:space="preserve">, based on producer registration data </w:t>
      </w:r>
      <w:r w:rsidR="002B6AA5">
        <w:t xml:space="preserve">(pounds of plastic) </w:t>
      </w:r>
      <w:r w:rsidR="00755D60">
        <w:t>submitted in calendar year 2022</w:t>
      </w:r>
      <w:r>
        <w:t>.</w:t>
      </w:r>
      <w:r>
        <w:rPr>
          <w:rStyle w:val="FootnoteReference"/>
        </w:rPr>
        <w:footnoteReference w:id="11"/>
      </w:r>
      <w:r>
        <w:t xml:space="preserve"> The table below summarizes the initial</w:t>
      </w:r>
      <w:r w:rsidR="00755D60">
        <w:t xml:space="preserve"> estimated</w:t>
      </w:r>
      <w:r>
        <w:t xml:space="preserve"> distribution of program costs</w:t>
      </w:r>
      <w:r w:rsidR="00755D60">
        <w:t xml:space="preserve"> by </w:t>
      </w:r>
      <w:r w:rsidR="007C09D3">
        <w:t xml:space="preserve">covered </w:t>
      </w:r>
      <w:r w:rsidR="00755D60">
        <w:t>product category</w:t>
      </w:r>
      <w:r>
        <w:t>.</w:t>
      </w:r>
    </w:p>
    <w:p w14:paraId="3B0FFECF" w14:textId="324D18EF" w:rsidR="00FB7885" w:rsidRDefault="001942BE" w:rsidP="003714E6">
      <w:pPr>
        <w:pStyle w:val="Caption"/>
        <w:keepNext/>
        <w:keepLines/>
        <w:widowControl w:val="0"/>
      </w:pPr>
      <w:bookmarkStart w:id="42" w:name="_Toc133303724"/>
      <w:r>
        <w:lastRenderedPageBreak/>
        <w:t xml:space="preserve">Table </w:t>
      </w:r>
      <w:fldSimple w:instr=" SEQ Table \* ARABIC ">
        <w:r w:rsidR="00B94460">
          <w:rPr>
            <w:noProof/>
          </w:rPr>
          <w:t>5</w:t>
        </w:r>
      </w:fldSimple>
      <w:r w:rsidR="000F5E36">
        <w:t xml:space="preserve">. </w:t>
      </w:r>
      <w:r w:rsidRPr="00290515">
        <w:t xml:space="preserve">PCRC implementation cost by </w:t>
      </w:r>
      <w:r w:rsidR="007C09D3">
        <w:t xml:space="preserve">covered </w:t>
      </w:r>
      <w:r w:rsidRPr="00290515">
        <w:t>product category</w:t>
      </w:r>
      <w:r w:rsidR="000F5E36">
        <w:t>.</w:t>
      </w:r>
      <w:bookmarkEnd w:id="42"/>
    </w:p>
    <w:tbl>
      <w:tblPr>
        <w:tblStyle w:val="TableGrid"/>
        <w:tblW w:w="10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PCRC implementtaion cost by covered product category"/>
      </w:tblPr>
      <w:tblGrid>
        <w:gridCol w:w="2155"/>
        <w:gridCol w:w="1442"/>
        <w:gridCol w:w="1893"/>
        <w:gridCol w:w="1565"/>
        <w:gridCol w:w="1439"/>
        <w:gridCol w:w="1614"/>
      </w:tblGrid>
      <w:tr w:rsidR="00702356" w:rsidRPr="003714E6" w14:paraId="12206246" w14:textId="77777777" w:rsidTr="003714E6">
        <w:trPr>
          <w:cantSplit/>
          <w:trHeight w:val="1511"/>
          <w:tblHeader/>
        </w:trPr>
        <w:tc>
          <w:tcPr>
            <w:tcW w:w="2155" w:type="dxa"/>
            <w:shd w:val="clear" w:color="auto" w:fill="auto"/>
            <w:vAlign w:val="center"/>
            <w:hideMark/>
          </w:tcPr>
          <w:p w14:paraId="43B14858" w14:textId="77777777" w:rsidR="00702356" w:rsidRPr="003714E6" w:rsidRDefault="00702356" w:rsidP="003714E6">
            <w:pPr>
              <w:pStyle w:val="Tablecell"/>
              <w:keepLines/>
              <w:widowControl w:val="0"/>
              <w:jc w:val="center"/>
            </w:pPr>
            <w:r w:rsidRPr="003714E6">
              <w:t xml:space="preserve">Product Category </w:t>
            </w:r>
            <w:r w:rsidRPr="003714E6">
              <w:br/>
              <w:t>(PCRC Content Compliance Date)</w:t>
            </w:r>
          </w:p>
        </w:tc>
        <w:tc>
          <w:tcPr>
            <w:tcW w:w="1442" w:type="dxa"/>
            <w:shd w:val="clear" w:color="auto" w:fill="auto"/>
            <w:vAlign w:val="center"/>
            <w:hideMark/>
          </w:tcPr>
          <w:p w14:paraId="7A66DA4C" w14:textId="65CA78BC" w:rsidR="00702356" w:rsidRPr="003714E6" w:rsidRDefault="00702356" w:rsidP="003714E6">
            <w:pPr>
              <w:pStyle w:val="Tablecell"/>
              <w:keepLines/>
              <w:widowControl w:val="0"/>
              <w:jc w:val="center"/>
            </w:pPr>
            <w:r w:rsidRPr="003714E6">
              <w:t>Percent of Total Plastic Resin Weight</w:t>
            </w:r>
          </w:p>
        </w:tc>
        <w:tc>
          <w:tcPr>
            <w:tcW w:w="1893" w:type="dxa"/>
            <w:shd w:val="clear" w:color="auto" w:fill="auto"/>
            <w:vAlign w:val="center"/>
            <w:hideMark/>
          </w:tcPr>
          <w:p w14:paraId="56D190DE" w14:textId="77777777" w:rsidR="00702356" w:rsidRPr="003714E6" w:rsidRDefault="00702356" w:rsidP="003714E6">
            <w:pPr>
              <w:pStyle w:val="Tablecell"/>
              <w:keepLines/>
              <w:widowControl w:val="0"/>
              <w:jc w:val="center"/>
            </w:pPr>
            <w:r w:rsidRPr="003714E6">
              <w:t>Category Share of Program Administration Costs</w:t>
            </w:r>
          </w:p>
        </w:tc>
        <w:tc>
          <w:tcPr>
            <w:tcW w:w="1565" w:type="dxa"/>
            <w:shd w:val="clear" w:color="auto" w:fill="auto"/>
            <w:vAlign w:val="center"/>
            <w:hideMark/>
          </w:tcPr>
          <w:p w14:paraId="24095046" w14:textId="7436B8B4" w:rsidR="00702356" w:rsidRPr="003714E6" w:rsidRDefault="00702356" w:rsidP="003714E6">
            <w:pPr>
              <w:pStyle w:val="Tablecell"/>
              <w:keepLines/>
              <w:widowControl w:val="0"/>
              <w:jc w:val="center"/>
            </w:pPr>
            <w:r w:rsidRPr="003714E6">
              <w:t>Percent of PCRC Total Plastic Resin Weight</w:t>
            </w:r>
          </w:p>
        </w:tc>
        <w:tc>
          <w:tcPr>
            <w:tcW w:w="1439" w:type="dxa"/>
            <w:shd w:val="clear" w:color="auto" w:fill="auto"/>
            <w:vAlign w:val="center"/>
            <w:hideMark/>
          </w:tcPr>
          <w:p w14:paraId="1459652C" w14:textId="77777777" w:rsidR="00702356" w:rsidRPr="003714E6" w:rsidRDefault="00702356" w:rsidP="003714E6">
            <w:pPr>
              <w:pStyle w:val="Tablecell"/>
              <w:keepLines/>
              <w:widowControl w:val="0"/>
              <w:jc w:val="center"/>
            </w:pPr>
            <w:r w:rsidRPr="003714E6">
              <w:t>Category Share of PCRC Oversight Costs</w:t>
            </w:r>
          </w:p>
        </w:tc>
        <w:tc>
          <w:tcPr>
            <w:tcW w:w="1614" w:type="dxa"/>
            <w:shd w:val="clear" w:color="auto" w:fill="auto"/>
            <w:hideMark/>
          </w:tcPr>
          <w:p w14:paraId="270BFE1D" w14:textId="1CB78E99" w:rsidR="00702356" w:rsidRPr="003714E6" w:rsidRDefault="00702356" w:rsidP="003714E6">
            <w:pPr>
              <w:pStyle w:val="Tablecell"/>
              <w:keepLines/>
              <w:widowControl w:val="0"/>
              <w:jc w:val="center"/>
            </w:pPr>
            <w:r w:rsidRPr="003714E6">
              <w:t>Total Estimated Costs by Product Category</w:t>
            </w:r>
          </w:p>
        </w:tc>
      </w:tr>
      <w:tr w:rsidR="00702356" w:rsidRPr="003714E6" w14:paraId="3AE0DAAD" w14:textId="77777777" w:rsidTr="003714E6">
        <w:trPr>
          <w:cantSplit/>
          <w:trHeight w:val="638"/>
        </w:trPr>
        <w:tc>
          <w:tcPr>
            <w:tcW w:w="2155" w:type="dxa"/>
            <w:shd w:val="clear" w:color="auto" w:fill="auto"/>
            <w:hideMark/>
          </w:tcPr>
          <w:p w14:paraId="7F66D2B2" w14:textId="77777777" w:rsidR="00702356" w:rsidRPr="003714E6" w:rsidRDefault="00702356" w:rsidP="003714E6">
            <w:pPr>
              <w:pStyle w:val="Tablecell"/>
              <w:keepLines/>
              <w:widowControl w:val="0"/>
            </w:pPr>
            <w:r w:rsidRPr="003714E6">
              <w:t xml:space="preserve">Trash Bags </w:t>
            </w:r>
            <w:r w:rsidRPr="003714E6">
              <w:br/>
              <w:t>(Jan 1, 2023)</w:t>
            </w:r>
          </w:p>
        </w:tc>
        <w:tc>
          <w:tcPr>
            <w:tcW w:w="1442" w:type="dxa"/>
            <w:shd w:val="clear" w:color="auto" w:fill="auto"/>
            <w:noWrap/>
            <w:hideMark/>
          </w:tcPr>
          <w:p w14:paraId="1DC7A06A" w14:textId="77777777" w:rsidR="00702356" w:rsidRPr="003714E6" w:rsidRDefault="00702356" w:rsidP="003714E6">
            <w:pPr>
              <w:pStyle w:val="Tablecell"/>
              <w:keepLines/>
              <w:widowControl w:val="0"/>
              <w:jc w:val="center"/>
              <w:rPr>
                <w:b/>
                <w:bCs/>
              </w:rPr>
            </w:pPr>
            <w:r w:rsidRPr="003714E6">
              <w:rPr>
                <w:b/>
                <w:bCs/>
              </w:rPr>
              <w:t>28%</w:t>
            </w:r>
          </w:p>
        </w:tc>
        <w:tc>
          <w:tcPr>
            <w:tcW w:w="1893" w:type="dxa"/>
            <w:shd w:val="clear" w:color="auto" w:fill="auto"/>
            <w:noWrap/>
            <w:hideMark/>
          </w:tcPr>
          <w:p w14:paraId="0E61BC35" w14:textId="77777777" w:rsidR="00702356" w:rsidRPr="003714E6" w:rsidRDefault="00702356" w:rsidP="003714E6">
            <w:pPr>
              <w:pStyle w:val="Tablecell"/>
              <w:keepLines/>
              <w:widowControl w:val="0"/>
              <w:jc w:val="center"/>
              <w:rPr>
                <w:b/>
                <w:bCs/>
              </w:rPr>
            </w:pPr>
            <w:r w:rsidRPr="003714E6">
              <w:rPr>
                <w:b/>
                <w:bCs/>
              </w:rPr>
              <w:t>$84,260</w:t>
            </w:r>
          </w:p>
        </w:tc>
        <w:tc>
          <w:tcPr>
            <w:tcW w:w="1565" w:type="dxa"/>
            <w:shd w:val="clear" w:color="auto" w:fill="auto"/>
            <w:noWrap/>
            <w:hideMark/>
          </w:tcPr>
          <w:p w14:paraId="37BFD0A9" w14:textId="77777777" w:rsidR="00702356" w:rsidRPr="003714E6" w:rsidRDefault="00702356" w:rsidP="003714E6">
            <w:pPr>
              <w:pStyle w:val="Tablecell"/>
              <w:keepLines/>
              <w:widowControl w:val="0"/>
              <w:jc w:val="center"/>
              <w:rPr>
                <w:b/>
                <w:bCs/>
              </w:rPr>
            </w:pPr>
            <w:r w:rsidRPr="003714E6">
              <w:rPr>
                <w:b/>
                <w:bCs/>
              </w:rPr>
              <w:t>33%</w:t>
            </w:r>
          </w:p>
        </w:tc>
        <w:tc>
          <w:tcPr>
            <w:tcW w:w="1439" w:type="dxa"/>
            <w:shd w:val="clear" w:color="auto" w:fill="auto"/>
            <w:noWrap/>
            <w:hideMark/>
          </w:tcPr>
          <w:p w14:paraId="54B4AA5A" w14:textId="77777777" w:rsidR="00702356" w:rsidRPr="003714E6" w:rsidRDefault="00702356" w:rsidP="003714E6">
            <w:pPr>
              <w:pStyle w:val="Tablecell"/>
              <w:keepLines/>
              <w:widowControl w:val="0"/>
              <w:jc w:val="center"/>
              <w:rPr>
                <w:b/>
                <w:bCs/>
              </w:rPr>
            </w:pPr>
            <w:r w:rsidRPr="003714E6">
              <w:rPr>
                <w:b/>
                <w:bCs/>
              </w:rPr>
              <w:t>$92,457</w:t>
            </w:r>
          </w:p>
        </w:tc>
        <w:tc>
          <w:tcPr>
            <w:tcW w:w="1614" w:type="dxa"/>
            <w:shd w:val="clear" w:color="auto" w:fill="auto"/>
            <w:noWrap/>
            <w:hideMark/>
          </w:tcPr>
          <w:p w14:paraId="15E6308A" w14:textId="77777777" w:rsidR="00702356" w:rsidRPr="003714E6" w:rsidRDefault="00702356" w:rsidP="003714E6">
            <w:pPr>
              <w:pStyle w:val="Tablecell"/>
              <w:keepLines/>
              <w:widowControl w:val="0"/>
              <w:jc w:val="center"/>
              <w:rPr>
                <w:b/>
                <w:bCs/>
              </w:rPr>
            </w:pPr>
            <w:r w:rsidRPr="003714E6">
              <w:rPr>
                <w:b/>
                <w:bCs/>
              </w:rPr>
              <w:t>$176,717</w:t>
            </w:r>
          </w:p>
        </w:tc>
      </w:tr>
      <w:tr w:rsidR="00702356" w:rsidRPr="003714E6" w14:paraId="60C28E15" w14:textId="77777777" w:rsidTr="003714E6">
        <w:trPr>
          <w:cantSplit/>
          <w:trHeight w:val="917"/>
        </w:trPr>
        <w:tc>
          <w:tcPr>
            <w:tcW w:w="2155" w:type="dxa"/>
            <w:shd w:val="clear" w:color="auto" w:fill="auto"/>
            <w:hideMark/>
          </w:tcPr>
          <w:p w14:paraId="5F31EFB2" w14:textId="77777777" w:rsidR="00702356" w:rsidRPr="003714E6" w:rsidRDefault="00702356" w:rsidP="003714E6">
            <w:pPr>
              <w:pStyle w:val="Tablecell"/>
              <w:keepLines/>
              <w:widowControl w:val="0"/>
            </w:pPr>
            <w:r w:rsidRPr="003714E6">
              <w:t>Beverage Containers</w:t>
            </w:r>
            <w:r w:rsidRPr="003714E6">
              <w:rPr>
                <w:vertAlign w:val="superscript"/>
              </w:rPr>
              <w:t>2</w:t>
            </w:r>
            <w:r w:rsidRPr="003714E6">
              <w:br/>
              <w:t>(Jan 1, 2023)</w:t>
            </w:r>
          </w:p>
        </w:tc>
        <w:tc>
          <w:tcPr>
            <w:tcW w:w="1442" w:type="dxa"/>
            <w:shd w:val="clear" w:color="auto" w:fill="auto"/>
            <w:noWrap/>
            <w:hideMark/>
          </w:tcPr>
          <w:p w14:paraId="45CA321B" w14:textId="77777777" w:rsidR="00702356" w:rsidRPr="003714E6" w:rsidRDefault="00702356" w:rsidP="003714E6">
            <w:pPr>
              <w:pStyle w:val="Tablecell"/>
              <w:keepLines/>
              <w:widowControl w:val="0"/>
              <w:jc w:val="center"/>
              <w:rPr>
                <w:b/>
                <w:bCs/>
              </w:rPr>
            </w:pPr>
            <w:r w:rsidRPr="003714E6">
              <w:rPr>
                <w:b/>
                <w:bCs/>
              </w:rPr>
              <w:t>57%</w:t>
            </w:r>
          </w:p>
        </w:tc>
        <w:tc>
          <w:tcPr>
            <w:tcW w:w="1893" w:type="dxa"/>
            <w:shd w:val="clear" w:color="auto" w:fill="auto"/>
            <w:noWrap/>
            <w:hideMark/>
          </w:tcPr>
          <w:p w14:paraId="78F1132B" w14:textId="77777777" w:rsidR="00702356" w:rsidRPr="003714E6" w:rsidRDefault="00702356" w:rsidP="003714E6">
            <w:pPr>
              <w:pStyle w:val="Tablecell"/>
              <w:keepLines/>
              <w:widowControl w:val="0"/>
              <w:jc w:val="center"/>
              <w:rPr>
                <w:b/>
                <w:bCs/>
              </w:rPr>
            </w:pPr>
            <w:r w:rsidRPr="003714E6">
              <w:rPr>
                <w:b/>
                <w:bCs/>
              </w:rPr>
              <w:t>$169,814</w:t>
            </w:r>
          </w:p>
        </w:tc>
        <w:tc>
          <w:tcPr>
            <w:tcW w:w="1565" w:type="dxa"/>
            <w:shd w:val="clear" w:color="auto" w:fill="auto"/>
            <w:noWrap/>
            <w:hideMark/>
          </w:tcPr>
          <w:p w14:paraId="6D6ED525" w14:textId="77777777" w:rsidR="00702356" w:rsidRPr="003714E6" w:rsidRDefault="00702356" w:rsidP="003714E6">
            <w:pPr>
              <w:pStyle w:val="Tablecell"/>
              <w:keepLines/>
              <w:widowControl w:val="0"/>
              <w:jc w:val="center"/>
              <w:rPr>
                <w:b/>
                <w:bCs/>
              </w:rPr>
            </w:pPr>
            <w:r w:rsidRPr="003714E6">
              <w:rPr>
                <w:b/>
                <w:bCs/>
              </w:rPr>
              <w:t>67%</w:t>
            </w:r>
          </w:p>
        </w:tc>
        <w:tc>
          <w:tcPr>
            <w:tcW w:w="1439" w:type="dxa"/>
            <w:shd w:val="clear" w:color="auto" w:fill="auto"/>
            <w:noWrap/>
            <w:hideMark/>
          </w:tcPr>
          <w:p w14:paraId="4FF3D33E" w14:textId="77777777" w:rsidR="00702356" w:rsidRPr="003714E6" w:rsidRDefault="00702356" w:rsidP="003714E6">
            <w:pPr>
              <w:pStyle w:val="Tablecell"/>
              <w:keepLines/>
              <w:widowControl w:val="0"/>
              <w:jc w:val="center"/>
              <w:rPr>
                <w:b/>
                <w:bCs/>
              </w:rPr>
            </w:pPr>
            <w:r w:rsidRPr="003714E6">
              <w:rPr>
                <w:b/>
                <w:bCs/>
              </w:rPr>
              <w:t>$186,334</w:t>
            </w:r>
          </w:p>
        </w:tc>
        <w:tc>
          <w:tcPr>
            <w:tcW w:w="1614" w:type="dxa"/>
            <w:shd w:val="clear" w:color="auto" w:fill="auto"/>
            <w:noWrap/>
            <w:hideMark/>
          </w:tcPr>
          <w:p w14:paraId="72EBF27D" w14:textId="77777777" w:rsidR="00702356" w:rsidRPr="003714E6" w:rsidRDefault="00702356" w:rsidP="003714E6">
            <w:pPr>
              <w:pStyle w:val="Tablecell"/>
              <w:keepLines/>
              <w:widowControl w:val="0"/>
              <w:jc w:val="center"/>
              <w:rPr>
                <w:b/>
                <w:bCs/>
              </w:rPr>
            </w:pPr>
            <w:r w:rsidRPr="003714E6">
              <w:rPr>
                <w:b/>
                <w:bCs/>
              </w:rPr>
              <w:t>$356,148</w:t>
            </w:r>
          </w:p>
        </w:tc>
      </w:tr>
      <w:tr w:rsidR="00702356" w:rsidRPr="003714E6" w14:paraId="400AF23C" w14:textId="77777777" w:rsidTr="003714E6">
        <w:trPr>
          <w:cantSplit/>
          <w:trHeight w:val="576"/>
        </w:trPr>
        <w:tc>
          <w:tcPr>
            <w:tcW w:w="2155" w:type="dxa"/>
            <w:shd w:val="clear" w:color="auto" w:fill="auto"/>
            <w:hideMark/>
          </w:tcPr>
          <w:p w14:paraId="22D1B264" w14:textId="77777777" w:rsidR="00702356" w:rsidRPr="003714E6" w:rsidRDefault="00702356" w:rsidP="003714E6">
            <w:pPr>
              <w:pStyle w:val="Tablecell"/>
              <w:keepLines/>
              <w:widowControl w:val="0"/>
            </w:pPr>
            <w:r w:rsidRPr="003714E6">
              <w:t xml:space="preserve">Household and Personal Care  </w:t>
            </w:r>
            <w:r w:rsidRPr="003714E6">
              <w:br/>
              <w:t>(Jan 1, 2025)</w:t>
            </w:r>
          </w:p>
        </w:tc>
        <w:tc>
          <w:tcPr>
            <w:tcW w:w="1442" w:type="dxa"/>
            <w:shd w:val="clear" w:color="auto" w:fill="auto"/>
            <w:noWrap/>
            <w:hideMark/>
          </w:tcPr>
          <w:p w14:paraId="0A175A1A" w14:textId="77777777" w:rsidR="00702356" w:rsidRPr="003714E6" w:rsidRDefault="00702356" w:rsidP="003714E6">
            <w:pPr>
              <w:pStyle w:val="Tablecell"/>
              <w:keepLines/>
              <w:widowControl w:val="0"/>
              <w:jc w:val="center"/>
              <w:rPr>
                <w:b/>
                <w:bCs/>
              </w:rPr>
            </w:pPr>
            <w:r w:rsidRPr="003714E6">
              <w:rPr>
                <w:b/>
                <w:bCs/>
              </w:rPr>
              <w:t>15%</w:t>
            </w:r>
          </w:p>
        </w:tc>
        <w:tc>
          <w:tcPr>
            <w:tcW w:w="1893" w:type="dxa"/>
            <w:shd w:val="clear" w:color="auto" w:fill="auto"/>
            <w:noWrap/>
            <w:hideMark/>
          </w:tcPr>
          <w:p w14:paraId="3CE856FC" w14:textId="77777777" w:rsidR="00702356" w:rsidRPr="003714E6" w:rsidRDefault="00702356" w:rsidP="003714E6">
            <w:pPr>
              <w:pStyle w:val="Tablecell"/>
              <w:keepLines/>
              <w:widowControl w:val="0"/>
              <w:jc w:val="center"/>
              <w:rPr>
                <w:b/>
                <w:bCs/>
              </w:rPr>
            </w:pPr>
            <w:r w:rsidRPr="003714E6">
              <w:rPr>
                <w:b/>
                <w:bCs/>
              </w:rPr>
              <w:t>$45,410</w:t>
            </w:r>
          </w:p>
        </w:tc>
        <w:tc>
          <w:tcPr>
            <w:tcW w:w="1565" w:type="dxa"/>
            <w:shd w:val="clear" w:color="auto" w:fill="auto"/>
            <w:noWrap/>
            <w:hideMark/>
          </w:tcPr>
          <w:p w14:paraId="03E43492" w14:textId="77777777" w:rsidR="00702356" w:rsidRPr="003714E6" w:rsidRDefault="00702356" w:rsidP="003714E6">
            <w:pPr>
              <w:pStyle w:val="Tablecell"/>
              <w:keepLines/>
              <w:widowControl w:val="0"/>
              <w:jc w:val="center"/>
              <w:rPr>
                <w:b/>
                <w:bCs/>
              </w:rPr>
            </w:pPr>
            <w:r w:rsidRPr="003714E6">
              <w:rPr>
                <w:b/>
                <w:bCs/>
              </w:rPr>
              <w:t>0%</w:t>
            </w:r>
          </w:p>
        </w:tc>
        <w:tc>
          <w:tcPr>
            <w:tcW w:w="1439" w:type="dxa"/>
            <w:shd w:val="clear" w:color="auto" w:fill="auto"/>
            <w:noWrap/>
            <w:hideMark/>
          </w:tcPr>
          <w:p w14:paraId="64C182DA" w14:textId="77777777" w:rsidR="00702356" w:rsidRPr="003714E6" w:rsidRDefault="00702356" w:rsidP="003714E6">
            <w:pPr>
              <w:pStyle w:val="Tablecell"/>
              <w:keepLines/>
              <w:widowControl w:val="0"/>
              <w:jc w:val="center"/>
              <w:rPr>
                <w:b/>
                <w:bCs/>
              </w:rPr>
            </w:pPr>
            <w:r w:rsidRPr="003714E6">
              <w:rPr>
                <w:b/>
                <w:bCs/>
              </w:rPr>
              <w:t>$0</w:t>
            </w:r>
          </w:p>
        </w:tc>
        <w:tc>
          <w:tcPr>
            <w:tcW w:w="1614" w:type="dxa"/>
            <w:shd w:val="clear" w:color="auto" w:fill="auto"/>
            <w:noWrap/>
            <w:hideMark/>
          </w:tcPr>
          <w:p w14:paraId="3826B56D" w14:textId="77777777" w:rsidR="00702356" w:rsidRPr="003714E6" w:rsidRDefault="00702356" w:rsidP="003714E6">
            <w:pPr>
              <w:pStyle w:val="Tablecell"/>
              <w:keepLines/>
              <w:widowControl w:val="0"/>
              <w:jc w:val="center"/>
              <w:rPr>
                <w:b/>
                <w:bCs/>
              </w:rPr>
            </w:pPr>
            <w:r w:rsidRPr="003714E6">
              <w:rPr>
                <w:b/>
                <w:bCs/>
              </w:rPr>
              <w:t>$45,410</w:t>
            </w:r>
          </w:p>
        </w:tc>
      </w:tr>
      <w:tr w:rsidR="00702356" w:rsidRPr="003714E6" w14:paraId="3B3E182E" w14:textId="77777777" w:rsidTr="003714E6">
        <w:trPr>
          <w:cantSplit/>
          <w:trHeight w:val="612"/>
        </w:trPr>
        <w:tc>
          <w:tcPr>
            <w:tcW w:w="2155" w:type="dxa"/>
            <w:shd w:val="clear" w:color="auto" w:fill="auto"/>
            <w:hideMark/>
          </w:tcPr>
          <w:p w14:paraId="7EFBC741" w14:textId="4A445611" w:rsidR="00702356" w:rsidRPr="003714E6" w:rsidRDefault="00702356" w:rsidP="003714E6">
            <w:pPr>
              <w:pStyle w:val="Tablecell"/>
              <w:keepLines/>
              <w:widowControl w:val="0"/>
            </w:pPr>
            <w:r w:rsidRPr="003714E6">
              <w:t>Delayed Beverage Containers</w:t>
            </w:r>
            <w:r w:rsidRPr="003714E6">
              <w:br/>
              <w:t>(Jan 1, 2028)</w:t>
            </w:r>
          </w:p>
        </w:tc>
        <w:tc>
          <w:tcPr>
            <w:tcW w:w="1442" w:type="dxa"/>
            <w:shd w:val="clear" w:color="auto" w:fill="auto"/>
            <w:noWrap/>
            <w:hideMark/>
          </w:tcPr>
          <w:p w14:paraId="440B7C56" w14:textId="265F5791" w:rsidR="00702356" w:rsidRPr="003714E6" w:rsidRDefault="000B4A0E" w:rsidP="003714E6">
            <w:pPr>
              <w:pStyle w:val="Tablecell"/>
              <w:keepLines/>
              <w:widowControl w:val="0"/>
              <w:jc w:val="center"/>
              <w:rPr>
                <w:b/>
                <w:bCs/>
              </w:rPr>
            </w:pPr>
            <w:r>
              <w:rPr>
                <w:b/>
                <w:bCs/>
              </w:rPr>
              <w:t>n/a</w:t>
            </w:r>
          </w:p>
        </w:tc>
        <w:tc>
          <w:tcPr>
            <w:tcW w:w="1893" w:type="dxa"/>
            <w:shd w:val="clear" w:color="auto" w:fill="auto"/>
            <w:noWrap/>
            <w:hideMark/>
          </w:tcPr>
          <w:p w14:paraId="07ADD719" w14:textId="2B35A4A1" w:rsidR="00702356" w:rsidRPr="003714E6" w:rsidRDefault="000B4A0E" w:rsidP="003714E6">
            <w:pPr>
              <w:pStyle w:val="Tablecell"/>
              <w:keepLines/>
              <w:widowControl w:val="0"/>
              <w:jc w:val="center"/>
              <w:rPr>
                <w:b/>
                <w:bCs/>
              </w:rPr>
            </w:pPr>
            <w:r>
              <w:rPr>
                <w:b/>
                <w:bCs/>
              </w:rPr>
              <w:t>n/a</w:t>
            </w:r>
          </w:p>
        </w:tc>
        <w:tc>
          <w:tcPr>
            <w:tcW w:w="1565" w:type="dxa"/>
            <w:shd w:val="clear" w:color="auto" w:fill="auto"/>
            <w:noWrap/>
            <w:hideMark/>
          </w:tcPr>
          <w:p w14:paraId="27D648EB" w14:textId="2C0C1153" w:rsidR="00702356" w:rsidRPr="003714E6" w:rsidRDefault="000B4A0E" w:rsidP="003714E6">
            <w:pPr>
              <w:pStyle w:val="Tablecell"/>
              <w:keepLines/>
              <w:widowControl w:val="0"/>
              <w:jc w:val="center"/>
              <w:rPr>
                <w:b/>
                <w:bCs/>
              </w:rPr>
            </w:pPr>
            <w:r>
              <w:rPr>
                <w:b/>
                <w:bCs/>
              </w:rPr>
              <w:t>n/a</w:t>
            </w:r>
          </w:p>
        </w:tc>
        <w:tc>
          <w:tcPr>
            <w:tcW w:w="1439" w:type="dxa"/>
            <w:shd w:val="clear" w:color="auto" w:fill="auto"/>
            <w:noWrap/>
            <w:hideMark/>
          </w:tcPr>
          <w:p w14:paraId="62B826ED" w14:textId="1997E15E" w:rsidR="00702356" w:rsidRPr="003714E6" w:rsidRDefault="000B4A0E" w:rsidP="003714E6">
            <w:pPr>
              <w:pStyle w:val="Tablecell"/>
              <w:keepLines/>
              <w:widowControl w:val="0"/>
              <w:jc w:val="center"/>
              <w:rPr>
                <w:b/>
                <w:bCs/>
              </w:rPr>
            </w:pPr>
            <w:r>
              <w:rPr>
                <w:b/>
                <w:bCs/>
              </w:rPr>
              <w:t>n/a</w:t>
            </w:r>
          </w:p>
        </w:tc>
        <w:tc>
          <w:tcPr>
            <w:tcW w:w="1614" w:type="dxa"/>
            <w:shd w:val="clear" w:color="auto" w:fill="auto"/>
            <w:noWrap/>
            <w:hideMark/>
          </w:tcPr>
          <w:p w14:paraId="7CE368F2" w14:textId="1FFBCD0F" w:rsidR="00702356" w:rsidRPr="003714E6" w:rsidRDefault="000B4A0E" w:rsidP="003714E6">
            <w:pPr>
              <w:pStyle w:val="Tablecell"/>
              <w:keepLines/>
              <w:widowControl w:val="0"/>
              <w:jc w:val="center"/>
              <w:rPr>
                <w:b/>
                <w:bCs/>
              </w:rPr>
            </w:pPr>
            <w:r>
              <w:rPr>
                <w:b/>
                <w:bCs/>
              </w:rPr>
              <w:t>n/a</w:t>
            </w:r>
          </w:p>
        </w:tc>
      </w:tr>
      <w:tr w:rsidR="00702356" w:rsidRPr="003714E6" w14:paraId="15FB3E4A" w14:textId="77777777" w:rsidTr="003714E6">
        <w:trPr>
          <w:cantSplit/>
          <w:trHeight w:val="288"/>
        </w:trPr>
        <w:tc>
          <w:tcPr>
            <w:tcW w:w="2155" w:type="dxa"/>
            <w:shd w:val="clear" w:color="auto" w:fill="auto"/>
            <w:noWrap/>
            <w:hideMark/>
          </w:tcPr>
          <w:p w14:paraId="583277BF" w14:textId="77777777" w:rsidR="00702356" w:rsidRPr="003714E6" w:rsidRDefault="00702356" w:rsidP="003714E6">
            <w:pPr>
              <w:pStyle w:val="Tablecell"/>
              <w:keepLines/>
              <w:widowControl w:val="0"/>
            </w:pPr>
            <w:r w:rsidRPr="003714E6">
              <w:t>Total</w:t>
            </w:r>
          </w:p>
        </w:tc>
        <w:tc>
          <w:tcPr>
            <w:tcW w:w="1442" w:type="dxa"/>
            <w:shd w:val="clear" w:color="auto" w:fill="auto"/>
            <w:noWrap/>
            <w:hideMark/>
          </w:tcPr>
          <w:p w14:paraId="296748B7" w14:textId="77777777" w:rsidR="00702356" w:rsidRPr="003714E6" w:rsidRDefault="00702356" w:rsidP="003714E6">
            <w:pPr>
              <w:pStyle w:val="Tablecell"/>
              <w:keepLines/>
              <w:widowControl w:val="0"/>
              <w:jc w:val="center"/>
              <w:rPr>
                <w:b/>
                <w:bCs/>
              </w:rPr>
            </w:pPr>
            <w:r w:rsidRPr="003714E6">
              <w:rPr>
                <w:b/>
                <w:bCs/>
              </w:rPr>
              <w:t>100%</w:t>
            </w:r>
          </w:p>
        </w:tc>
        <w:tc>
          <w:tcPr>
            <w:tcW w:w="1893" w:type="dxa"/>
            <w:shd w:val="clear" w:color="auto" w:fill="auto"/>
            <w:noWrap/>
            <w:hideMark/>
          </w:tcPr>
          <w:p w14:paraId="7A5D700B" w14:textId="77777777" w:rsidR="00702356" w:rsidRPr="003714E6" w:rsidRDefault="00702356" w:rsidP="003714E6">
            <w:pPr>
              <w:pStyle w:val="Tablecell"/>
              <w:keepLines/>
              <w:widowControl w:val="0"/>
              <w:jc w:val="center"/>
              <w:rPr>
                <w:b/>
                <w:bCs/>
              </w:rPr>
            </w:pPr>
            <w:r w:rsidRPr="003714E6">
              <w:rPr>
                <w:b/>
                <w:bCs/>
              </w:rPr>
              <w:t>$299,484</w:t>
            </w:r>
          </w:p>
        </w:tc>
        <w:tc>
          <w:tcPr>
            <w:tcW w:w="1565" w:type="dxa"/>
            <w:shd w:val="clear" w:color="auto" w:fill="auto"/>
            <w:noWrap/>
            <w:hideMark/>
          </w:tcPr>
          <w:p w14:paraId="3896B10A" w14:textId="77777777" w:rsidR="00702356" w:rsidRPr="003714E6" w:rsidRDefault="00702356" w:rsidP="003714E6">
            <w:pPr>
              <w:pStyle w:val="Tablecell"/>
              <w:keepLines/>
              <w:widowControl w:val="0"/>
              <w:jc w:val="center"/>
              <w:rPr>
                <w:b/>
                <w:bCs/>
              </w:rPr>
            </w:pPr>
            <w:r w:rsidRPr="003714E6">
              <w:rPr>
                <w:b/>
                <w:bCs/>
              </w:rPr>
              <w:t>100%</w:t>
            </w:r>
          </w:p>
        </w:tc>
        <w:tc>
          <w:tcPr>
            <w:tcW w:w="1439" w:type="dxa"/>
            <w:shd w:val="clear" w:color="auto" w:fill="auto"/>
            <w:noWrap/>
            <w:hideMark/>
          </w:tcPr>
          <w:p w14:paraId="0812A461" w14:textId="77777777" w:rsidR="00702356" w:rsidRPr="003714E6" w:rsidRDefault="00702356" w:rsidP="003714E6">
            <w:pPr>
              <w:pStyle w:val="Tablecell"/>
              <w:keepLines/>
              <w:widowControl w:val="0"/>
              <w:jc w:val="center"/>
              <w:rPr>
                <w:b/>
                <w:bCs/>
              </w:rPr>
            </w:pPr>
            <w:r w:rsidRPr="003714E6">
              <w:rPr>
                <w:b/>
                <w:bCs/>
              </w:rPr>
              <w:t>$278,791</w:t>
            </w:r>
          </w:p>
        </w:tc>
        <w:tc>
          <w:tcPr>
            <w:tcW w:w="1614" w:type="dxa"/>
            <w:shd w:val="clear" w:color="auto" w:fill="auto"/>
            <w:noWrap/>
            <w:hideMark/>
          </w:tcPr>
          <w:p w14:paraId="72F401F0" w14:textId="77777777" w:rsidR="00702356" w:rsidRPr="003714E6" w:rsidRDefault="00702356" w:rsidP="003714E6">
            <w:pPr>
              <w:pStyle w:val="Tablecell"/>
              <w:keepLines/>
              <w:widowControl w:val="0"/>
              <w:jc w:val="center"/>
              <w:rPr>
                <w:b/>
                <w:bCs/>
              </w:rPr>
            </w:pPr>
            <w:r w:rsidRPr="003714E6">
              <w:rPr>
                <w:b/>
                <w:bCs/>
              </w:rPr>
              <w:t>$578,275</w:t>
            </w:r>
          </w:p>
        </w:tc>
      </w:tr>
    </w:tbl>
    <w:p w14:paraId="2783C581" w14:textId="7DCF59E2" w:rsidR="00702356" w:rsidRDefault="00702356" w:rsidP="003A07EE">
      <w:pPr>
        <w:pStyle w:val="Paragraph"/>
        <w:widowControl w:val="0"/>
        <w:spacing w:before="240"/>
      </w:pPr>
      <w:r>
        <w:t xml:space="preserve">The workload analysis notes that, “At the time of registration during </w:t>
      </w:r>
      <w:r w:rsidR="00E21F48">
        <w:t xml:space="preserve">[calendar year] </w:t>
      </w:r>
      <w:r>
        <w:t>CY 2022, Ecology did not require beverage container producers to specify which portions of their plastic resin weight data were related to the subsets of beverage containers that wouldn't be required to meet PCRC requirements until CY 2028 (187 mL wine bottles and dairy milk containers).  The amount of plastic resin attributed to dairy milk containers and 187 mL plastic wine bottles is unknown. When this plastic weight is provided separately during registration in CY 2023, it will reduce the amount of plastic resin in the beverage containers category, compared to the current data. Fees will be calculated based on the registration data submitted by April 1, 2023.”</w:t>
      </w:r>
    </w:p>
    <w:p w14:paraId="02FE88FD" w14:textId="0CC9EFB7" w:rsidR="008C35E2" w:rsidRDefault="00702356" w:rsidP="00702356">
      <w:pPr>
        <w:pStyle w:val="Paragraph"/>
        <w:spacing w:before="240"/>
      </w:pPr>
      <w:r>
        <w:t>Based on the above note</w:t>
      </w:r>
      <w:r w:rsidR="00CB5381">
        <w:t xml:space="preserve">, </w:t>
      </w:r>
      <w:r>
        <w:t xml:space="preserve">we assumed that the </w:t>
      </w:r>
      <w:r w:rsidR="00CB5381">
        <w:t>distribution</w:t>
      </w:r>
      <w:r>
        <w:t xml:space="preserve"> of fee</w:t>
      </w:r>
      <w:r w:rsidR="00CB5381">
        <w:t xml:space="preserve"> burden</w:t>
      </w:r>
      <w:r>
        <w:t xml:space="preserve"> would </w:t>
      </w:r>
      <w:r w:rsidR="000C3F38">
        <w:t>change each</w:t>
      </w:r>
      <w:r w:rsidR="00463CC8">
        <w:t xml:space="preserve"> year an added category of products is required to meet </w:t>
      </w:r>
      <w:r w:rsidR="00A946CF">
        <w:t>PCRC content minimums</w:t>
      </w:r>
      <w:r w:rsidR="00CB5381">
        <w:t xml:space="preserve">. </w:t>
      </w:r>
      <w:r w:rsidR="00A946CF">
        <w:t xml:space="preserve">Household and personal care product industries would assume a share of the PCRC Oversight costs beginning with the FY 2026 workload analysis, and producers of dairy milk and 187 mL wine products would have a share of PCRC Oversight costs beginning with the FY 2029 workload analysis. </w:t>
      </w:r>
      <w:r w:rsidR="00CB5381">
        <w:t>Since the quantities of plastic resin and PCRC plastic resin are currently unknown for the dairy milk and 187 mL wine product category, we made a range of assumptions in Chapter 7 reflecting potential redistributions across the industries that would pay fees under the proposed rule.</w:t>
      </w:r>
      <w:r w:rsidR="0059144E">
        <w:t xml:space="preserve">  </w:t>
      </w:r>
    </w:p>
    <w:p w14:paraId="32CFEB08" w14:textId="183D74F7" w:rsidR="0059144E" w:rsidRDefault="0059144E" w:rsidP="00702356">
      <w:pPr>
        <w:pStyle w:val="Paragraph"/>
        <w:spacing w:before="240"/>
      </w:pPr>
      <w:r>
        <w:t xml:space="preserve">The costs illustrated in the workload analysis table represent total costs for each category of product.  Each producer within a given product category would have a unique fee covering a portion of the category costs, based on each producer’s weight of plastic resin for the category.  The workload analysis provides the estimated cost per total pound of plastic resin in Washington State.  The estimated Program Administration cost is </w:t>
      </w:r>
      <w:r w:rsidR="005A078C">
        <w:t>$0.0015</w:t>
      </w:r>
      <w:r>
        <w:t xml:space="preserve"> per pound of total plastic resin (PCRC and virgin plastic), and the estimated PCRC Oversight cost is </w:t>
      </w:r>
      <w:r w:rsidR="005A078C">
        <w:t>$0.0016</w:t>
      </w:r>
      <w:r w:rsidR="008C35E2">
        <w:t xml:space="preserve"> per </w:t>
      </w:r>
      <w:r w:rsidR="008C35E2">
        <w:lastRenderedPageBreak/>
        <w:t>pound of total plastic resin for eligible product categories.  FY 2023 actual fees ranged from roughly $11 for producers with the lowest plastic resin weights, to nearly $90,000 for producers with the highest plastic resin weights in the registration data submitted in calendar year 2022.</w:t>
      </w:r>
    </w:p>
    <w:p w14:paraId="255A43CD" w14:textId="7892B128" w:rsidR="00B52A59" w:rsidRDefault="00A9316E" w:rsidP="00702356">
      <w:pPr>
        <w:pStyle w:val="Paragraph"/>
        <w:spacing w:before="240"/>
      </w:pPr>
      <w:r>
        <w:t>Of the currently estimated costs of $578,</w:t>
      </w:r>
      <w:r w:rsidR="001F5E8B">
        <w:t>000</w:t>
      </w:r>
      <w:r w:rsidR="00607BA5">
        <w:t xml:space="preserve"> in</w:t>
      </w:r>
      <w:r w:rsidR="008E6E65">
        <w:t xml:space="preserve"> fiscal year</w:t>
      </w:r>
      <w:r w:rsidR="00607BA5">
        <w:t xml:space="preserve"> </w:t>
      </w:r>
      <w:r w:rsidR="008E6E65">
        <w:t>2024 (</w:t>
      </w:r>
      <w:r w:rsidR="00607BA5">
        <w:t>FY 2024</w:t>
      </w:r>
      <w:r w:rsidR="008E6E65">
        <w:t>)</w:t>
      </w:r>
      <w:r>
        <w:t xml:space="preserve">, </w:t>
      </w:r>
      <w:r w:rsidR="00607BA5">
        <w:t>approximately</w:t>
      </w:r>
      <w:r>
        <w:t xml:space="preserve"> $</w:t>
      </w:r>
      <w:r w:rsidR="00607BA5">
        <w:t>96</w:t>
      </w:r>
      <w:r>
        <w:t>,000 is attributed to the completion of rulemaking</w:t>
      </w:r>
      <w:r w:rsidR="00607BA5">
        <w:t xml:space="preserve"> and the development of the PCRC content reporting portal</w:t>
      </w:r>
      <w:r>
        <w:t>.</w:t>
      </w:r>
      <w:r w:rsidR="00607BA5">
        <w:t xml:space="preserve">  These costs would be removed from the workload analysis in future years.  However, </w:t>
      </w:r>
      <w:r w:rsidR="00EC5B37">
        <w:t xml:space="preserve">we also anticipate </w:t>
      </w:r>
      <w:r w:rsidR="00607BA5">
        <w:t xml:space="preserve">an increased workload beginning in FY 2026 related to increased need for compliance support and auditing, and enforcement actions, currently estimated to be $66,000 per year. </w:t>
      </w:r>
      <w:r w:rsidR="00B52A59">
        <w:t>The fiscal note for the current law accounted for one-time and future costs and estimated ongoing annual costs of $664,944 beginning in FY 2026.</w:t>
      </w:r>
      <w:r w:rsidR="00E13EFD">
        <w:rPr>
          <w:rStyle w:val="FootnoteReference"/>
        </w:rPr>
        <w:footnoteReference w:id="12"/>
      </w:r>
      <w:r w:rsidR="00B52A59">
        <w:t xml:space="preserve"> This estimate provides a high</w:t>
      </w:r>
      <w:r w:rsidR="002773AB">
        <w:t>-</w:t>
      </w:r>
      <w:r w:rsidR="00B52A59">
        <w:t xml:space="preserve">cost basis for conservatively estimating future fee impacts for members of the regulated community. </w:t>
      </w:r>
    </w:p>
    <w:p w14:paraId="46CE7C98" w14:textId="199B75F7" w:rsidR="00911CD2" w:rsidRPr="008B50BC" w:rsidRDefault="001C71BB" w:rsidP="00911CD2">
      <w:pPr>
        <w:pStyle w:val="Paragraph"/>
        <w:spacing w:before="240"/>
      </w:pPr>
      <w:r w:rsidRPr="001C71BB">
        <w:t>W</w:t>
      </w:r>
      <w:r w:rsidR="00911CD2" w:rsidRPr="001C71BB">
        <w:t>e calculated 20-year present value costs of $</w:t>
      </w:r>
      <w:r w:rsidRPr="001C71BB">
        <w:t>11.9</w:t>
      </w:r>
      <w:r w:rsidR="00911CD2" w:rsidRPr="001C71BB">
        <w:t xml:space="preserve"> million for this element of the proposed rule. Present values convert streams of costs or benefits over time to a single comparable current value, accounting for inflation as well as the opportunity cost of having funds later versus now. Ecology uses a long-run average real (inflation-adjusted) discount rate in present value calculations, which is currently 0.89 percent.</w:t>
      </w:r>
      <w:r w:rsidR="00911CD2" w:rsidRPr="001C71BB">
        <w:rPr>
          <w:rStyle w:val="FootnoteReference"/>
        </w:rPr>
        <w:footnoteReference w:id="13"/>
      </w:r>
    </w:p>
    <w:p w14:paraId="58A02E03" w14:textId="2328F4B3" w:rsidR="00E13EFD" w:rsidRPr="00C04B1E" w:rsidRDefault="00F81AE1" w:rsidP="00702356">
      <w:pPr>
        <w:pStyle w:val="Paragraph"/>
        <w:spacing w:before="240"/>
        <w:rPr>
          <w:b/>
          <w:bCs/>
        </w:rPr>
      </w:pPr>
      <w:r>
        <w:rPr>
          <w:b/>
          <w:bCs/>
        </w:rPr>
        <w:t>Comparison of equity under</w:t>
      </w:r>
      <w:r w:rsidR="00E13EFD">
        <w:rPr>
          <w:b/>
          <w:bCs/>
        </w:rPr>
        <w:t xml:space="preserve"> the baseline and proposed </w:t>
      </w:r>
      <w:r w:rsidR="00E13EFD" w:rsidRPr="00C04B1E">
        <w:rPr>
          <w:b/>
          <w:bCs/>
        </w:rPr>
        <w:t>rule</w:t>
      </w:r>
    </w:p>
    <w:p w14:paraId="56CEBBCD" w14:textId="297ED9D1" w:rsidR="00E13EFD" w:rsidRDefault="0015070E" w:rsidP="00702356">
      <w:pPr>
        <w:pStyle w:val="Paragraph"/>
        <w:spacing w:before="240"/>
      </w:pPr>
      <w:r w:rsidRPr="00C04B1E">
        <w:t xml:space="preserve">Under both the baseline and proposed rule, fees must be sufficient to fund </w:t>
      </w:r>
      <w:r w:rsidR="00855F95" w:rsidRPr="00C04B1E">
        <w:t xml:space="preserve">program administration and oversight. This means total </w:t>
      </w:r>
      <w:r w:rsidR="003F66C3" w:rsidRPr="00C04B1E">
        <w:t>fees would be the same under the proposed rule and the baseline. The difference in the proposed rule is in how fees are allocated across producers</w:t>
      </w:r>
      <w:r w:rsidR="008D090A" w:rsidRPr="00C04B1E">
        <w:t xml:space="preserve"> – based on resin weight. While the baseline does not define </w:t>
      </w:r>
      <w:r w:rsidR="00FE46F5" w:rsidRPr="00C04B1E">
        <w:t>an allocation structure, we assumed baseline requirements for equitable distribution could be interpreted as charging each producer an equal share of total fees</w:t>
      </w:r>
      <w:r w:rsidR="00C04B1E" w:rsidRPr="00C04B1E">
        <w:t>.</w:t>
      </w:r>
    </w:p>
    <w:p w14:paraId="18E50E60" w14:textId="4EBBE416" w:rsidR="00B50468" w:rsidRDefault="00B52A59" w:rsidP="00702356">
      <w:pPr>
        <w:pStyle w:val="Paragraph"/>
        <w:spacing w:before="240"/>
      </w:pPr>
      <w:r>
        <w:t xml:space="preserve">The </w:t>
      </w:r>
      <w:r w:rsidR="00856BD6">
        <w:t>proposed</w:t>
      </w:r>
      <w:r>
        <w:t xml:space="preserve"> rule specifies the equations by which the two costs in the workload analysis are distributed among registered non de minimis producers based on their total weights of plastic resin for covered products sold or distributed in Washington State the previous calendar year, as submitted during annual registration or reporting.  Each producer has a unique fee proportionate to the producer’s </w:t>
      </w:r>
      <w:r w:rsidR="00227D4C">
        <w:t xml:space="preserve">reported </w:t>
      </w:r>
      <w:r>
        <w:t xml:space="preserve">plastic resin weights.  </w:t>
      </w:r>
    </w:p>
    <w:p w14:paraId="6C88D468" w14:textId="44F00967" w:rsidR="00B50468" w:rsidRDefault="00BA5FFB" w:rsidP="00702356">
      <w:pPr>
        <w:pStyle w:val="Paragraph"/>
        <w:spacing w:before="240"/>
      </w:pPr>
      <w:r>
        <w:lastRenderedPageBreak/>
        <w:t>In calendar year 2022, Ecology estimated total Program Administration costs of $603,144</w:t>
      </w:r>
      <w:r w:rsidR="00790D63">
        <w:t xml:space="preserve"> in the </w:t>
      </w:r>
      <w:r w:rsidR="00785C33">
        <w:t xml:space="preserve">FY 2023 </w:t>
      </w:r>
      <w:r w:rsidR="00790D63">
        <w:t>Workload Analysis</w:t>
      </w:r>
      <w:r w:rsidR="00785C33">
        <w:t>, for which n</w:t>
      </w:r>
      <w:r>
        <w:t>o PCRC Oversight costs were estimated</w:t>
      </w:r>
      <w:r w:rsidR="00785C33">
        <w:t>.</w:t>
      </w:r>
      <w:r w:rsidR="00402D2F">
        <w:rPr>
          <w:rStyle w:val="FootnoteReference"/>
        </w:rPr>
        <w:footnoteReference w:id="14"/>
      </w:r>
      <w:r>
        <w:t xml:space="preserve">  Of the total producers who registered in calendar year 2022, 108 exceeded the de minimis thresholds and were required under law to pay a fee to cover the total estimated costs.  Fees were </w:t>
      </w:r>
      <w:r w:rsidR="00F12F4F">
        <w:t>allocated</w:t>
      </w:r>
      <w:r>
        <w:t xml:space="preserve"> using reported total plastic resin weight and ranged between roughly $11 for the producers with the smallest plastic resin weights, to nearly $90,000 for producers with the highest weights of plastic resin. If all </w:t>
      </w:r>
      <w:r w:rsidR="00D97530">
        <w:t xml:space="preserve">fee-paying </w:t>
      </w:r>
      <w:r>
        <w:t xml:space="preserve">producers had been required to pay an equal fee, the fee for each producer to cover FY 2023 estimated costs would have been nearly $5,585 for each producer.  </w:t>
      </w:r>
      <w:r w:rsidR="00B50468">
        <w:t>Assuming this would be the fee amount under baseline conditions, the rule’s method for distributing costs as a fee resulted in cost savings for 87 producers with plastic resin weights under the mean plastic resin weight value across all 108 fee-paying producers, and cost increases for 21 producers with plastic resin weights above the mean value.</w:t>
      </w:r>
      <w:r w:rsidR="00DC72C8">
        <w:t xml:space="preserve">  The tables below summarize average fee impacts for producers by weight range and total weight relative to the mean value.</w:t>
      </w:r>
    </w:p>
    <w:p w14:paraId="2F111081" w14:textId="38DACABF" w:rsidR="00DC72C8" w:rsidRDefault="00DC72C8" w:rsidP="00C8768D">
      <w:pPr>
        <w:pStyle w:val="Caption"/>
        <w:keepLines/>
      </w:pPr>
      <w:bookmarkStart w:id="43" w:name="_Toc133303725"/>
      <w:r>
        <w:t xml:space="preserve">Table </w:t>
      </w:r>
      <w:fldSimple w:instr=" SEQ Table \* ARABIC ">
        <w:r w:rsidR="00CA3FDB">
          <w:rPr>
            <w:noProof/>
          </w:rPr>
          <w:t>6</w:t>
        </w:r>
      </w:fldSimple>
      <w:r w:rsidR="00911CD2">
        <w:t>.</w:t>
      </w:r>
      <w:r>
        <w:t xml:space="preserve"> </w:t>
      </w:r>
      <w:r w:rsidRPr="000F635A">
        <w:t>Fee impacts of rule cost distribution by registered plastic resin weight ranges, compared to an equal fee for each producer, based on FY 2023 fees</w:t>
      </w:r>
      <w:r w:rsidR="000F5E36">
        <w:t>.</w:t>
      </w:r>
      <w:bookmarkEnd w:id="43"/>
    </w:p>
    <w:tbl>
      <w:tblPr>
        <w:tblStyle w:val="TableGrid"/>
        <w:tblW w:w="102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fee impacts by resin weight range"/>
      </w:tblPr>
      <w:tblGrid>
        <w:gridCol w:w="3505"/>
        <w:gridCol w:w="1219"/>
        <w:gridCol w:w="1800"/>
        <w:gridCol w:w="1980"/>
        <w:gridCol w:w="1980"/>
      </w:tblGrid>
      <w:tr w:rsidR="00DC72C8" w:rsidRPr="003714E6" w14:paraId="24C4B61F" w14:textId="77777777" w:rsidTr="003714E6">
        <w:trPr>
          <w:cantSplit/>
          <w:trHeight w:val="288"/>
          <w:tblHeader/>
        </w:trPr>
        <w:tc>
          <w:tcPr>
            <w:tcW w:w="3505" w:type="dxa"/>
            <w:noWrap/>
            <w:vAlign w:val="center"/>
            <w:hideMark/>
          </w:tcPr>
          <w:p w14:paraId="70DC614D" w14:textId="77777777" w:rsidR="00DC72C8" w:rsidRPr="003714E6" w:rsidRDefault="00DC72C8" w:rsidP="00C8768D">
            <w:pPr>
              <w:pStyle w:val="Tablecell"/>
              <w:keepNext w:val="0"/>
              <w:keepLines/>
              <w:jc w:val="center"/>
            </w:pPr>
            <w:r w:rsidRPr="003714E6">
              <w:t>Total Plastic Resin Weight Range</w:t>
            </w:r>
          </w:p>
        </w:tc>
        <w:tc>
          <w:tcPr>
            <w:tcW w:w="990" w:type="dxa"/>
            <w:noWrap/>
            <w:vAlign w:val="center"/>
            <w:hideMark/>
          </w:tcPr>
          <w:p w14:paraId="518DC633" w14:textId="77777777" w:rsidR="00DC72C8" w:rsidRPr="003714E6" w:rsidRDefault="00DC72C8" w:rsidP="00C8768D">
            <w:pPr>
              <w:pStyle w:val="Tablecell"/>
              <w:keepNext w:val="0"/>
              <w:keepLines/>
              <w:jc w:val="center"/>
            </w:pPr>
            <w:r w:rsidRPr="003714E6">
              <w:t>Number of Producers in Range</w:t>
            </w:r>
          </w:p>
        </w:tc>
        <w:tc>
          <w:tcPr>
            <w:tcW w:w="1800" w:type="dxa"/>
            <w:noWrap/>
            <w:vAlign w:val="center"/>
            <w:hideMark/>
          </w:tcPr>
          <w:p w14:paraId="46F97CDA" w14:textId="77777777" w:rsidR="00DC72C8" w:rsidRPr="003714E6" w:rsidRDefault="00DC72C8" w:rsidP="00C8768D">
            <w:pPr>
              <w:pStyle w:val="Tablecell"/>
              <w:keepNext w:val="0"/>
              <w:keepLines/>
              <w:jc w:val="center"/>
            </w:pPr>
            <w:r w:rsidRPr="003714E6">
              <w:t>Average Fee (Rule-Based Calculation)</w:t>
            </w:r>
          </w:p>
        </w:tc>
        <w:tc>
          <w:tcPr>
            <w:tcW w:w="1980" w:type="dxa"/>
            <w:noWrap/>
            <w:vAlign w:val="center"/>
            <w:hideMark/>
          </w:tcPr>
          <w:p w14:paraId="6C37875E" w14:textId="77777777" w:rsidR="00DC72C8" w:rsidRPr="003714E6" w:rsidRDefault="00DC72C8" w:rsidP="00C8768D">
            <w:pPr>
              <w:pStyle w:val="Tablecell"/>
              <w:keepNext w:val="0"/>
              <w:keepLines/>
              <w:jc w:val="center"/>
            </w:pPr>
            <w:r w:rsidRPr="003714E6">
              <w:t>Average Fee based on Number of Producers only</w:t>
            </w:r>
          </w:p>
        </w:tc>
        <w:tc>
          <w:tcPr>
            <w:tcW w:w="1980" w:type="dxa"/>
            <w:noWrap/>
            <w:vAlign w:val="center"/>
            <w:hideMark/>
          </w:tcPr>
          <w:p w14:paraId="295108A0" w14:textId="77777777" w:rsidR="00DC72C8" w:rsidRPr="003714E6" w:rsidRDefault="00DC72C8" w:rsidP="00C8768D">
            <w:pPr>
              <w:pStyle w:val="Tablecell"/>
              <w:keepNext w:val="0"/>
              <w:keepLines/>
              <w:jc w:val="center"/>
            </w:pPr>
            <w:r w:rsidRPr="003714E6">
              <w:t>Average Fee Cost impact of Rule</w:t>
            </w:r>
          </w:p>
        </w:tc>
      </w:tr>
      <w:tr w:rsidR="00DC72C8" w:rsidRPr="003714E6" w14:paraId="16C28752" w14:textId="77777777" w:rsidTr="003714E6">
        <w:trPr>
          <w:cantSplit/>
          <w:trHeight w:val="288"/>
        </w:trPr>
        <w:tc>
          <w:tcPr>
            <w:tcW w:w="3505" w:type="dxa"/>
            <w:noWrap/>
            <w:hideMark/>
          </w:tcPr>
          <w:p w14:paraId="298B8E7E" w14:textId="77777777" w:rsidR="00DC72C8" w:rsidRPr="003714E6" w:rsidRDefault="00DC72C8" w:rsidP="00C8768D">
            <w:pPr>
              <w:pStyle w:val="Tablecell"/>
              <w:keepNext w:val="0"/>
              <w:keepLines/>
            </w:pPr>
            <w:r w:rsidRPr="003714E6">
              <w:t>2,001 - 200,000 lbs.</w:t>
            </w:r>
          </w:p>
        </w:tc>
        <w:tc>
          <w:tcPr>
            <w:tcW w:w="990" w:type="dxa"/>
            <w:noWrap/>
            <w:hideMark/>
          </w:tcPr>
          <w:p w14:paraId="69E63955" w14:textId="77777777" w:rsidR="00DC72C8" w:rsidRPr="003714E6" w:rsidRDefault="00DC72C8" w:rsidP="00C8768D">
            <w:pPr>
              <w:pStyle w:val="Tablecell"/>
              <w:keepNext w:val="0"/>
              <w:keepLines/>
              <w:jc w:val="center"/>
              <w:rPr>
                <w:b/>
                <w:bCs/>
              </w:rPr>
            </w:pPr>
            <w:r w:rsidRPr="003714E6">
              <w:rPr>
                <w:b/>
                <w:bCs/>
              </w:rPr>
              <w:t>50</w:t>
            </w:r>
          </w:p>
        </w:tc>
        <w:tc>
          <w:tcPr>
            <w:tcW w:w="1800" w:type="dxa"/>
            <w:noWrap/>
            <w:hideMark/>
          </w:tcPr>
          <w:p w14:paraId="40326F9C" w14:textId="77777777" w:rsidR="00DC72C8" w:rsidRPr="003714E6" w:rsidRDefault="00DC72C8" w:rsidP="00C8768D">
            <w:pPr>
              <w:pStyle w:val="Tablecell"/>
              <w:keepNext w:val="0"/>
              <w:keepLines/>
              <w:jc w:val="center"/>
              <w:rPr>
                <w:b/>
                <w:bCs/>
              </w:rPr>
            </w:pPr>
            <w:r w:rsidRPr="003714E6">
              <w:rPr>
                <w:b/>
                <w:bCs/>
              </w:rPr>
              <w:t>$181.84</w:t>
            </w:r>
          </w:p>
        </w:tc>
        <w:tc>
          <w:tcPr>
            <w:tcW w:w="1980" w:type="dxa"/>
            <w:noWrap/>
            <w:hideMark/>
          </w:tcPr>
          <w:p w14:paraId="69F08591" w14:textId="77777777" w:rsidR="00DC72C8" w:rsidRPr="003714E6" w:rsidRDefault="00DC72C8" w:rsidP="00C8768D">
            <w:pPr>
              <w:pStyle w:val="Tablecell"/>
              <w:keepNext w:val="0"/>
              <w:keepLines/>
              <w:jc w:val="center"/>
              <w:rPr>
                <w:b/>
                <w:bCs/>
              </w:rPr>
            </w:pPr>
            <w:r w:rsidRPr="003714E6">
              <w:rPr>
                <w:b/>
                <w:bCs/>
              </w:rPr>
              <w:t>$5,584.67</w:t>
            </w:r>
          </w:p>
        </w:tc>
        <w:tc>
          <w:tcPr>
            <w:tcW w:w="1980" w:type="dxa"/>
            <w:noWrap/>
            <w:hideMark/>
          </w:tcPr>
          <w:p w14:paraId="4B40F9F8" w14:textId="77777777" w:rsidR="00DC72C8" w:rsidRPr="003714E6" w:rsidRDefault="00DC72C8" w:rsidP="00C8768D">
            <w:pPr>
              <w:pStyle w:val="Tablecell"/>
              <w:keepNext w:val="0"/>
              <w:keepLines/>
              <w:jc w:val="center"/>
              <w:rPr>
                <w:b/>
                <w:bCs/>
              </w:rPr>
            </w:pPr>
            <w:r w:rsidRPr="003714E6">
              <w:rPr>
                <w:b/>
                <w:bCs/>
              </w:rPr>
              <w:t>-$5,402.83</w:t>
            </w:r>
          </w:p>
        </w:tc>
      </w:tr>
      <w:tr w:rsidR="00DC72C8" w:rsidRPr="003714E6" w14:paraId="7ECE253D" w14:textId="77777777" w:rsidTr="003714E6">
        <w:trPr>
          <w:cantSplit/>
          <w:trHeight w:val="288"/>
        </w:trPr>
        <w:tc>
          <w:tcPr>
            <w:tcW w:w="3505" w:type="dxa"/>
            <w:noWrap/>
            <w:hideMark/>
          </w:tcPr>
          <w:p w14:paraId="3FCE21AA" w14:textId="77777777" w:rsidR="00DC72C8" w:rsidRPr="003714E6" w:rsidRDefault="00DC72C8" w:rsidP="00C8768D">
            <w:pPr>
              <w:pStyle w:val="Tablecell"/>
              <w:keepNext w:val="0"/>
              <w:keepLines/>
            </w:pPr>
            <w:r w:rsidRPr="003714E6">
              <w:t>200,001 - 500,000 lbs.</w:t>
            </w:r>
          </w:p>
        </w:tc>
        <w:tc>
          <w:tcPr>
            <w:tcW w:w="990" w:type="dxa"/>
            <w:noWrap/>
            <w:hideMark/>
          </w:tcPr>
          <w:p w14:paraId="61EE5E88" w14:textId="77777777" w:rsidR="00DC72C8" w:rsidRPr="003714E6" w:rsidRDefault="00DC72C8" w:rsidP="00C8768D">
            <w:pPr>
              <w:pStyle w:val="Tablecell"/>
              <w:keepNext w:val="0"/>
              <w:keepLines/>
              <w:jc w:val="center"/>
              <w:rPr>
                <w:b/>
                <w:bCs/>
              </w:rPr>
            </w:pPr>
            <w:r w:rsidRPr="003714E6">
              <w:rPr>
                <w:b/>
                <w:bCs/>
              </w:rPr>
              <w:t>16</w:t>
            </w:r>
          </w:p>
        </w:tc>
        <w:tc>
          <w:tcPr>
            <w:tcW w:w="1800" w:type="dxa"/>
            <w:noWrap/>
            <w:hideMark/>
          </w:tcPr>
          <w:p w14:paraId="10AD7734" w14:textId="77777777" w:rsidR="00DC72C8" w:rsidRPr="003714E6" w:rsidRDefault="00DC72C8" w:rsidP="00C8768D">
            <w:pPr>
              <w:pStyle w:val="Tablecell"/>
              <w:keepNext w:val="0"/>
              <w:keepLines/>
              <w:jc w:val="center"/>
              <w:rPr>
                <w:b/>
                <w:bCs/>
              </w:rPr>
            </w:pPr>
            <w:r w:rsidRPr="003714E6">
              <w:rPr>
                <w:b/>
                <w:bCs/>
              </w:rPr>
              <w:t>$1,007.27</w:t>
            </w:r>
          </w:p>
        </w:tc>
        <w:tc>
          <w:tcPr>
            <w:tcW w:w="1980" w:type="dxa"/>
            <w:noWrap/>
            <w:hideMark/>
          </w:tcPr>
          <w:p w14:paraId="69C2B9AA" w14:textId="77777777" w:rsidR="00DC72C8" w:rsidRPr="003714E6" w:rsidRDefault="00DC72C8" w:rsidP="00C8768D">
            <w:pPr>
              <w:pStyle w:val="Tablecell"/>
              <w:keepNext w:val="0"/>
              <w:keepLines/>
              <w:jc w:val="center"/>
              <w:rPr>
                <w:b/>
                <w:bCs/>
              </w:rPr>
            </w:pPr>
            <w:r w:rsidRPr="003714E6">
              <w:rPr>
                <w:b/>
                <w:bCs/>
              </w:rPr>
              <w:t>$5,584.67</w:t>
            </w:r>
          </w:p>
        </w:tc>
        <w:tc>
          <w:tcPr>
            <w:tcW w:w="1980" w:type="dxa"/>
            <w:noWrap/>
            <w:hideMark/>
          </w:tcPr>
          <w:p w14:paraId="6E599C4D" w14:textId="77777777" w:rsidR="00DC72C8" w:rsidRPr="003714E6" w:rsidRDefault="00DC72C8" w:rsidP="00C8768D">
            <w:pPr>
              <w:pStyle w:val="Tablecell"/>
              <w:keepNext w:val="0"/>
              <w:keepLines/>
              <w:jc w:val="center"/>
              <w:rPr>
                <w:b/>
                <w:bCs/>
              </w:rPr>
            </w:pPr>
            <w:r w:rsidRPr="003714E6">
              <w:rPr>
                <w:b/>
                <w:bCs/>
              </w:rPr>
              <w:t>-$4,577.39</w:t>
            </w:r>
          </w:p>
        </w:tc>
      </w:tr>
      <w:tr w:rsidR="00DC72C8" w:rsidRPr="003714E6" w14:paraId="42115A02" w14:textId="77777777" w:rsidTr="003714E6">
        <w:trPr>
          <w:cantSplit/>
          <w:trHeight w:val="288"/>
        </w:trPr>
        <w:tc>
          <w:tcPr>
            <w:tcW w:w="3505" w:type="dxa"/>
            <w:noWrap/>
            <w:hideMark/>
          </w:tcPr>
          <w:p w14:paraId="45778B52" w14:textId="77777777" w:rsidR="00DC72C8" w:rsidRPr="003714E6" w:rsidRDefault="00DC72C8" w:rsidP="00C8768D">
            <w:pPr>
              <w:pStyle w:val="Tablecell"/>
              <w:keepNext w:val="0"/>
              <w:keepLines/>
            </w:pPr>
            <w:r w:rsidRPr="003714E6">
              <w:t>500,001 - 1,000,000 lbs.</w:t>
            </w:r>
          </w:p>
        </w:tc>
        <w:tc>
          <w:tcPr>
            <w:tcW w:w="990" w:type="dxa"/>
            <w:noWrap/>
            <w:hideMark/>
          </w:tcPr>
          <w:p w14:paraId="1628B3DD" w14:textId="77777777" w:rsidR="00DC72C8" w:rsidRPr="003714E6" w:rsidRDefault="00DC72C8" w:rsidP="00C8768D">
            <w:pPr>
              <w:pStyle w:val="Tablecell"/>
              <w:keepNext w:val="0"/>
              <w:keepLines/>
              <w:jc w:val="center"/>
              <w:rPr>
                <w:b/>
                <w:bCs/>
              </w:rPr>
            </w:pPr>
            <w:r w:rsidRPr="003714E6">
              <w:rPr>
                <w:b/>
                <w:bCs/>
              </w:rPr>
              <w:t>13</w:t>
            </w:r>
          </w:p>
        </w:tc>
        <w:tc>
          <w:tcPr>
            <w:tcW w:w="1800" w:type="dxa"/>
            <w:noWrap/>
            <w:hideMark/>
          </w:tcPr>
          <w:p w14:paraId="3288EE6B" w14:textId="77777777" w:rsidR="00DC72C8" w:rsidRPr="003714E6" w:rsidRDefault="00DC72C8" w:rsidP="00C8768D">
            <w:pPr>
              <w:pStyle w:val="Tablecell"/>
              <w:keepNext w:val="0"/>
              <w:keepLines/>
              <w:jc w:val="center"/>
              <w:rPr>
                <w:b/>
                <w:bCs/>
              </w:rPr>
            </w:pPr>
            <w:r w:rsidRPr="003714E6">
              <w:rPr>
                <w:b/>
                <w:bCs/>
              </w:rPr>
              <w:t>$2,185.88</w:t>
            </w:r>
          </w:p>
        </w:tc>
        <w:tc>
          <w:tcPr>
            <w:tcW w:w="1980" w:type="dxa"/>
            <w:noWrap/>
            <w:hideMark/>
          </w:tcPr>
          <w:p w14:paraId="4A2F3D23" w14:textId="77777777" w:rsidR="00DC72C8" w:rsidRPr="003714E6" w:rsidRDefault="00DC72C8" w:rsidP="00C8768D">
            <w:pPr>
              <w:pStyle w:val="Tablecell"/>
              <w:keepNext w:val="0"/>
              <w:keepLines/>
              <w:jc w:val="center"/>
              <w:rPr>
                <w:b/>
                <w:bCs/>
              </w:rPr>
            </w:pPr>
            <w:r w:rsidRPr="003714E6">
              <w:rPr>
                <w:b/>
                <w:bCs/>
              </w:rPr>
              <w:t>$5,584.67</w:t>
            </w:r>
          </w:p>
        </w:tc>
        <w:tc>
          <w:tcPr>
            <w:tcW w:w="1980" w:type="dxa"/>
            <w:noWrap/>
            <w:hideMark/>
          </w:tcPr>
          <w:p w14:paraId="11493F62" w14:textId="77777777" w:rsidR="00DC72C8" w:rsidRPr="003714E6" w:rsidRDefault="00DC72C8" w:rsidP="00C8768D">
            <w:pPr>
              <w:pStyle w:val="Tablecell"/>
              <w:keepNext w:val="0"/>
              <w:keepLines/>
              <w:jc w:val="center"/>
              <w:rPr>
                <w:b/>
                <w:bCs/>
              </w:rPr>
            </w:pPr>
            <w:r w:rsidRPr="003714E6">
              <w:rPr>
                <w:b/>
                <w:bCs/>
              </w:rPr>
              <w:t>-$3,398.79</w:t>
            </w:r>
          </w:p>
        </w:tc>
      </w:tr>
      <w:tr w:rsidR="00DC72C8" w:rsidRPr="003714E6" w14:paraId="6466C948" w14:textId="77777777" w:rsidTr="003714E6">
        <w:trPr>
          <w:cantSplit/>
          <w:trHeight w:val="288"/>
        </w:trPr>
        <w:tc>
          <w:tcPr>
            <w:tcW w:w="3505" w:type="dxa"/>
            <w:noWrap/>
            <w:hideMark/>
          </w:tcPr>
          <w:p w14:paraId="2EB6DC8A" w14:textId="77777777" w:rsidR="00DC72C8" w:rsidRPr="003714E6" w:rsidRDefault="00DC72C8" w:rsidP="00C8768D">
            <w:pPr>
              <w:pStyle w:val="Tablecell"/>
              <w:keepNext w:val="0"/>
              <w:keepLines/>
            </w:pPr>
            <w:r w:rsidRPr="003714E6">
              <w:t>1,000,001 - 1,500,000 lbs.</w:t>
            </w:r>
          </w:p>
        </w:tc>
        <w:tc>
          <w:tcPr>
            <w:tcW w:w="990" w:type="dxa"/>
            <w:noWrap/>
            <w:hideMark/>
          </w:tcPr>
          <w:p w14:paraId="38375D7F" w14:textId="77777777" w:rsidR="00DC72C8" w:rsidRPr="003714E6" w:rsidRDefault="00DC72C8" w:rsidP="00C8768D">
            <w:pPr>
              <w:pStyle w:val="Tablecell"/>
              <w:keepNext w:val="0"/>
              <w:keepLines/>
              <w:jc w:val="center"/>
              <w:rPr>
                <w:b/>
                <w:bCs/>
              </w:rPr>
            </w:pPr>
            <w:r w:rsidRPr="003714E6">
              <w:rPr>
                <w:b/>
                <w:bCs/>
              </w:rPr>
              <w:t>5</w:t>
            </w:r>
          </w:p>
        </w:tc>
        <w:tc>
          <w:tcPr>
            <w:tcW w:w="1800" w:type="dxa"/>
            <w:noWrap/>
            <w:hideMark/>
          </w:tcPr>
          <w:p w14:paraId="3F0A8FED" w14:textId="77777777" w:rsidR="00DC72C8" w:rsidRPr="003714E6" w:rsidRDefault="00DC72C8" w:rsidP="00C8768D">
            <w:pPr>
              <w:pStyle w:val="Tablecell"/>
              <w:keepNext w:val="0"/>
              <w:keepLines/>
              <w:jc w:val="center"/>
              <w:rPr>
                <w:b/>
                <w:bCs/>
              </w:rPr>
            </w:pPr>
            <w:r w:rsidRPr="003714E6">
              <w:rPr>
                <w:b/>
                <w:bCs/>
              </w:rPr>
              <w:t>$4,166.96</w:t>
            </w:r>
          </w:p>
        </w:tc>
        <w:tc>
          <w:tcPr>
            <w:tcW w:w="1980" w:type="dxa"/>
            <w:noWrap/>
            <w:hideMark/>
          </w:tcPr>
          <w:p w14:paraId="1340592F" w14:textId="77777777" w:rsidR="00DC72C8" w:rsidRPr="003714E6" w:rsidRDefault="00DC72C8" w:rsidP="00C8768D">
            <w:pPr>
              <w:pStyle w:val="Tablecell"/>
              <w:keepNext w:val="0"/>
              <w:keepLines/>
              <w:jc w:val="center"/>
              <w:rPr>
                <w:b/>
                <w:bCs/>
              </w:rPr>
            </w:pPr>
            <w:r w:rsidRPr="003714E6">
              <w:rPr>
                <w:b/>
                <w:bCs/>
              </w:rPr>
              <w:t>$5,584.67</w:t>
            </w:r>
          </w:p>
        </w:tc>
        <w:tc>
          <w:tcPr>
            <w:tcW w:w="1980" w:type="dxa"/>
            <w:noWrap/>
            <w:hideMark/>
          </w:tcPr>
          <w:p w14:paraId="26AA0AA3" w14:textId="77777777" w:rsidR="00DC72C8" w:rsidRPr="003714E6" w:rsidRDefault="00DC72C8" w:rsidP="00C8768D">
            <w:pPr>
              <w:pStyle w:val="Tablecell"/>
              <w:keepNext w:val="0"/>
              <w:keepLines/>
              <w:jc w:val="center"/>
              <w:rPr>
                <w:b/>
                <w:bCs/>
              </w:rPr>
            </w:pPr>
            <w:r w:rsidRPr="003714E6">
              <w:rPr>
                <w:b/>
                <w:bCs/>
              </w:rPr>
              <w:t>-$1,417.71</w:t>
            </w:r>
          </w:p>
        </w:tc>
      </w:tr>
      <w:tr w:rsidR="00DC72C8" w:rsidRPr="003714E6" w14:paraId="7925C911" w14:textId="77777777" w:rsidTr="003714E6">
        <w:trPr>
          <w:cantSplit/>
          <w:trHeight w:val="288"/>
        </w:trPr>
        <w:tc>
          <w:tcPr>
            <w:tcW w:w="3505" w:type="dxa"/>
            <w:noWrap/>
            <w:hideMark/>
          </w:tcPr>
          <w:p w14:paraId="5644C697" w14:textId="77777777" w:rsidR="00DC72C8" w:rsidRPr="003714E6" w:rsidRDefault="00DC72C8" w:rsidP="00C8768D">
            <w:pPr>
              <w:pStyle w:val="Tablecell"/>
              <w:keepNext w:val="0"/>
              <w:keepLines/>
            </w:pPr>
            <w:r w:rsidRPr="003714E6">
              <w:t>1,500,001 - 2,000,000 lbs.</w:t>
            </w:r>
          </w:p>
        </w:tc>
        <w:tc>
          <w:tcPr>
            <w:tcW w:w="990" w:type="dxa"/>
            <w:noWrap/>
            <w:hideMark/>
          </w:tcPr>
          <w:p w14:paraId="27837D3A" w14:textId="77777777" w:rsidR="00DC72C8" w:rsidRPr="003714E6" w:rsidRDefault="00DC72C8" w:rsidP="00C8768D">
            <w:pPr>
              <w:pStyle w:val="Tablecell"/>
              <w:keepNext w:val="0"/>
              <w:keepLines/>
              <w:jc w:val="center"/>
              <w:rPr>
                <w:b/>
                <w:bCs/>
              </w:rPr>
            </w:pPr>
            <w:r w:rsidRPr="003714E6">
              <w:rPr>
                <w:b/>
                <w:bCs/>
              </w:rPr>
              <w:t>3</w:t>
            </w:r>
          </w:p>
        </w:tc>
        <w:tc>
          <w:tcPr>
            <w:tcW w:w="1800" w:type="dxa"/>
            <w:noWrap/>
            <w:hideMark/>
          </w:tcPr>
          <w:p w14:paraId="7A67E2E6" w14:textId="77777777" w:rsidR="00DC72C8" w:rsidRPr="003714E6" w:rsidRDefault="00DC72C8" w:rsidP="00C8768D">
            <w:pPr>
              <w:pStyle w:val="Tablecell"/>
              <w:keepNext w:val="0"/>
              <w:keepLines/>
              <w:jc w:val="center"/>
              <w:rPr>
                <w:b/>
                <w:bCs/>
              </w:rPr>
            </w:pPr>
            <w:r w:rsidRPr="003714E6">
              <w:rPr>
                <w:b/>
                <w:bCs/>
              </w:rPr>
              <w:t>$4,807.69</w:t>
            </w:r>
          </w:p>
        </w:tc>
        <w:tc>
          <w:tcPr>
            <w:tcW w:w="1980" w:type="dxa"/>
            <w:noWrap/>
            <w:hideMark/>
          </w:tcPr>
          <w:p w14:paraId="7E7880AB" w14:textId="77777777" w:rsidR="00DC72C8" w:rsidRPr="003714E6" w:rsidRDefault="00DC72C8" w:rsidP="00C8768D">
            <w:pPr>
              <w:pStyle w:val="Tablecell"/>
              <w:keepNext w:val="0"/>
              <w:keepLines/>
              <w:jc w:val="center"/>
              <w:rPr>
                <w:b/>
                <w:bCs/>
              </w:rPr>
            </w:pPr>
            <w:r w:rsidRPr="003714E6">
              <w:rPr>
                <w:b/>
                <w:bCs/>
              </w:rPr>
              <w:t>$5,584.67</w:t>
            </w:r>
          </w:p>
        </w:tc>
        <w:tc>
          <w:tcPr>
            <w:tcW w:w="1980" w:type="dxa"/>
            <w:noWrap/>
            <w:hideMark/>
          </w:tcPr>
          <w:p w14:paraId="6FED2EB5" w14:textId="77777777" w:rsidR="00DC72C8" w:rsidRPr="003714E6" w:rsidRDefault="00DC72C8" w:rsidP="00C8768D">
            <w:pPr>
              <w:pStyle w:val="Tablecell"/>
              <w:keepNext w:val="0"/>
              <w:keepLines/>
              <w:jc w:val="center"/>
              <w:rPr>
                <w:b/>
                <w:bCs/>
              </w:rPr>
            </w:pPr>
            <w:r w:rsidRPr="003714E6">
              <w:rPr>
                <w:b/>
                <w:bCs/>
              </w:rPr>
              <w:t>-$776.98</w:t>
            </w:r>
          </w:p>
        </w:tc>
      </w:tr>
      <w:tr w:rsidR="00DC72C8" w:rsidRPr="003714E6" w14:paraId="3FBAFCE1" w14:textId="77777777" w:rsidTr="003714E6">
        <w:trPr>
          <w:cantSplit/>
          <w:trHeight w:val="288"/>
        </w:trPr>
        <w:tc>
          <w:tcPr>
            <w:tcW w:w="3505" w:type="dxa"/>
            <w:noWrap/>
            <w:hideMark/>
          </w:tcPr>
          <w:p w14:paraId="399F7FFF" w14:textId="77777777" w:rsidR="00DC72C8" w:rsidRPr="003714E6" w:rsidRDefault="00DC72C8" w:rsidP="00C8768D">
            <w:pPr>
              <w:pStyle w:val="Tablecell"/>
              <w:keepNext w:val="0"/>
              <w:keepLines/>
            </w:pPr>
            <w:r w:rsidRPr="003714E6">
              <w:t>2,000,001 - 3,000,000 lbs.</w:t>
            </w:r>
          </w:p>
        </w:tc>
        <w:tc>
          <w:tcPr>
            <w:tcW w:w="990" w:type="dxa"/>
            <w:noWrap/>
            <w:hideMark/>
          </w:tcPr>
          <w:p w14:paraId="36FE25FD" w14:textId="77777777" w:rsidR="00DC72C8" w:rsidRPr="003714E6" w:rsidRDefault="00DC72C8" w:rsidP="00C8768D">
            <w:pPr>
              <w:pStyle w:val="Tablecell"/>
              <w:keepNext w:val="0"/>
              <w:keepLines/>
              <w:jc w:val="center"/>
              <w:rPr>
                <w:b/>
                <w:bCs/>
              </w:rPr>
            </w:pPr>
            <w:r w:rsidRPr="003714E6">
              <w:rPr>
                <w:b/>
                <w:bCs/>
              </w:rPr>
              <w:t>5</w:t>
            </w:r>
          </w:p>
        </w:tc>
        <w:tc>
          <w:tcPr>
            <w:tcW w:w="1800" w:type="dxa"/>
            <w:noWrap/>
            <w:hideMark/>
          </w:tcPr>
          <w:p w14:paraId="4F043845" w14:textId="77777777" w:rsidR="00DC72C8" w:rsidRPr="003714E6" w:rsidRDefault="00DC72C8" w:rsidP="00C8768D">
            <w:pPr>
              <w:pStyle w:val="Tablecell"/>
              <w:keepNext w:val="0"/>
              <w:keepLines/>
              <w:jc w:val="center"/>
              <w:rPr>
                <w:b/>
                <w:bCs/>
              </w:rPr>
            </w:pPr>
            <w:r w:rsidRPr="003714E6">
              <w:rPr>
                <w:b/>
                <w:bCs/>
              </w:rPr>
              <w:t>$7,467.01</w:t>
            </w:r>
          </w:p>
        </w:tc>
        <w:tc>
          <w:tcPr>
            <w:tcW w:w="1980" w:type="dxa"/>
            <w:noWrap/>
            <w:hideMark/>
          </w:tcPr>
          <w:p w14:paraId="6FEF9557" w14:textId="77777777" w:rsidR="00DC72C8" w:rsidRPr="003714E6" w:rsidRDefault="00DC72C8" w:rsidP="00C8768D">
            <w:pPr>
              <w:pStyle w:val="Tablecell"/>
              <w:keepNext w:val="0"/>
              <w:keepLines/>
              <w:jc w:val="center"/>
              <w:rPr>
                <w:b/>
                <w:bCs/>
              </w:rPr>
            </w:pPr>
            <w:r w:rsidRPr="003714E6">
              <w:rPr>
                <w:b/>
                <w:bCs/>
              </w:rPr>
              <w:t>$5,584.67</w:t>
            </w:r>
          </w:p>
        </w:tc>
        <w:tc>
          <w:tcPr>
            <w:tcW w:w="1980" w:type="dxa"/>
            <w:noWrap/>
            <w:hideMark/>
          </w:tcPr>
          <w:p w14:paraId="5541287C" w14:textId="77777777" w:rsidR="00DC72C8" w:rsidRPr="003714E6" w:rsidRDefault="00DC72C8" w:rsidP="00C8768D">
            <w:pPr>
              <w:pStyle w:val="Tablecell"/>
              <w:keepNext w:val="0"/>
              <w:keepLines/>
              <w:jc w:val="center"/>
              <w:rPr>
                <w:b/>
                <w:bCs/>
              </w:rPr>
            </w:pPr>
            <w:r w:rsidRPr="003714E6">
              <w:rPr>
                <w:b/>
                <w:bCs/>
              </w:rPr>
              <w:t>$1,882.35</w:t>
            </w:r>
          </w:p>
        </w:tc>
      </w:tr>
      <w:tr w:rsidR="00DC72C8" w:rsidRPr="003714E6" w14:paraId="6E4087F0" w14:textId="77777777" w:rsidTr="003714E6">
        <w:trPr>
          <w:cantSplit/>
          <w:trHeight w:val="288"/>
        </w:trPr>
        <w:tc>
          <w:tcPr>
            <w:tcW w:w="3505" w:type="dxa"/>
            <w:noWrap/>
            <w:hideMark/>
          </w:tcPr>
          <w:p w14:paraId="038429CB" w14:textId="77777777" w:rsidR="00DC72C8" w:rsidRPr="003714E6" w:rsidRDefault="00DC72C8" w:rsidP="00C8768D">
            <w:pPr>
              <w:pStyle w:val="Tablecell"/>
              <w:keepNext w:val="0"/>
              <w:keepLines/>
            </w:pPr>
            <w:r w:rsidRPr="003714E6">
              <w:t>3,000,001 - 10,000,000 lbs.</w:t>
            </w:r>
          </w:p>
        </w:tc>
        <w:tc>
          <w:tcPr>
            <w:tcW w:w="990" w:type="dxa"/>
            <w:noWrap/>
            <w:hideMark/>
          </w:tcPr>
          <w:p w14:paraId="0044135D" w14:textId="77777777" w:rsidR="00DC72C8" w:rsidRPr="003714E6" w:rsidRDefault="00DC72C8" w:rsidP="00C8768D">
            <w:pPr>
              <w:pStyle w:val="Tablecell"/>
              <w:keepNext w:val="0"/>
              <w:keepLines/>
              <w:jc w:val="center"/>
              <w:rPr>
                <w:b/>
                <w:bCs/>
              </w:rPr>
            </w:pPr>
            <w:r w:rsidRPr="003714E6">
              <w:rPr>
                <w:b/>
                <w:bCs/>
              </w:rPr>
              <w:t>13</w:t>
            </w:r>
          </w:p>
        </w:tc>
        <w:tc>
          <w:tcPr>
            <w:tcW w:w="1800" w:type="dxa"/>
            <w:noWrap/>
            <w:hideMark/>
          </w:tcPr>
          <w:p w14:paraId="4EA77641" w14:textId="77777777" w:rsidR="00DC72C8" w:rsidRPr="003714E6" w:rsidRDefault="00DC72C8" w:rsidP="00C8768D">
            <w:pPr>
              <w:pStyle w:val="Tablecell"/>
              <w:keepNext w:val="0"/>
              <w:keepLines/>
              <w:jc w:val="center"/>
              <w:rPr>
                <w:b/>
                <w:bCs/>
              </w:rPr>
            </w:pPr>
            <w:r w:rsidRPr="003714E6">
              <w:rPr>
                <w:b/>
                <w:bCs/>
              </w:rPr>
              <w:t>$19,866.30</w:t>
            </w:r>
          </w:p>
        </w:tc>
        <w:tc>
          <w:tcPr>
            <w:tcW w:w="1980" w:type="dxa"/>
            <w:noWrap/>
            <w:hideMark/>
          </w:tcPr>
          <w:p w14:paraId="0970808C" w14:textId="77777777" w:rsidR="00DC72C8" w:rsidRPr="003714E6" w:rsidRDefault="00DC72C8" w:rsidP="00C8768D">
            <w:pPr>
              <w:pStyle w:val="Tablecell"/>
              <w:keepNext w:val="0"/>
              <w:keepLines/>
              <w:jc w:val="center"/>
              <w:rPr>
                <w:b/>
                <w:bCs/>
              </w:rPr>
            </w:pPr>
            <w:r w:rsidRPr="003714E6">
              <w:rPr>
                <w:b/>
                <w:bCs/>
              </w:rPr>
              <w:t>$5,584.67</w:t>
            </w:r>
          </w:p>
        </w:tc>
        <w:tc>
          <w:tcPr>
            <w:tcW w:w="1980" w:type="dxa"/>
            <w:noWrap/>
            <w:hideMark/>
          </w:tcPr>
          <w:p w14:paraId="3C00300F" w14:textId="77777777" w:rsidR="00DC72C8" w:rsidRPr="003714E6" w:rsidRDefault="00DC72C8" w:rsidP="00C8768D">
            <w:pPr>
              <w:pStyle w:val="Tablecell"/>
              <w:keepNext w:val="0"/>
              <w:keepLines/>
              <w:jc w:val="center"/>
              <w:rPr>
                <w:b/>
                <w:bCs/>
              </w:rPr>
            </w:pPr>
            <w:r w:rsidRPr="003714E6">
              <w:rPr>
                <w:b/>
                <w:bCs/>
              </w:rPr>
              <w:t>$14,281.64</w:t>
            </w:r>
          </w:p>
        </w:tc>
      </w:tr>
      <w:tr w:rsidR="00DC72C8" w:rsidRPr="003714E6" w14:paraId="03A90DB2" w14:textId="77777777" w:rsidTr="003714E6">
        <w:trPr>
          <w:cantSplit/>
          <w:trHeight w:val="288"/>
        </w:trPr>
        <w:tc>
          <w:tcPr>
            <w:tcW w:w="3505" w:type="dxa"/>
            <w:noWrap/>
            <w:hideMark/>
          </w:tcPr>
          <w:p w14:paraId="3CABEFE2" w14:textId="77777777" w:rsidR="00DC72C8" w:rsidRPr="003714E6" w:rsidRDefault="00DC72C8" w:rsidP="00C8768D">
            <w:pPr>
              <w:pStyle w:val="Tablecell"/>
              <w:keepNext w:val="0"/>
              <w:keepLines/>
            </w:pPr>
            <w:r w:rsidRPr="003714E6">
              <w:t>10,000,001 - 30,000,000 lbs.</w:t>
            </w:r>
          </w:p>
        </w:tc>
        <w:tc>
          <w:tcPr>
            <w:tcW w:w="990" w:type="dxa"/>
            <w:noWrap/>
            <w:hideMark/>
          </w:tcPr>
          <w:p w14:paraId="2B1E87F2" w14:textId="77777777" w:rsidR="00DC72C8" w:rsidRPr="003714E6" w:rsidRDefault="00DC72C8" w:rsidP="00C8768D">
            <w:pPr>
              <w:pStyle w:val="Tablecell"/>
              <w:keepNext w:val="0"/>
              <w:keepLines/>
              <w:jc w:val="center"/>
              <w:rPr>
                <w:b/>
                <w:bCs/>
              </w:rPr>
            </w:pPr>
            <w:r w:rsidRPr="003714E6">
              <w:rPr>
                <w:b/>
                <w:bCs/>
              </w:rPr>
              <w:t>3</w:t>
            </w:r>
          </w:p>
        </w:tc>
        <w:tc>
          <w:tcPr>
            <w:tcW w:w="1800" w:type="dxa"/>
            <w:noWrap/>
            <w:hideMark/>
          </w:tcPr>
          <w:p w14:paraId="4D521665" w14:textId="77777777" w:rsidR="00DC72C8" w:rsidRPr="003714E6" w:rsidRDefault="00DC72C8" w:rsidP="00C8768D">
            <w:pPr>
              <w:pStyle w:val="Tablecell"/>
              <w:keepNext w:val="0"/>
              <w:keepLines/>
              <w:jc w:val="center"/>
              <w:rPr>
                <w:b/>
                <w:bCs/>
              </w:rPr>
            </w:pPr>
            <w:r w:rsidRPr="003714E6">
              <w:rPr>
                <w:b/>
                <w:bCs/>
              </w:rPr>
              <w:t>$72,888.15</w:t>
            </w:r>
          </w:p>
        </w:tc>
        <w:tc>
          <w:tcPr>
            <w:tcW w:w="1980" w:type="dxa"/>
            <w:noWrap/>
            <w:hideMark/>
          </w:tcPr>
          <w:p w14:paraId="61320578" w14:textId="77777777" w:rsidR="00DC72C8" w:rsidRPr="003714E6" w:rsidRDefault="00DC72C8" w:rsidP="00C8768D">
            <w:pPr>
              <w:pStyle w:val="Tablecell"/>
              <w:keepNext w:val="0"/>
              <w:keepLines/>
              <w:jc w:val="center"/>
              <w:rPr>
                <w:b/>
                <w:bCs/>
              </w:rPr>
            </w:pPr>
            <w:r w:rsidRPr="003714E6">
              <w:rPr>
                <w:b/>
                <w:bCs/>
              </w:rPr>
              <w:t>$5,584.67</w:t>
            </w:r>
          </w:p>
        </w:tc>
        <w:tc>
          <w:tcPr>
            <w:tcW w:w="1980" w:type="dxa"/>
            <w:noWrap/>
            <w:hideMark/>
          </w:tcPr>
          <w:p w14:paraId="5708B232" w14:textId="77777777" w:rsidR="00DC72C8" w:rsidRPr="003714E6" w:rsidRDefault="00DC72C8" w:rsidP="00C8768D">
            <w:pPr>
              <w:pStyle w:val="Tablecell"/>
              <w:keepNext w:val="0"/>
              <w:keepLines/>
              <w:jc w:val="center"/>
              <w:rPr>
                <w:b/>
                <w:bCs/>
              </w:rPr>
            </w:pPr>
            <w:r w:rsidRPr="003714E6">
              <w:rPr>
                <w:b/>
                <w:bCs/>
              </w:rPr>
              <w:t>$67,303.48</w:t>
            </w:r>
          </w:p>
        </w:tc>
      </w:tr>
    </w:tbl>
    <w:p w14:paraId="2A5D857B" w14:textId="52E1CFA9" w:rsidR="00DC72C8" w:rsidRDefault="00DC72C8" w:rsidP="00C8768D">
      <w:pPr>
        <w:pStyle w:val="Caption"/>
        <w:keepNext/>
        <w:keepLines/>
        <w:spacing w:before="240"/>
      </w:pPr>
      <w:bookmarkStart w:id="44" w:name="_Toc133303726"/>
      <w:r>
        <w:lastRenderedPageBreak/>
        <w:t xml:space="preserve">Table </w:t>
      </w:r>
      <w:fldSimple w:instr=" SEQ Table \* ARABIC ">
        <w:r w:rsidR="00CA3FDB">
          <w:rPr>
            <w:noProof/>
          </w:rPr>
          <w:t>7</w:t>
        </w:r>
      </w:fldSimple>
      <w:r w:rsidR="00911CD2">
        <w:t>.</w:t>
      </w:r>
      <w:r>
        <w:t xml:space="preserve"> </w:t>
      </w:r>
      <w:r w:rsidRPr="00826477">
        <w:t>Fee impacts of rule cost distribution by plastic resin weights compared to the mean resin weight value among all producers, compared to an equal fee for each producer, based on FY 2023 fees</w:t>
      </w:r>
      <w:r w:rsidR="000F5E36">
        <w:t>.</w:t>
      </w:r>
      <w:bookmarkEnd w:id="44"/>
    </w:p>
    <w:tbl>
      <w:tblPr>
        <w:tblStyle w:val="TableGrid"/>
        <w:tblW w:w="1043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fee impacts by weight relative to mean weight"/>
      </w:tblPr>
      <w:tblGrid>
        <w:gridCol w:w="3505"/>
        <w:gridCol w:w="1219"/>
        <w:gridCol w:w="1890"/>
        <w:gridCol w:w="1980"/>
        <w:gridCol w:w="1890"/>
      </w:tblGrid>
      <w:tr w:rsidR="00DC72C8" w:rsidRPr="00BF4ADE" w14:paraId="1891465B" w14:textId="77777777" w:rsidTr="003714E6">
        <w:trPr>
          <w:cantSplit/>
          <w:trHeight w:val="288"/>
          <w:tblHeader/>
        </w:trPr>
        <w:tc>
          <w:tcPr>
            <w:tcW w:w="3505" w:type="dxa"/>
            <w:noWrap/>
            <w:hideMark/>
          </w:tcPr>
          <w:p w14:paraId="54B49A1C" w14:textId="77777777" w:rsidR="00DC72C8" w:rsidRPr="00BF4ADE" w:rsidRDefault="00DC72C8" w:rsidP="00C8768D">
            <w:pPr>
              <w:pStyle w:val="Tablecell"/>
              <w:keepLines/>
              <w:jc w:val="center"/>
            </w:pPr>
            <w:r w:rsidRPr="00BF4ADE">
              <w:t>Above/Below Mean Weight?</w:t>
            </w:r>
          </w:p>
        </w:tc>
        <w:tc>
          <w:tcPr>
            <w:tcW w:w="1170" w:type="dxa"/>
            <w:noWrap/>
            <w:hideMark/>
          </w:tcPr>
          <w:p w14:paraId="2F890B0D" w14:textId="77777777" w:rsidR="00DC72C8" w:rsidRPr="00BF4ADE" w:rsidRDefault="00DC72C8" w:rsidP="00C8768D">
            <w:pPr>
              <w:pStyle w:val="Tablecell"/>
              <w:keepLines/>
              <w:jc w:val="center"/>
            </w:pPr>
            <w:r w:rsidRPr="00BF4ADE">
              <w:t>Number of Producers</w:t>
            </w:r>
          </w:p>
        </w:tc>
        <w:tc>
          <w:tcPr>
            <w:tcW w:w="1890" w:type="dxa"/>
            <w:noWrap/>
            <w:hideMark/>
          </w:tcPr>
          <w:p w14:paraId="3779B443" w14:textId="77777777" w:rsidR="00DC72C8" w:rsidRPr="00BF4ADE" w:rsidRDefault="00DC72C8" w:rsidP="00C8768D">
            <w:pPr>
              <w:pStyle w:val="Tablecell"/>
              <w:keepLines/>
              <w:jc w:val="center"/>
            </w:pPr>
            <w:r w:rsidRPr="00BF4ADE">
              <w:t>Average Fee (Rule-Based Calculation)</w:t>
            </w:r>
          </w:p>
        </w:tc>
        <w:tc>
          <w:tcPr>
            <w:tcW w:w="1980" w:type="dxa"/>
            <w:noWrap/>
            <w:hideMark/>
          </w:tcPr>
          <w:p w14:paraId="53052D34" w14:textId="77777777" w:rsidR="00DC72C8" w:rsidRPr="00BF4ADE" w:rsidRDefault="00DC72C8" w:rsidP="00C8768D">
            <w:pPr>
              <w:pStyle w:val="Tablecell"/>
              <w:keepLines/>
              <w:jc w:val="center"/>
            </w:pPr>
            <w:r w:rsidRPr="00BF4ADE">
              <w:t>Average Fee based on Number of Producers only</w:t>
            </w:r>
          </w:p>
        </w:tc>
        <w:tc>
          <w:tcPr>
            <w:tcW w:w="1890" w:type="dxa"/>
            <w:noWrap/>
            <w:hideMark/>
          </w:tcPr>
          <w:p w14:paraId="08A40CF2" w14:textId="77777777" w:rsidR="00DC72C8" w:rsidRPr="00BF4ADE" w:rsidRDefault="00DC72C8" w:rsidP="00C8768D">
            <w:pPr>
              <w:pStyle w:val="Tablecell"/>
              <w:keepLines/>
              <w:jc w:val="center"/>
            </w:pPr>
            <w:r w:rsidRPr="00BF4ADE">
              <w:t>Average Fee Cost impact of Rule</w:t>
            </w:r>
          </w:p>
        </w:tc>
      </w:tr>
      <w:tr w:rsidR="00DC72C8" w:rsidRPr="00BF4ADE" w14:paraId="009ED224" w14:textId="77777777" w:rsidTr="00BF4ADE">
        <w:trPr>
          <w:cantSplit/>
          <w:trHeight w:val="288"/>
        </w:trPr>
        <w:tc>
          <w:tcPr>
            <w:tcW w:w="3505" w:type="dxa"/>
            <w:noWrap/>
            <w:hideMark/>
          </w:tcPr>
          <w:p w14:paraId="1844CB81" w14:textId="77777777" w:rsidR="00DC72C8" w:rsidRPr="00BF4ADE" w:rsidRDefault="00DC72C8" w:rsidP="00C8768D">
            <w:pPr>
              <w:pStyle w:val="Tablecell"/>
              <w:keepLines/>
            </w:pPr>
            <w:r w:rsidRPr="00BF4ADE">
              <w:t>Above</w:t>
            </w:r>
          </w:p>
        </w:tc>
        <w:tc>
          <w:tcPr>
            <w:tcW w:w="1170" w:type="dxa"/>
            <w:noWrap/>
            <w:hideMark/>
          </w:tcPr>
          <w:p w14:paraId="223FE16B" w14:textId="77777777" w:rsidR="00DC72C8" w:rsidRPr="00BF4ADE" w:rsidRDefault="00DC72C8" w:rsidP="00C8768D">
            <w:pPr>
              <w:pStyle w:val="Tablecell"/>
              <w:keepLines/>
              <w:jc w:val="center"/>
              <w:rPr>
                <w:b/>
                <w:bCs/>
              </w:rPr>
            </w:pPr>
            <w:r w:rsidRPr="00BF4ADE">
              <w:rPr>
                <w:b/>
                <w:bCs/>
              </w:rPr>
              <w:t>21</w:t>
            </w:r>
          </w:p>
        </w:tc>
        <w:tc>
          <w:tcPr>
            <w:tcW w:w="1890" w:type="dxa"/>
            <w:noWrap/>
            <w:hideMark/>
          </w:tcPr>
          <w:p w14:paraId="07B77947" w14:textId="77777777" w:rsidR="00DC72C8" w:rsidRPr="00BF4ADE" w:rsidRDefault="00DC72C8" w:rsidP="00C8768D">
            <w:pPr>
              <w:pStyle w:val="Tablecell"/>
              <w:keepLines/>
              <w:jc w:val="center"/>
              <w:rPr>
                <w:b/>
                <w:bCs/>
              </w:rPr>
            </w:pPr>
            <w:r w:rsidRPr="00BF4ADE">
              <w:rPr>
                <w:b/>
                <w:bCs/>
              </w:rPr>
              <w:t>$24,488.64</w:t>
            </w:r>
          </w:p>
        </w:tc>
        <w:tc>
          <w:tcPr>
            <w:tcW w:w="1980" w:type="dxa"/>
            <w:noWrap/>
            <w:hideMark/>
          </w:tcPr>
          <w:p w14:paraId="24B43D23" w14:textId="77777777" w:rsidR="00DC72C8" w:rsidRPr="00BF4ADE" w:rsidRDefault="00DC72C8" w:rsidP="00C8768D">
            <w:pPr>
              <w:pStyle w:val="Tablecell"/>
              <w:keepLines/>
              <w:jc w:val="center"/>
              <w:rPr>
                <w:b/>
                <w:bCs/>
              </w:rPr>
            </w:pPr>
            <w:r w:rsidRPr="00BF4ADE">
              <w:rPr>
                <w:b/>
                <w:bCs/>
              </w:rPr>
              <w:t>$5,584.67</w:t>
            </w:r>
          </w:p>
        </w:tc>
        <w:tc>
          <w:tcPr>
            <w:tcW w:w="1890" w:type="dxa"/>
            <w:noWrap/>
            <w:hideMark/>
          </w:tcPr>
          <w:p w14:paraId="319A1EDD" w14:textId="77777777" w:rsidR="00DC72C8" w:rsidRPr="00BF4ADE" w:rsidRDefault="00DC72C8" w:rsidP="00C8768D">
            <w:pPr>
              <w:pStyle w:val="Tablecell"/>
              <w:keepLines/>
              <w:jc w:val="center"/>
              <w:rPr>
                <w:b/>
                <w:bCs/>
              </w:rPr>
            </w:pPr>
            <w:r w:rsidRPr="00BF4ADE">
              <w:rPr>
                <w:b/>
                <w:bCs/>
              </w:rPr>
              <w:t>$18,903.97</w:t>
            </w:r>
          </w:p>
        </w:tc>
      </w:tr>
      <w:tr w:rsidR="00DC72C8" w:rsidRPr="00BF4ADE" w14:paraId="42148FAE" w14:textId="77777777" w:rsidTr="00BF4ADE">
        <w:trPr>
          <w:cantSplit/>
          <w:trHeight w:val="288"/>
        </w:trPr>
        <w:tc>
          <w:tcPr>
            <w:tcW w:w="3505" w:type="dxa"/>
            <w:noWrap/>
            <w:hideMark/>
          </w:tcPr>
          <w:p w14:paraId="67F057FD" w14:textId="77777777" w:rsidR="00DC72C8" w:rsidRPr="00BF4ADE" w:rsidRDefault="00DC72C8" w:rsidP="00C8768D">
            <w:pPr>
              <w:pStyle w:val="Tablecell"/>
              <w:keepLines/>
            </w:pPr>
            <w:r w:rsidRPr="00BF4ADE">
              <w:t>Below</w:t>
            </w:r>
          </w:p>
        </w:tc>
        <w:tc>
          <w:tcPr>
            <w:tcW w:w="1170" w:type="dxa"/>
            <w:noWrap/>
            <w:hideMark/>
          </w:tcPr>
          <w:p w14:paraId="0A6C657F" w14:textId="77777777" w:rsidR="00DC72C8" w:rsidRPr="00BF4ADE" w:rsidRDefault="00DC72C8" w:rsidP="00C8768D">
            <w:pPr>
              <w:pStyle w:val="Tablecell"/>
              <w:keepLines/>
              <w:jc w:val="center"/>
              <w:rPr>
                <w:b/>
                <w:bCs/>
              </w:rPr>
            </w:pPr>
            <w:r w:rsidRPr="00BF4ADE">
              <w:rPr>
                <w:b/>
                <w:bCs/>
              </w:rPr>
              <w:t>87</w:t>
            </w:r>
          </w:p>
        </w:tc>
        <w:tc>
          <w:tcPr>
            <w:tcW w:w="1890" w:type="dxa"/>
            <w:noWrap/>
            <w:hideMark/>
          </w:tcPr>
          <w:p w14:paraId="7B7E7D3E" w14:textId="77777777" w:rsidR="00DC72C8" w:rsidRPr="00BF4ADE" w:rsidRDefault="00DC72C8" w:rsidP="00C8768D">
            <w:pPr>
              <w:pStyle w:val="Tablecell"/>
              <w:keepLines/>
              <w:jc w:val="center"/>
              <w:rPr>
                <w:b/>
                <w:bCs/>
              </w:rPr>
            </w:pPr>
            <w:r w:rsidRPr="00BF4ADE">
              <w:rPr>
                <w:b/>
                <w:bCs/>
              </w:rPr>
              <w:t>$1,021.64</w:t>
            </w:r>
          </w:p>
        </w:tc>
        <w:tc>
          <w:tcPr>
            <w:tcW w:w="1980" w:type="dxa"/>
            <w:noWrap/>
            <w:hideMark/>
          </w:tcPr>
          <w:p w14:paraId="3E97B7FF" w14:textId="77777777" w:rsidR="00DC72C8" w:rsidRPr="00BF4ADE" w:rsidRDefault="00DC72C8" w:rsidP="00C8768D">
            <w:pPr>
              <w:pStyle w:val="Tablecell"/>
              <w:keepLines/>
              <w:jc w:val="center"/>
              <w:rPr>
                <w:b/>
                <w:bCs/>
              </w:rPr>
            </w:pPr>
            <w:r w:rsidRPr="00BF4ADE">
              <w:rPr>
                <w:b/>
                <w:bCs/>
              </w:rPr>
              <w:t>$5,584.67</w:t>
            </w:r>
          </w:p>
        </w:tc>
        <w:tc>
          <w:tcPr>
            <w:tcW w:w="1890" w:type="dxa"/>
            <w:noWrap/>
            <w:hideMark/>
          </w:tcPr>
          <w:p w14:paraId="5D7A90DE" w14:textId="77777777" w:rsidR="00DC72C8" w:rsidRPr="00BF4ADE" w:rsidRDefault="00DC72C8" w:rsidP="00C8768D">
            <w:pPr>
              <w:pStyle w:val="Tablecell"/>
              <w:keepLines/>
              <w:jc w:val="center"/>
              <w:rPr>
                <w:b/>
                <w:bCs/>
              </w:rPr>
            </w:pPr>
            <w:r w:rsidRPr="00BF4ADE">
              <w:rPr>
                <w:b/>
                <w:bCs/>
              </w:rPr>
              <w:t>-$4,563.03</w:t>
            </w:r>
          </w:p>
        </w:tc>
      </w:tr>
    </w:tbl>
    <w:p w14:paraId="41CE2493" w14:textId="70A5ADD5" w:rsidR="00A3453C" w:rsidRDefault="00C864A2" w:rsidP="00702356">
      <w:pPr>
        <w:pStyle w:val="Paragraph"/>
        <w:spacing w:before="240"/>
      </w:pPr>
      <w:r>
        <w:t>Based on total annual costs of approximately $</w:t>
      </w:r>
      <w:r w:rsidR="00A3453C">
        <w:t xml:space="preserve">664,944 from the fiscal note, the following tables summarize the cost impacts of the rule-based fee distribution, assuming the same set of producers and resin weight from the FY 2023 fee calculations.  </w:t>
      </w:r>
    </w:p>
    <w:p w14:paraId="0B97323F" w14:textId="4F551ECD" w:rsidR="00A3453C" w:rsidRPr="003706B1" w:rsidRDefault="00A3453C" w:rsidP="003706B1">
      <w:pPr>
        <w:pStyle w:val="Caption"/>
        <w:keepNext/>
        <w:keepLines/>
        <w:spacing w:before="240"/>
      </w:pPr>
      <w:bookmarkStart w:id="45" w:name="_Toc133303727"/>
      <w:r w:rsidRPr="003706B1">
        <w:t xml:space="preserve">Table </w:t>
      </w:r>
      <w:fldSimple w:instr=" SEQ Table \* ARABIC ">
        <w:r w:rsidR="00CA3FDB" w:rsidRPr="003706B1">
          <w:rPr>
            <w:noProof/>
          </w:rPr>
          <w:t>8</w:t>
        </w:r>
      </w:fldSimple>
      <w:r w:rsidR="00911CD2" w:rsidRPr="003706B1">
        <w:t>.</w:t>
      </w:r>
      <w:r w:rsidRPr="003706B1">
        <w:t xml:space="preserve"> Fee impacts of rule cost distribution by registered plastic resin weight ranges, compared to an equal fee for each producer, based on ongoing annual cost estimates from the fiscal note</w:t>
      </w:r>
      <w:r w:rsidR="00B74503" w:rsidRPr="003706B1">
        <w:t>.</w:t>
      </w:r>
      <w:bookmarkEnd w:id="45"/>
    </w:p>
    <w:tbl>
      <w:tblPr>
        <w:tblStyle w:val="TableGrid"/>
        <w:tblW w:w="1048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fee impact by resin weight category"/>
      </w:tblPr>
      <w:tblGrid>
        <w:gridCol w:w="3505"/>
        <w:gridCol w:w="1440"/>
        <w:gridCol w:w="1578"/>
        <w:gridCol w:w="1980"/>
        <w:gridCol w:w="1980"/>
      </w:tblGrid>
      <w:tr w:rsidR="00A3453C" w:rsidRPr="003706B1" w14:paraId="3DEE93C9" w14:textId="77777777" w:rsidTr="003706B1">
        <w:trPr>
          <w:cantSplit/>
          <w:trHeight w:val="288"/>
          <w:tblHeader/>
        </w:trPr>
        <w:tc>
          <w:tcPr>
            <w:tcW w:w="3505" w:type="dxa"/>
            <w:noWrap/>
            <w:hideMark/>
          </w:tcPr>
          <w:p w14:paraId="5E1AA904" w14:textId="77777777" w:rsidR="00A3453C" w:rsidRPr="003706B1" w:rsidRDefault="00A3453C" w:rsidP="003706B1">
            <w:pPr>
              <w:pStyle w:val="Tablecell"/>
              <w:keepLines/>
              <w:jc w:val="center"/>
            </w:pPr>
            <w:r w:rsidRPr="003706B1">
              <w:t>Total Plastic Resin Weight Range</w:t>
            </w:r>
          </w:p>
        </w:tc>
        <w:tc>
          <w:tcPr>
            <w:tcW w:w="1440" w:type="dxa"/>
            <w:noWrap/>
            <w:hideMark/>
          </w:tcPr>
          <w:p w14:paraId="3FD2E81A" w14:textId="77777777" w:rsidR="00A3453C" w:rsidRPr="003706B1" w:rsidRDefault="00A3453C" w:rsidP="003706B1">
            <w:pPr>
              <w:pStyle w:val="Tablecell"/>
              <w:keepLines/>
              <w:jc w:val="center"/>
            </w:pPr>
            <w:r w:rsidRPr="003706B1">
              <w:t>Number of Producers in Range</w:t>
            </w:r>
          </w:p>
        </w:tc>
        <w:tc>
          <w:tcPr>
            <w:tcW w:w="1578" w:type="dxa"/>
            <w:noWrap/>
            <w:hideMark/>
          </w:tcPr>
          <w:p w14:paraId="191F0BA2" w14:textId="77777777" w:rsidR="00A3453C" w:rsidRPr="003706B1" w:rsidRDefault="00A3453C" w:rsidP="003706B1">
            <w:pPr>
              <w:pStyle w:val="Tablecell"/>
              <w:keepLines/>
              <w:jc w:val="center"/>
            </w:pPr>
            <w:r w:rsidRPr="003706B1">
              <w:t>Average Fee (Rule-Based Calculation)</w:t>
            </w:r>
          </w:p>
        </w:tc>
        <w:tc>
          <w:tcPr>
            <w:tcW w:w="1980" w:type="dxa"/>
            <w:noWrap/>
            <w:hideMark/>
          </w:tcPr>
          <w:p w14:paraId="570E05B0" w14:textId="77777777" w:rsidR="00A3453C" w:rsidRPr="003706B1" w:rsidRDefault="00A3453C" w:rsidP="003706B1">
            <w:pPr>
              <w:pStyle w:val="Tablecell"/>
              <w:keepLines/>
              <w:jc w:val="center"/>
            </w:pPr>
            <w:r w:rsidRPr="003706B1">
              <w:t>Average Fee based on Number of Producers only</w:t>
            </w:r>
          </w:p>
        </w:tc>
        <w:tc>
          <w:tcPr>
            <w:tcW w:w="1980" w:type="dxa"/>
            <w:noWrap/>
            <w:hideMark/>
          </w:tcPr>
          <w:p w14:paraId="4FFD27D9" w14:textId="77777777" w:rsidR="00A3453C" w:rsidRPr="003706B1" w:rsidRDefault="00A3453C" w:rsidP="003706B1">
            <w:pPr>
              <w:pStyle w:val="Tablecell"/>
              <w:keepLines/>
              <w:jc w:val="center"/>
            </w:pPr>
            <w:r w:rsidRPr="003706B1">
              <w:t>Average Fee Cost impact of Rule</w:t>
            </w:r>
          </w:p>
        </w:tc>
      </w:tr>
      <w:tr w:rsidR="00A3453C" w:rsidRPr="003706B1" w14:paraId="06478EE6" w14:textId="77777777" w:rsidTr="003706B1">
        <w:trPr>
          <w:cantSplit/>
          <w:trHeight w:val="288"/>
        </w:trPr>
        <w:tc>
          <w:tcPr>
            <w:tcW w:w="3505" w:type="dxa"/>
            <w:noWrap/>
            <w:hideMark/>
          </w:tcPr>
          <w:p w14:paraId="04A86BB3" w14:textId="77777777" w:rsidR="00A3453C" w:rsidRPr="003706B1" w:rsidRDefault="00A3453C" w:rsidP="003706B1">
            <w:pPr>
              <w:pStyle w:val="Tablecell"/>
              <w:keepLines/>
            </w:pPr>
            <w:r w:rsidRPr="003706B1">
              <w:t>2,001 - 200,000 lbs.</w:t>
            </w:r>
          </w:p>
        </w:tc>
        <w:tc>
          <w:tcPr>
            <w:tcW w:w="1440" w:type="dxa"/>
            <w:noWrap/>
            <w:hideMark/>
          </w:tcPr>
          <w:p w14:paraId="4C387829" w14:textId="77777777" w:rsidR="00A3453C" w:rsidRPr="003706B1" w:rsidRDefault="00A3453C" w:rsidP="003706B1">
            <w:pPr>
              <w:pStyle w:val="Tablecell"/>
              <w:keepLines/>
              <w:jc w:val="center"/>
              <w:rPr>
                <w:b/>
                <w:bCs/>
              </w:rPr>
            </w:pPr>
            <w:r w:rsidRPr="003706B1">
              <w:rPr>
                <w:b/>
                <w:bCs/>
              </w:rPr>
              <w:t>50</w:t>
            </w:r>
          </w:p>
        </w:tc>
        <w:tc>
          <w:tcPr>
            <w:tcW w:w="1578" w:type="dxa"/>
            <w:noWrap/>
            <w:hideMark/>
          </w:tcPr>
          <w:p w14:paraId="2D669756" w14:textId="6AA96CE7" w:rsidR="00A3453C" w:rsidRPr="003706B1" w:rsidRDefault="00A3453C" w:rsidP="003706B1">
            <w:pPr>
              <w:pStyle w:val="Tablecell"/>
              <w:keepLines/>
              <w:jc w:val="center"/>
              <w:rPr>
                <w:b/>
                <w:bCs/>
              </w:rPr>
            </w:pPr>
            <w:r w:rsidRPr="003706B1">
              <w:rPr>
                <w:b/>
                <w:bCs/>
              </w:rPr>
              <w:t>$200.47</w:t>
            </w:r>
          </w:p>
        </w:tc>
        <w:tc>
          <w:tcPr>
            <w:tcW w:w="1980" w:type="dxa"/>
            <w:noWrap/>
            <w:hideMark/>
          </w:tcPr>
          <w:p w14:paraId="53C87AEF" w14:textId="74EFA4CB" w:rsidR="00A3453C" w:rsidRPr="003706B1" w:rsidRDefault="00A3453C" w:rsidP="003706B1">
            <w:pPr>
              <w:pStyle w:val="Tablecell"/>
              <w:keepLines/>
              <w:jc w:val="center"/>
              <w:rPr>
                <w:b/>
                <w:bCs/>
              </w:rPr>
            </w:pPr>
            <w:r w:rsidRPr="003706B1">
              <w:rPr>
                <w:b/>
                <w:bCs/>
              </w:rPr>
              <w:t>$6,156.89</w:t>
            </w:r>
          </w:p>
        </w:tc>
        <w:tc>
          <w:tcPr>
            <w:tcW w:w="1980" w:type="dxa"/>
            <w:noWrap/>
            <w:hideMark/>
          </w:tcPr>
          <w:p w14:paraId="4D21019C" w14:textId="017FC850" w:rsidR="00A3453C" w:rsidRPr="003706B1" w:rsidRDefault="00A3453C" w:rsidP="003706B1">
            <w:pPr>
              <w:pStyle w:val="Tablecell"/>
              <w:keepLines/>
              <w:jc w:val="center"/>
              <w:rPr>
                <w:b/>
                <w:bCs/>
              </w:rPr>
            </w:pPr>
            <w:r w:rsidRPr="003706B1">
              <w:rPr>
                <w:b/>
                <w:bCs/>
              </w:rPr>
              <w:t>-$5,956.42</w:t>
            </w:r>
          </w:p>
        </w:tc>
      </w:tr>
      <w:tr w:rsidR="00A3453C" w:rsidRPr="003706B1" w14:paraId="031BCE96" w14:textId="77777777" w:rsidTr="003706B1">
        <w:trPr>
          <w:cantSplit/>
          <w:trHeight w:val="288"/>
        </w:trPr>
        <w:tc>
          <w:tcPr>
            <w:tcW w:w="3505" w:type="dxa"/>
            <w:noWrap/>
            <w:hideMark/>
          </w:tcPr>
          <w:p w14:paraId="0241BD23" w14:textId="77777777" w:rsidR="00A3453C" w:rsidRPr="003706B1" w:rsidRDefault="00A3453C" w:rsidP="003706B1">
            <w:pPr>
              <w:pStyle w:val="Tablecell"/>
              <w:keepLines/>
            </w:pPr>
            <w:r w:rsidRPr="003706B1">
              <w:t>200,001 - 500,000 lbs.</w:t>
            </w:r>
          </w:p>
        </w:tc>
        <w:tc>
          <w:tcPr>
            <w:tcW w:w="1440" w:type="dxa"/>
            <w:noWrap/>
            <w:hideMark/>
          </w:tcPr>
          <w:p w14:paraId="2F01A84E" w14:textId="77777777" w:rsidR="00A3453C" w:rsidRPr="003706B1" w:rsidRDefault="00A3453C" w:rsidP="003706B1">
            <w:pPr>
              <w:pStyle w:val="Tablecell"/>
              <w:keepLines/>
              <w:jc w:val="center"/>
              <w:rPr>
                <w:b/>
                <w:bCs/>
              </w:rPr>
            </w:pPr>
            <w:r w:rsidRPr="003706B1">
              <w:rPr>
                <w:b/>
                <w:bCs/>
              </w:rPr>
              <w:t>16</w:t>
            </w:r>
          </w:p>
        </w:tc>
        <w:tc>
          <w:tcPr>
            <w:tcW w:w="1578" w:type="dxa"/>
            <w:noWrap/>
            <w:hideMark/>
          </w:tcPr>
          <w:p w14:paraId="6DA281D7" w14:textId="585821C3" w:rsidR="00A3453C" w:rsidRPr="003706B1" w:rsidRDefault="00A3453C" w:rsidP="003706B1">
            <w:pPr>
              <w:pStyle w:val="Tablecell"/>
              <w:keepLines/>
              <w:jc w:val="center"/>
              <w:rPr>
                <w:b/>
                <w:bCs/>
              </w:rPr>
            </w:pPr>
            <w:r w:rsidRPr="003706B1">
              <w:rPr>
                <w:b/>
                <w:bCs/>
              </w:rPr>
              <w:t>$1,110.48</w:t>
            </w:r>
          </w:p>
        </w:tc>
        <w:tc>
          <w:tcPr>
            <w:tcW w:w="1980" w:type="dxa"/>
            <w:noWrap/>
            <w:hideMark/>
          </w:tcPr>
          <w:p w14:paraId="0E5C0D38" w14:textId="47E1E2CB" w:rsidR="00A3453C" w:rsidRPr="003706B1" w:rsidRDefault="00A3453C" w:rsidP="003706B1">
            <w:pPr>
              <w:pStyle w:val="Tablecell"/>
              <w:keepLines/>
              <w:jc w:val="center"/>
              <w:rPr>
                <w:b/>
                <w:bCs/>
              </w:rPr>
            </w:pPr>
            <w:r w:rsidRPr="003706B1">
              <w:rPr>
                <w:b/>
                <w:bCs/>
              </w:rPr>
              <w:t>$6,156.89</w:t>
            </w:r>
          </w:p>
        </w:tc>
        <w:tc>
          <w:tcPr>
            <w:tcW w:w="1980" w:type="dxa"/>
            <w:noWrap/>
            <w:hideMark/>
          </w:tcPr>
          <w:p w14:paraId="7C73D769" w14:textId="39000726" w:rsidR="00A3453C" w:rsidRPr="003706B1" w:rsidRDefault="00A3453C" w:rsidP="003706B1">
            <w:pPr>
              <w:pStyle w:val="Tablecell"/>
              <w:keepLines/>
              <w:jc w:val="center"/>
              <w:rPr>
                <w:b/>
                <w:bCs/>
              </w:rPr>
            </w:pPr>
            <w:r w:rsidRPr="003706B1">
              <w:rPr>
                <w:b/>
                <w:bCs/>
              </w:rPr>
              <w:t>-$5,046.41</w:t>
            </w:r>
          </w:p>
        </w:tc>
      </w:tr>
      <w:tr w:rsidR="00A3453C" w:rsidRPr="003706B1" w14:paraId="2A9541EE" w14:textId="77777777" w:rsidTr="003706B1">
        <w:trPr>
          <w:cantSplit/>
          <w:trHeight w:val="288"/>
        </w:trPr>
        <w:tc>
          <w:tcPr>
            <w:tcW w:w="3505" w:type="dxa"/>
            <w:noWrap/>
            <w:hideMark/>
          </w:tcPr>
          <w:p w14:paraId="5CD0F249" w14:textId="77777777" w:rsidR="00A3453C" w:rsidRPr="003706B1" w:rsidRDefault="00A3453C" w:rsidP="003706B1">
            <w:pPr>
              <w:pStyle w:val="Tablecell"/>
              <w:keepLines/>
            </w:pPr>
            <w:r w:rsidRPr="003706B1">
              <w:t>500,001 - 1,000,000 lbs.</w:t>
            </w:r>
          </w:p>
        </w:tc>
        <w:tc>
          <w:tcPr>
            <w:tcW w:w="1440" w:type="dxa"/>
            <w:noWrap/>
            <w:hideMark/>
          </w:tcPr>
          <w:p w14:paraId="56EBB14A" w14:textId="77777777" w:rsidR="00A3453C" w:rsidRPr="003706B1" w:rsidRDefault="00A3453C" w:rsidP="003706B1">
            <w:pPr>
              <w:pStyle w:val="Tablecell"/>
              <w:keepLines/>
              <w:jc w:val="center"/>
              <w:rPr>
                <w:b/>
                <w:bCs/>
              </w:rPr>
            </w:pPr>
            <w:r w:rsidRPr="003706B1">
              <w:rPr>
                <w:b/>
                <w:bCs/>
              </w:rPr>
              <w:t>13</w:t>
            </w:r>
          </w:p>
        </w:tc>
        <w:tc>
          <w:tcPr>
            <w:tcW w:w="1578" w:type="dxa"/>
            <w:noWrap/>
            <w:hideMark/>
          </w:tcPr>
          <w:p w14:paraId="2AFD3B67" w14:textId="2CD7B61A" w:rsidR="00A3453C" w:rsidRPr="003706B1" w:rsidRDefault="00A3453C" w:rsidP="003706B1">
            <w:pPr>
              <w:pStyle w:val="Tablecell"/>
              <w:keepLines/>
              <w:jc w:val="center"/>
              <w:rPr>
                <w:b/>
                <w:bCs/>
              </w:rPr>
            </w:pPr>
            <w:r w:rsidRPr="003706B1">
              <w:rPr>
                <w:b/>
                <w:bCs/>
              </w:rPr>
              <w:t>$2,409.85</w:t>
            </w:r>
          </w:p>
        </w:tc>
        <w:tc>
          <w:tcPr>
            <w:tcW w:w="1980" w:type="dxa"/>
            <w:noWrap/>
            <w:hideMark/>
          </w:tcPr>
          <w:p w14:paraId="4FDC97E3" w14:textId="2CECCF13" w:rsidR="00A3453C" w:rsidRPr="003706B1" w:rsidRDefault="00A3453C" w:rsidP="003706B1">
            <w:pPr>
              <w:pStyle w:val="Tablecell"/>
              <w:keepLines/>
              <w:jc w:val="center"/>
              <w:rPr>
                <w:b/>
                <w:bCs/>
              </w:rPr>
            </w:pPr>
            <w:r w:rsidRPr="003706B1">
              <w:rPr>
                <w:b/>
                <w:bCs/>
              </w:rPr>
              <w:t>$6,156.89</w:t>
            </w:r>
          </w:p>
        </w:tc>
        <w:tc>
          <w:tcPr>
            <w:tcW w:w="1980" w:type="dxa"/>
            <w:noWrap/>
            <w:hideMark/>
          </w:tcPr>
          <w:p w14:paraId="5CBBC584" w14:textId="4B812FF1" w:rsidR="00A3453C" w:rsidRPr="003706B1" w:rsidRDefault="00A3453C" w:rsidP="003706B1">
            <w:pPr>
              <w:pStyle w:val="Tablecell"/>
              <w:keepLines/>
              <w:jc w:val="center"/>
              <w:rPr>
                <w:b/>
                <w:bCs/>
              </w:rPr>
            </w:pPr>
            <w:r w:rsidRPr="003706B1">
              <w:rPr>
                <w:b/>
                <w:bCs/>
              </w:rPr>
              <w:t>-$3,747.04</w:t>
            </w:r>
          </w:p>
        </w:tc>
      </w:tr>
      <w:tr w:rsidR="00A3453C" w:rsidRPr="003706B1" w14:paraId="53808D45" w14:textId="77777777" w:rsidTr="003706B1">
        <w:trPr>
          <w:cantSplit/>
          <w:trHeight w:val="288"/>
        </w:trPr>
        <w:tc>
          <w:tcPr>
            <w:tcW w:w="3505" w:type="dxa"/>
            <w:noWrap/>
            <w:hideMark/>
          </w:tcPr>
          <w:p w14:paraId="3B0F0D4B" w14:textId="77777777" w:rsidR="00A3453C" w:rsidRPr="003706B1" w:rsidRDefault="00A3453C" w:rsidP="003706B1">
            <w:pPr>
              <w:pStyle w:val="Tablecell"/>
              <w:keepLines/>
            </w:pPr>
            <w:r w:rsidRPr="003706B1">
              <w:t>1,000,001 - 1,500,000 lbs.</w:t>
            </w:r>
          </w:p>
        </w:tc>
        <w:tc>
          <w:tcPr>
            <w:tcW w:w="1440" w:type="dxa"/>
            <w:noWrap/>
            <w:hideMark/>
          </w:tcPr>
          <w:p w14:paraId="4B7DDB2D" w14:textId="77777777" w:rsidR="00A3453C" w:rsidRPr="003706B1" w:rsidRDefault="00A3453C" w:rsidP="003706B1">
            <w:pPr>
              <w:pStyle w:val="Tablecell"/>
              <w:keepLines/>
              <w:jc w:val="center"/>
              <w:rPr>
                <w:b/>
                <w:bCs/>
              </w:rPr>
            </w:pPr>
            <w:r w:rsidRPr="003706B1">
              <w:rPr>
                <w:b/>
                <w:bCs/>
              </w:rPr>
              <w:t>5</w:t>
            </w:r>
          </w:p>
        </w:tc>
        <w:tc>
          <w:tcPr>
            <w:tcW w:w="1578" w:type="dxa"/>
            <w:noWrap/>
            <w:hideMark/>
          </w:tcPr>
          <w:p w14:paraId="364E1A86" w14:textId="7BE99664" w:rsidR="00A3453C" w:rsidRPr="003706B1" w:rsidRDefault="00A3453C" w:rsidP="003706B1">
            <w:pPr>
              <w:pStyle w:val="Tablecell"/>
              <w:keepLines/>
              <w:jc w:val="center"/>
              <w:rPr>
                <w:b/>
                <w:bCs/>
              </w:rPr>
            </w:pPr>
            <w:r w:rsidRPr="003706B1">
              <w:rPr>
                <w:b/>
                <w:bCs/>
              </w:rPr>
              <w:t>$4,593.92</w:t>
            </w:r>
          </w:p>
        </w:tc>
        <w:tc>
          <w:tcPr>
            <w:tcW w:w="1980" w:type="dxa"/>
            <w:noWrap/>
            <w:hideMark/>
          </w:tcPr>
          <w:p w14:paraId="6D5C63F7" w14:textId="423A97C7" w:rsidR="00A3453C" w:rsidRPr="003706B1" w:rsidRDefault="00A3453C" w:rsidP="003706B1">
            <w:pPr>
              <w:pStyle w:val="Tablecell"/>
              <w:keepLines/>
              <w:jc w:val="center"/>
              <w:rPr>
                <w:b/>
                <w:bCs/>
              </w:rPr>
            </w:pPr>
            <w:r w:rsidRPr="003706B1">
              <w:rPr>
                <w:b/>
                <w:bCs/>
              </w:rPr>
              <w:t>$6,156.89</w:t>
            </w:r>
          </w:p>
        </w:tc>
        <w:tc>
          <w:tcPr>
            <w:tcW w:w="1980" w:type="dxa"/>
            <w:noWrap/>
            <w:hideMark/>
          </w:tcPr>
          <w:p w14:paraId="0C73DA0B" w14:textId="37822CF3" w:rsidR="00A3453C" w:rsidRPr="003706B1" w:rsidRDefault="00A3453C" w:rsidP="003706B1">
            <w:pPr>
              <w:pStyle w:val="Tablecell"/>
              <w:keepLines/>
              <w:jc w:val="center"/>
              <w:rPr>
                <w:b/>
                <w:bCs/>
              </w:rPr>
            </w:pPr>
            <w:r w:rsidRPr="003706B1">
              <w:rPr>
                <w:b/>
                <w:bCs/>
              </w:rPr>
              <w:t>-$1,562.97</w:t>
            </w:r>
          </w:p>
        </w:tc>
      </w:tr>
      <w:tr w:rsidR="00A3453C" w:rsidRPr="003706B1" w14:paraId="3081FAC5" w14:textId="77777777" w:rsidTr="003706B1">
        <w:trPr>
          <w:cantSplit/>
          <w:trHeight w:val="288"/>
        </w:trPr>
        <w:tc>
          <w:tcPr>
            <w:tcW w:w="3505" w:type="dxa"/>
            <w:noWrap/>
            <w:hideMark/>
          </w:tcPr>
          <w:p w14:paraId="05B86F87" w14:textId="77777777" w:rsidR="00A3453C" w:rsidRPr="003706B1" w:rsidRDefault="00A3453C" w:rsidP="003706B1">
            <w:pPr>
              <w:pStyle w:val="Tablecell"/>
              <w:keepLines/>
            </w:pPr>
            <w:r w:rsidRPr="003706B1">
              <w:t>1,500,001 - 2,000,000 lbs.</w:t>
            </w:r>
          </w:p>
        </w:tc>
        <w:tc>
          <w:tcPr>
            <w:tcW w:w="1440" w:type="dxa"/>
            <w:noWrap/>
            <w:hideMark/>
          </w:tcPr>
          <w:p w14:paraId="0F9B5142" w14:textId="77777777" w:rsidR="00A3453C" w:rsidRPr="003706B1" w:rsidRDefault="00A3453C" w:rsidP="003706B1">
            <w:pPr>
              <w:pStyle w:val="Tablecell"/>
              <w:keepLines/>
              <w:jc w:val="center"/>
              <w:rPr>
                <w:b/>
                <w:bCs/>
              </w:rPr>
            </w:pPr>
            <w:r w:rsidRPr="003706B1">
              <w:rPr>
                <w:b/>
                <w:bCs/>
              </w:rPr>
              <w:t>3</w:t>
            </w:r>
          </w:p>
        </w:tc>
        <w:tc>
          <w:tcPr>
            <w:tcW w:w="1578" w:type="dxa"/>
            <w:noWrap/>
            <w:hideMark/>
          </w:tcPr>
          <w:p w14:paraId="548901D4" w14:textId="4EF379C0" w:rsidR="00A3453C" w:rsidRPr="003706B1" w:rsidRDefault="00A3453C" w:rsidP="003706B1">
            <w:pPr>
              <w:pStyle w:val="Tablecell"/>
              <w:keepLines/>
              <w:jc w:val="center"/>
              <w:rPr>
                <w:b/>
                <w:bCs/>
              </w:rPr>
            </w:pPr>
            <w:r w:rsidRPr="003706B1">
              <w:rPr>
                <w:b/>
                <w:bCs/>
              </w:rPr>
              <w:t>$5,300.30</w:t>
            </w:r>
          </w:p>
        </w:tc>
        <w:tc>
          <w:tcPr>
            <w:tcW w:w="1980" w:type="dxa"/>
            <w:noWrap/>
            <w:hideMark/>
          </w:tcPr>
          <w:p w14:paraId="27180C57" w14:textId="2EE4ADCB" w:rsidR="00A3453C" w:rsidRPr="003706B1" w:rsidRDefault="00A3453C" w:rsidP="003706B1">
            <w:pPr>
              <w:pStyle w:val="Tablecell"/>
              <w:keepLines/>
              <w:jc w:val="center"/>
              <w:rPr>
                <w:b/>
                <w:bCs/>
              </w:rPr>
            </w:pPr>
            <w:r w:rsidRPr="003706B1">
              <w:rPr>
                <w:b/>
                <w:bCs/>
              </w:rPr>
              <w:t>$6,156.89</w:t>
            </w:r>
          </w:p>
        </w:tc>
        <w:tc>
          <w:tcPr>
            <w:tcW w:w="1980" w:type="dxa"/>
            <w:noWrap/>
            <w:hideMark/>
          </w:tcPr>
          <w:p w14:paraId="609E35C7" w14:textId="197EAA4B" w:rsidR="00A3453C" w:rsidRPr="003706B1" w:rsidRDefault="00A3453C" w:rsidP="003706B1">
            <w:pPr>
              <w:pStyle w:val="Tablecell"/>
              <w:keepLines/>
              <w:jc w:val="center"/>
              <w:rPr>
                <w:b/>
                <w:bCs/>
              </w:rPr>
            </w:pPr>
            <w:r w:rsidRPr="003706B1">
              <w:rPr>
                <w:b/>
                <w:bCs/>
              </w:rPr>
              <w:t>-$856.59</w:t>
            </w:r>
          </w:p>
        </w:tc>
      </w:tr>
      <w:tr w:rsidR="00A3453C" w:rsidRPr="003706B1" w14:paraId="44996CAD" w14:textId="77777777" w:rsidTr="003706B1">
        <w:trPr>
          <w:cantSplit/>
          <w:trHeight w:val="288"/>
        </w:trPr>
        <w:tc>
          <w:tcPr>
            <w:tcW w:w="3505" w:type="dxa"/>
            <w:noWrap/>
            <w:hideMark/>
          </w:tcPr>
          <w:p w14:paraId="057E2B7D" w14:textId="77777777" w:rsidR="00A3453C" w:rsidRPr="003706B1" w:rsidRDefault="00A3453C" w:rsidP="003706B1">
            <w:pPr>
              <w:pStyle w:val="Tablecell"/>
              <w:keepLines/>
            </w:pPr>
            <w:r w:rsidRPr="003706B1">
              <w:t>2,000,001 - 3,000,000 lbs.</w:t>
            </w:r>
          </w:p>
        </w:tc>
        <w:tc>
          <w:tcPr>
            <w:tcW w:w="1440" w:type="dxa"/>
            <w:noWrap/>
            <w:hideMark/>
          </w:tcPr>
          <w:p w14:paraId="54571EAB" w14:textId="77777777" w:rsidR="00A3453C" w:rsidRPr="003706B1" w:rsidRDefault="00A3453C" w:rsidP="003706B1">
            <w:pPr>
              <w:pStyle w:val="Tablecell"/>
              <w:keepLines/>
              <w:jc w:val="center"/>
              <w:rPr>
                <w:b/>
                <w:bCs/>
              </w:rPr>
            </w:pPr>
            <w:r w:rsidRPr="003706B1">
              <w:rPr>
                <w:b/>
                <w:bCs/>
              </w:rPr>
              <w:t>5</w:t>
            </w:r>
          </w:p>
        </w:tc>
        <w:tc>
          <w:tcPr>
            <w:tcW w:w="1578" w:type="dxa"/>
            <w:noWrap/>
            <w:hideMark/>
          </w:tcPr>
          <w:p w14:paraId="2D40722B" w14:textId="61F10C87" w:rsidR="00A3453C" w:rsidRPr="003706B1" w:rsidRDefault="00A3453C" w:rsidP="003706B1">
            <w:pPr>
              <w:pStyle w:val="Tablecell"/>
              <w:keepLines/>
              <w:jc w:val="center"/>
              <w:rPr>
                <w:b/>
                <w:bCs/>
              </w:rPr>
            </w:pPr>
            <w:r w:rsidRPr="003706B1">
              <w:rPr>
                <w:b/>
                <w:bCs/>
              </w:rPr>
              <w:t>$8,232.11</w:t>
            </w:r>
          </w:p>
        </w:tc>
        <w:tc>
          <w:tcPr>
            <w:tcW w:w="1980" w:type="dxa"/>
            <w:noWrap/>
            <w:hideMark/>
          </w:tcPr>
          <w:p w14:paraId="1C68B29E" w14:textId="3201007A" w:rsidR="00A3453C" w:rsidRPr="003706B1" w:rsidRDefault="00A3453C" w:rsidP="003706B1">
            <w:pPr>
              <w:pStyle w:val="Tablecell"/>
              <w:keepLines/>
              <w:jc w:val="center"/>
              <w:rPr>
                <w:b/>
                <w:bCs/>
              </w:rPr>
            </w:pPr>
            <w:r w:rsidRPr="003706B1">
              <w:rPr>
                <w:b/>
                <w:bCs/>
              </w:rPr>
              <w:t>$6,156.89</w:t>
            </w:r>
          </w:p>
        </w:tc>
        <w:tc>
          <w:tcPr>
            <w:tcW w:w="1980" w:type="dxa"/>
            <w:noWrap/>
            <w:hideMark/>
          </w:tcPr>
          <w:p w14:paraId="77990673" w14:textId="142BD116" w:rsidR="00A3453C" w:rsidRPr="003706B1" w:rsidRDefault="00A3453C" w:rsidP="003706B1">
            <w:pPr>
              <w:pStyle w:val="Tablecell"/>
              <w:keepLines/>
              <w:jc w:val="center"/>
              <w:rPr>
                <w:b/>
                <w:bCs/>
              </w:rPr>
            </w:pPr>
            <w:r w:rsidRPr="003706B1">
              <w:rPr>
                <w:b/>
                <w:bCs/>
              </w:rPr>
              <w:t>$2,075.22</w:t>
            </w:r>
          </w:p>
        </w:tc>
      </w:tr>
      <w:tr w:rsidR="00A3453C" w:rsidRPr="003706B1" w14:paraId="1DE9041E" w14:textId="77777777" w:rsidTr="003706B1">
        <w:trPr>
          <w:cantSplit/>
          <w:trHeight w:val="288"/>
        </w:trPr>
        <w:tc>
          <w:tcPr>
            <w:tcW w:w="3505" w:type="dxa"/>
            <w:noWrap/>
            <w:hideMark/>
          </w:tcPr>
          <w:p w14:paraId="4CEB0F46" w14:textId="77777777" w:rsidR="00A3453C" w:rsidRPr="003706B1" w:rsidRDefault="00A3453C" w:rsidP="003706B1">
            <w:pPr>
              <w:pStyle w:val="Tablecell"/>
              <w:keepLines/>
            </w:pPr>
            <w:r w:rsidRPr="003706B1">
              <w:t>3,000,001 - 10,000,000 lbs.</w:t>
            </w:r>
          </w:p>
        </w:tc>
        <w:tc>
          <w:tcPr>
            <w:tcW w:w="1440" w:type="dxa"/>
            <w:noWrap/>
            <w:hideMark/>
          </w:tcPr>
          <w:p w14:paraId="70B5D5E1" w14:textId="77777777" w:rsidR="00A3453C" w:rsidRPr="003706B1" w:rsidRDefault="00A3453C" w:rsidP="003706B1">
            <w:pPr>
              <w:pStyle w:val="Tablecell"/>
              <w:keepLines/>
              <w:jc w:val="center"/>
              <w:rPr>
                <w:b/>
                <w:bCs/>
              </w:rPr>
            </w:pPr>
            <w:r w:rsidRPr="003706B1">
              <w:rPr>
                <w:b/>
                <w:bCs/>
              </w:rPr>
              <w:t>13</w:t>
            </w:r>
          </w:p>
        </w:tc>
        <w:tc>
          <w:tcPr>
            <w:tcW w:w="1578" w:type="dxa"/>
            <w:noWrap/>
            <w:hideMark/>
          </w:tcPr>
          <w:p w14:paraId="0ADB16B2" w14:textId="70E96D54" w:rsidR="00A3453C" w:rsidRPr="003706B1" w:rsidRDefault="00A3453C" w:rsidP="003706B1">
            <w:pPr>
              <w:pStyle w:val="Tablecell"/>
              <w:keepLines/>
              <w:jc w:val="center"/>
              <w:rPr>
                <w:b/>
                <w:bCs/>
              </w:rPr>
            </w:pPr>
            <w:r w:rsidRPr="003706B1">
              <w:rPr>
                <w:b/>
                <w:bCs/>
              </w:rPr>
              <w:t>$21,901.87</w:t>
            </w:r>
          </w:p>
        </w:tc>
        <w:tc>
          <w:tcPr>
            <w:tcW w:w="1980" w:type="dxa"/>
            <w:noWrap/>
            <w:hideMark/>
          </w:tcPr>
          <w:p w14:paraId="12026B2E" w14:textId="0E410590" w:rsidR="00A3453C" w:rsidRPr="003706B1" w:rsidRDefault="00A3453C" w:rsidP="003706B1">
            <w:pPr>
              <w:pStyle w:val="Tablecell"/>
              <w:keepLines/>
              <w:jc w:val="center"/>
              <w:rPr>
                <w:b/>
                <w:bCs/>
              </w:rPr>
            </w:pPr>
            <w:r w:rsidRPr="003706B1">
              <w:rPr>
                <w:b/>
                <w:bCs/>
              </w:rPr>
              <w:t>$6,156.89</w:t>
            </w:r>
          </w:p>
        </w:tc>
        <w:tc>
          <w:tcPr>
            <w:tcW w:w="1980" w:type="dxa"/>
            <w:noWrap/>
            <w:hideMark/>
          </w:tcPr>
          <w:p w14:paraId="01D68640" w14:textId="78967E2F" w:rsidR="00A3453C" w:rsidRPr="003706B1" w:rsidRDefault="00A3453C" w:rsidP="003706B1">
            <w:pPr>
              <w:pStyle w:val="Tablecell"/>
              <w:keepLines/>
              <w:jc w:val="center"/>
              <w:rPr>
                <w:b/>
                <w:bCs/>
              </w:rPr>
            </w:pPr>
            <w:r w:rsidRPr="003706B1">
              <w:rPr>
                <w:b/>
                <w:bCs/>
              </w:rPr>
              <w:t>$15,744.98</w:t>
            </w:r>
          </w:p>
        </w:tc>
      </w:tr>
      <w:tr w:rsidR="00A3453C" w:rsidRPr="003706B1" w14:paraId="47C73A0F" w14:textId="77777777" w:rsidTr="003706B1">
        <w:trPr>
          <w:cantSplit/>
          <w:trHeight w:val="288"/>
        </w:trPr>
        <w:tc>
          <w:tcPr>
            <w:tcW w:w="3505" w:type="dxa"/>
            <w:noWrap/>
            <w:hideMark/>
          </w:tcPr>
          <w:p w14:paraId="0F4FB597" w14:textId="77777777" w:rsidR="00A3453C" w:rsidRPr="003706B1" w:rsidRDefault="00A3453C" w:rsidP="003706B1">
            <w:pPr>
              <w:pStyle w:val="Tablecell"/>
              <w:keepLines/>
            </w:pPr>
            <w:r w:rsidRPr="003706B1">
              <w:t>10,000,001 - 30,000,000 lbs.</w:t>
            </w:r>
          </w:p>
        </w:tc>
        <w:tc>
          <w:tcPr>
            <w:tcW w:w="1440" w:type="dxa"/>
            <w:noWrap/>
            <w:hideMark/>
          </w:tcPr>
          <w:p w14:paraId="7FF61F4B" w14:textId="77777777" w:rsidR="00A3453C" w:rsidRPr="003706B1" w:rsidRDefault="00A3453C" w:rsidP="003706B1">
            <w:pPr>
              <w:pStyle w:val="Tablecell"/>
              <w:keepLines/>
              <w:jc w:val="center"/>
              <w:rPr>
                <w:b/>
                <w:bCs/>
              </w:rPr>
            </w:pPr>
            <w:r w:rsidRPr="003706B1">
              <w:rPr>
                <w:b/>
                <w:bCs/>
              </w:rPr>
              <w:t>3</w:t>
            </w:r>
          </w:p>
        </w:tc>
        <w:tc>
          <w:tcPr>
            <w:tcW w:w="1578" w:type="dxa"/>
            <w:noWrap/>
            <w:hideMark/>
          </w:tcPr>
          <w:p w14:paraId="201B7E5A" w14:textId="33A6BFC5" w:rsidR="00A3453C" w:rsidRPr="003706B1" w:rsidRDefault="00A3453C" w:rsidP="003706B1">
            <w:pPr>
              <w:pStyle w:val="Tablecell"/>
              <w:keepLines/>
              <w:jc w:val="center"/>
              <w:rPr>
                <w:b/>
                <w:bCs/>
              </w:rPr>
            </w:pPr>
            <w:r w:rsidRPr="003706B1">
              <w:rPr>
                <w:b/>
                <w:bCs/>
              </w:rPr>
              <w:t>$80,356.50</w:t>
            </w:r>
          </w:p>
        </w:tc>
        <w:tc>
          <w:tcPr>
            <w:tcW w:w="1980" w:type="dxa"/>
            <w:noWrap/>
            <w:hideMark/>
          </w:tcPr>
          <w:p w14:paraId="59CB1125" w14:textId="6A5C660D" w:rsidR="00A3453C" w:rsidRPr="003706B1" w:rsidRDefault="00A3453C" w:rsidP="003706B1">
            <w:pPr>
              <w:pStyle w:val="Tablecell"/>
              <w:keepLines/>
              <w:jc w:val="center"/>
              <w:rPr>
                <w:b/>
                <w:bCs/>
              </w:rPr>
            </w:pPr>
            <w:r w:rsidRPr="003706B1">
              <w:rPr>
                <w:b/>
                <w:bCs/>
              </w:rPr>
              <w:t>$6,156.89</w:t>
            </w:r>
          </w:p>
        </w:tc>
        <w:tc>
          <w:tcPr>
            <w:tcW w:w="1980" w:type="dxa"/>
            <w:noWrap/>
            <w:hideMark/>
          </w:tcPr>
          <w:p w14:paraId="5E5D9919" w14:textId="77E09E3F" w:rsidR="00A3453C" w:rsidRPr="003706B1" w:rsidRDefault="00A3453C" w:rsidP="003706B1">
            <w:pPr>
              <w:pStyle w:val="Tablecell"/>
              <w:keepLines/>
              <w:jc w:val="center"/>
              <w:rPr>
                <w:b/>
                <w:bCs/>
              </w:rPr>
            </w:pPr>
            <w:r w:rsidRPr="003706B1">
              <w:rPr>
                <w:b/>
                <w:bCs/>
              </w:rPr>
              <w:t>$74,199.61</w:t>
            </w:r>
          </w:p>
        </w:tc>
      </w:tr>
    </w:tbl>
    <w:p w14:paraId="1E3A2965" w14:textId="224F57A3" w:rsidR="00A3453C" w:rsidRDefault="00A3453C" w:rsidP="000D4ECF">
      <w:pPr>
        <w:pStyle w:val="Caption"/>
        <w:spacing w:before="240"/>
      </w:pPr>
      <w:bookmarkStart w:id="46" w:name="_Toc133303728"/>
      <w:r>
        <w:t xml:space="preserve">Table </w:t>
      </w:r>
      <w:fldSimple w:instr=" SEQ Table \* ARABIC ">
        <w:r w:rsidR="00726B91">
          <w:rPr>
            <w:noProof/>
          </w:rPr>
          <w:t>9</w:t>
        </w:r>
      </w:fldSimple>
      <w:r w:rsidR="000D4ECF">
        <w:t>.</w:t>
      </w:r>
      <w:r>
        <w:t xml:space="preserve"> </w:t>
      </w:r>
      <w:r w:rsidRPr="00E0418D">
        <w:t>Fee impacts of rule cost distribution by plastic resin weights compared to the mean resin weight value among all producers, compared to an equal fee for each producer, based on ongoing annual cost estimates from the fiscal note</w:t>
      </w:r>
      <w:r w:rsidR="000F5E36">
        <w:t>.</w:t>
      </w:r>
      <w:bookmarkEnd w:id="46"/>
    </w:p>
    <w:tbl>
      <w:tblPr>
        <w:tblStyle w:val="TableGrid"/>
        <w:tblW w:w="1048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fee impacts for producers with resin weight above versus below mean"/>
      </w:tblPr>
      <w:tblGrid>
        <w:gridCol w:w="3505"/>
        <w:gridCol w:w="1219"/>
        <w:gridCol w:w="1890"/>
        <w:gridCol w:w="1980"/>
        <w:gridCol w:w="1890"/>
      </w:tblGrid>
      <w:tr w:rsidR="00A3453C" w:rsidRPr="003706B1" w14:paraId="35A9E317" w14:textId="77777777" w:rsidTr="003706B1">
        <w:trPr>
          <w:cantSplit/>
          <w:trHeight w:val="288"/>
          <w:tblHeader/>
        </w:trPr>
        <w:tc>
          <w:tcPr>
            <w:tcW w:w="3505" w:type="dxa"/>
            <w:noWrap/>
            <w:hideMark/>
          </w:tcPr>
          <w:p w14:paraId="27BE3404" w14:textId="77777777" w:rsidR="00A3453C" w:rsidRPr="003706B1" w:rsidRDefault="00A3453C" w:rsidP="00725094">
            <w:pPr>
              <w:pStyle w:val="Tablecell"/>
              <w:jc w:val="center"/>
            </w:pPr>
            <w:r w:rsidRPr="003706B1">
              <w:t>Above/Below Mean Weight?</w:t>
            </w:r>
          </w:p>
        </w:tc>
        <w:tc>
          <w:tcPr>
            <w:tcW w:w="1218" w:type="dxa"/>
            <w:noWrap/>
            <w:hideMark/>
          </w:tcPr>
          <w:p w14:paraId="46DE3C51" w14:textId="77777777" w:rsidR="00A3453C" w:rsidRPr="003706B1" w:rsidRDefault="00A3453C" w:rsidP="00725094">
            <w:pPr>
              <w:pStyle w:val="Tablecell"/>
              <w:jc w:val="center"/>
            </w:pPr>
            <w:r w:rsidRPr="003706B1">
              <w:t>Number of Producers</w:t>
            </w:r>
          </w:p>
        </w:tc>
        <w:tc>
          <w:tcPr>
            <w:tcW w:w="1890" w:type="dxa"/>
            <w:noWrap/>
            <w:hideMark/>
          </w:tcPr>
          <w:p w14:paraId="56BCD879" w14:textId="77777777" w:rsidR="00A3453C" w:rsidRPr="003706B1" w:rsidRDefault="00A3453C" w:rsidP="00725094">
            <w:pPr>
              <w:pStyle w:val="Tablecell"/>
              <w:jc w:val="center"/>
            </w:pPr>
            <w:r w:rsidRPr="003706B1">
              <w:t>Average Fee (Rule-Based Calculation)</w:t>
            </w:r>
          </w:p>
        </w:tc>
        <w:tc>
          <w:tcPr>
            <w:tcW w:w="1980" w:type="dxa"/>
            <w:noWrap/>
            <w:hideMark/>
          </w:tcPr>
          <w:p w14:paraId="25C98D20" w14:textId="77777777" w:rsidR="00A3453C" w:rsidRPr="003706B1" w:rsidRDefault="00A3453C" w:rsidP="00725094">
            <w:pPr>
              <w:pStyle w:val="Tablecell"/>
              <w:jc w:val="center"/>
            </w:pPr>
            <w:r w:rsidRPr="003706B1">
              <w:t>Average Fee based on Number of Producers only</w:t>
            </w:r>
          </w:p>
        </w:tc>
        <w:tc>
          <w:tcPr>
            <w:tcW w:w="1890" w:type="dxa"/>
            <w:noWrap/>
            <w:hideMark/>
          </w:tcPr>
          <w:p w14:paraId="4037BF12" w14:textId="77777777" w:rsidR="00A3453C" w:rsidRPr="003706B1" w:rsidRDefault="00A3453C" w:rsidP="00725094">
            <w:pPr>
              <w:pStyle w:val="Tablecell"/>
              <w:jc w:val="center"/>
            </w:pPr>
            <w:r w:rsidRPr="003706B1">
              <w:t>Average Fee Cost impact of Rule</w:t>
            </w:r>
          </w:p>
        </w:tc>
      </w:tr>
      <w:tr w:rsidR="0035147C" w:rsidRPr="003706B1" w14:paraId="4C041F63" w14:textId="77777777" w:rsidTr="003706B1">
        <w:trPr>
          <w:cantSplit/>
          <w:trHeight w:val="288"/>
        </w:trPr>
        <w:tc>
          <w:tcPr>
            <w:tcW w:w="3505" w:type="dxa"/>
            <w:noWrap/>
            <w:hideMark/>
          </w:tcPr>
          <w:p w14:paraId="5179C31E" w14:textId="77777777" w:rsidR="0035147C" w:rsidRPr="003706B1" w:rsidRDefault="0035147C" w:rsidP="00725094">
            <w:pPr>
              <w:pStyle w:val="Tablecell"/>
            </w:pPr>
            <w:r w:rsidRPr="003706B1">
              <w:t>Above</w:t>
            </w:r>
          </w:p>
        </w:tc>
        <w:tc>
          <w:tcPr>
            <w:tcW w:w="1218" w:type="dxa"/>
            <w:noWrap/>
            <w:hideMark/>
          </w:tcPr>
          <w:p w14:paraId="473F46F7" w14:textId="77777777" w:rsidR="0035147C" w:rsidRPr="003706B1" w:rsidRDefault="0035147C" w:rsidP="00725094">
            <w:pPr>
              <w:pStyle w:val="Tablecell"/>
              <w:rPr>
                <w:b/>
                <w:bCs/>
              </w:rPr>
            </w:pPr>
            <w:r w:rsidRPr="003706B1">
              <w:rPr>
                <w:b/>
                <w:bCs/>
              </w:rPr>
              <w:t>21</w:t>
            </w:r>
          </w:p>
        </w:tc>
        <w:tc>
          <w:tcPr>
            <w:tcW w:w="1890" w:type="dxa"/>
            <w:noWrap/>
            <w:hideMark/>
          </w:tcPr>
          <w:p w14:paraId="61924F3D" w14:textId="669C4F12" w:rsidR="0035147C" w:rsidRPr="003706B1" w:rsidRDefault="0035147C" w:rsidP="001F442A">
            <w:pPr>
              <w:pStyle w:val="Tablecell"/>
              <w:jc w:val="center"/>
              <w:rPr>
                <w:b/>
                <w:bCs/>
              </w:rPr>
            </w:pPr>
            <w:r w:rsidRPr="003706B1">
              <w:rPr>
                <w:b/>
                <w:bCs/>
              </w:rPr>
              <w:t>$26,997.82</w:t>
            </w:r>
          </w:p>
        </w:tc>
        <w:tc>
          <w:tcPr>
            <w:tcW w:w="1980" w:type="dxa"/>
            <w:noWrap/>
            <w:hideMark/>
          </w:tcPr>
          <w:p w14:paraId="44F6CB60" w14:textId="2BEE805A" w:rsidR="0035147C" w:rsidRPr="003706B1" w:rsidRDefault="0035147C" w:rsidP="001F442A">
            <w:pPr>
              <w:pStyle w:val="Tablecell"/>
              <w:jc w:val="center"/>
              <w:rPr>
                <w:b/>
                <w:bCs/>
              </w:rPr>
            </w:pPr>
            <w:r w:rsidRPr="003706B1">
              <w:rPr>
                <w:b/>
                <w:bCs/>
              </w:rPr>
              <w:t>$6,156.89</w:t>
            </w:r>
          </w:p>
        </w:tc>
        <w:tc>
          <w:tcPr>
            <w:tcW w:w="1890" w:type="dxa"/>
            <w:noWrap/>
            <w:hideMark/>
          </w:tcPr>
          <w:p w14:paraId="4AE4F126" w14:textId="6E646102" w:rsidR="0035147C" w:rsidRPr="003706B1" w:rsidRDefault="0035147C" w:rsidP="001F442A">
            <w:pPr>
              <w:pStyle w:val="Tablecell"/>
              <w:jc w:val="center"/>
              <w:rPr>
                <w:b/>
                <w:bCs/>
              </w:rPr>
            </w:pPr>
            <w:r w:rsidRPr="003706B1">
              <w:rPr>
                <w:b/>
                <w:bCs/>
              </w:rPr>
              <w:t>$20,840.93</w:t>
            </w:r>
          </w:p>
        </w:tc>
      </w:tr>
      <w:tr w:rsidR="0035147C" w:rsidRPr="003706B1" w14:paraId="57D0E20A" w14:textId="77777777" w:rsidTr="003706B1">
        <w:trPr>
          <w:cantSplit/>
          <w:trHeight w:val="288"/>
        </w:trPr>
        <w:tc>
          <w:tcPr>
            <w:tcW w:w="3505" w:type="dxa"/>
            <w:noWrap/>
            <w:hideMark/>
          </w:tcPr>
          <w:p w14:paraId="5534F7F9" w14:textId="77777777" w:rsidR="0035147C" w:rsidRPr="003706B1" w:rsidRDefault="0035147C" w:rsidP="00725094">
            <w:pPr>
              <w:pStyle w:val="Tablecell"/>
            </w:pPr>
            <w:r w:rsidRPr="003706B1">
              <w:t>Below</w:t>
            </w:r>
          </w:p>
        </w:tc>
        <w:tc>
          <w:tcPr>
            <w:tcW w:w="1218" w:type="dxa"/>
            <w:noWrap/>
            <w:hideMark/>
          </w:tcPr>
          <w:p w14:paraId="6C19F195" w14:textId="77777777" w:rsidR="0035147C" w:rsidRPr="003706B1" w:rsidRDefault="0035147C" w:rsidP="00725094">
            <w:pPr>
              <w:pStyle w:val="Tablecell"/>
              <w:rPr>
                <w:b/>
                <w:bCs/>
              </w:rPr>
            </w:pPr>
            <w:r w:rsidRPr="003706B1">
              <w:rPr>
                <w:b/>
                <w:bCs/>
              </w:rPr>
              <w:t>87</w:t>
            </w:r>
          </w:p>
        </w:tc>
        <w:tc>
          <w:tcPr>
            <w:tcW w:w="1890" w:type="dxa"/>
            <w:noWrap/>
            <w:hideMark/>
          </w:tcPr>
          <w:p w14:paraId="3A55D113" w14:textId="0F5E4559" w:rsidR="0035147C" w:rsidRPr="003706B1" w:rsidRDefault="0035147C" w:rsidP="001F442A">
            <w:pPr>
              <w:pStyle w:val="Tablecell"/>
              <w:jc w:val="center"/>
              <w:rPr>
                <w:b/>
                <w:bCs/>
              </w:rPr>
            </w:pPr>
            <w:r w:rsidRPr="003706B1">
              <w:rPr>
                <w:b/>
                <w:bCs/>
              </w:rPr>
              <w:t>$1,126.32</w:t>
            </w:r>
          </w:p>
        </w:tc>
        <w:tc>
          <w:tcPr>
            <w:tcW w:w="1980" w:type="dxa"/>
            <w:noWrap/>
            <w:hideMark/>
          </w:tcPr>
          <w:p w14:paraId="094287C5" w14:textId="796A40A6" w:rsidR="0035147C" w:rsidRPr="003706B1" w:rsidRDefault="0035147C" w:rsidP="001F442A">
            <w:pPr>
              <w:pStyle w:val="Tablecell"/>
              <w:jc w:val="center"/>
              <w:rPr>
                <w:b/>
                <w:bCs/>
              </w:rPr>
            </w:pPr>
            <w:r w:rsidRPr="003706B1">
              <w:rPr>
                <w:b/>
                <w:bCs/>
              </w:rPr>
              <w:t>$6,156.89</w:t>
            </w:r>
          </w:p>
        </w:tc>
        <w:tc>
          <w:tcPr>
            <w:tcW w:w="1890" w:type="dxa"/>
            <w:noWrap/>
            <w:hideMark/>
          </w:tcPr>
          <w:p w14:paraId="585F3714" w14:textId="1A64E8B5" w:rsidR="0035147C" w:rsidRPr="003706B1" w:rsidRDefault="0035147C" w:rsidP="001F442A">
            <w:pPr>
              <w:pStyle w:val="Tablecell"/>
              <w:jc w:val="center"/>
              <w:rPr>
                <w:b/>
                <w:bCs/>
              </w:rPr>
            </w:pPr>
            <w:r w:rsidRPr="003706B1">
              <w:rPr>
                <w:b/>
                <w:bCs/>
              </w:rPr>
              <w:t>-$5,030.57</w:t>
            </w:r>
          </w:p>
        </w:tc>
      </w:tr>
    </w:tbl>
    <w:p w14:paraId="75C686BB" w14:textId="7BA4CFA8" w:rsidR="00225BBF" w:rsidRPr="0021162F" w:rsidRDefault="00225BBF" w:rsidP="00225BBF">
      <w:pPr>
        <w:pStyle w:val="RMSectionXXX"/>
      </w:pPr>
      <w:bookmarkStart w:id="47" w:name="_Toc132187805"/>
      <w:r w:rsidRPr="00133CE2">
        <w:t>3.2.4 Adding specific requirements for PCRC weight calculations</w:t>
      </w:r>
      <w:bookmarkEnd w:id="47"/>
    </w:p>
    <w:p w14:paraId="57001C9A" w14:textId="77777777" w:rsidR="006A75DA" w:rsidRDefault="006A75DA" w:rsidP="006A75DA">
      <w:pPr>
        <w:pStyle w:val="Paragraph"/>
      </w:pPr>
      <w:r>
        <w:t>This section of the proposed rule would establish standard options for PCRC weight and percentage calculation for reporting. We do not expect these additional specifications to result in costs as compared to the baseline, as:</w:t>
      </w:r>
    </w:p>
    <w:p w14:paraId="3A5622C7" w14:textId="77777777" w:rsidR="006A75DA" w:rsidRDefault="006A75DA" w:rsidP="00C66391">
      <w:pPr>
        <w:pStyle w:val="Paragraph"/>
        <w:numPr>
          <w:ilvl w:val="0"/>
          <w:numId w:val="13"/>
        </w:numPr>
      </w:pPr>
      <w:r>
        <w:t>The statute requires the reporting itself, with the implicit expectation that it be accurate.</w:t>
      </w:r>
    </w:p>
    <w:p w14:paraId="1580F62D" w14:textId="4B0FD1F2" w:rsidR="006A75DA" w:rsidRDefault="006A75DA" w:rsidP="00C66391">
      <w:pPr>
        <w:pStyle w:val="Paragraph"/>
        <w:numPr>
          <w:ilvl w:val="0"/>
          <w:numId w:val="13"/>
        </w:numPr>
      </w:pPr>
      <w:r>
        <w:lastRenderedPageBreak/>
        <w:t xml:space="preserve">The proposed rule facilitates compliance by specifying data </w:t>
      </w:r>
      <w:r w:rsidR="0077516B">
        <w:t>calculation methods</w:t>
      </w:r>
      <w:r>
        <w:t xml:space="preserve"> that meet accuracy requirements, but also allow</w:t>
      </w:r>
      <w:r w:rsidR="0077516B">
        <w:t>s</w:t>
      </w:r>
      <w:r>
        <w:t xml:space="preserve"> producers to use alternative sources </w:t>
      </w:r>
      <w:r w:rsidR="0025689E">
        <w:t>if</w:t>
      </w:r>
      <w:r>
        <w:t xml:space="preserve"> they are accurate.</w:t>
      </w:r>
    </w:p>
    <w:p w14:paraId="40F7B7DF" w14:textId="14B2395C" w:rsidR="00225BBF" w:rsidRPr="001B300B" w:rsidRDefault="00225BBF" w:rsidP="00225BBF">
      <w:pPr>
        <w:pStyle w:val="RMSectionXXX"/>
      </w:pPr>
      <w:bookmarkStart w:id="48" w:name="_Toc132187806"/>
      <w:r w:rsidRPr="00402AC4">
        <w:t>3.2.5 Establishing requirements for temporary exclusion and adjustment requests</w:t>
      </w:r>
      <w:bookmarkEnd w:id="48"/>
    </w:p>
    <w:p w14:paraId="3FC8B2D5" w14:textId="3115A2A4" w:rsidR="00E93EB2" w:rsidRDefault="006A75DA" w:rsidP="006A75DA">
      <w:pPr>
        <w:pStyle w:val="Paragraph"/>
      </w:pPr>
      <w:r>
        <w:t xml:space="preserve">We </w:t>
      </w:r>
      <w:r w:rsidDel="00F50F67">
        <w:t xml:space="preserve">expect </w:t>
      </w:r>
      <w:r>
        <w:t xml:space="preserve">this section of the proposed rule to result in costs </w:t>
      </w:r>
      <w:r w:rsidR="00F50F67">
        <w:t xml:space="preserve">for </w:t>
      </w:r>
      <w:r w:rsidR="00564B2F">
        <w:t>producers</w:t>
      </w:r>
      <w:r w:rsidR="00F50F67">
        <w:t xml:space="preserve"> related to providing the</w:t>
      </w:r>
      <w:r>
        <w:t xml:space="preserve"> necessary documentation in support of exclusions and adjustment</w:t>
      </w:r>
      <w:r w:rsidR="00F50F67">
        <w:t xml:space="preserve"> requests</w:t>
      </w:r>
      <w:r>
        <w:t>.</w:t>
      </w:r>
      <w:r w:rsidR="00CA386E">
        <w:t xml:space="preserve"> </w:t>
      </w:r>
      <w:r w:rsidR="0067406F">
        <w:t>We note that businesses or industries would undertake these activities only if they expected a net benefit (a net cost-savings) of doing so, either due to avoiding noncompliance or avoiding lost sales due to necessary changes in products and/or business practices to comply.</w:t>
      </w:r>
    </w:p>
    <w:p w14:paraId="2ECAFB0D" w14:textId="2BA374F6" w:rsidR="00E93EB2" w:rsidRPr="00E93EB2" w:rsidRDefault="00E93EB2" w:rsidP="006A75DA">
      <w:pPr>
        <w:pStyle w:val="Paragraph"/>
        <w:rPr>
          <w:b/>
          <w:bCs/>
        </w:rPr>
      </w:pPr>
      <w:r>
        <w:rPr>
          <w:b/>
          <w:bCs/>
        </w:rPr>
        <w:t>Temporary exclusions</w:t>
      </w:r>
    </w:p>
    <w:p w14:paraId="29045717" w14:textId="3C93AF35" w:rsidR="00004946" w:rsidRDefault="00871489" w:rsidP="00004946">
      <w:pPr>
        <w:pStyle w:val="Paragraph"/>
        <w:widowControl w:val="0"/>
      </w:pPr>
      <w:r>
        <w:t>Producer</w:t>
      </w:r>
      <w:r w:rsidR="009C3CDC">
        <w:t>s</w:t>
      </w:r>
      <w:r>
        <w:t xml:space="preserve"> may </w:t>
      </w:r>
      <w:r w:rsidR="0025472D">
        <w:t>submit</w:t>
      </w:r>
      <w:r>
        <w:t xml:space="preserve"> </w:t>
      </w:r>
      <w:r w:rsidR="009C3CDC">
        <w:t>an</w:t>
      </w:r>
      <w:r>
        <w:t xml:space="preserve"> annual </w:t>
      </w:r>
      <w:r w:rsidR="00427898" w:rsidRPr="00427898">
        <w:t>temporary exclusion</w:t>
      </w:r>
      <w:r w:rsidR="00F8674D">
        <w:t xml:space="preserve"> </w:t>
      </w:r>
      <w:r w:rsidR="0025472D">
        <w:t xml:space="preserve">request </w:t>
      </w:r>
      <w:r w:rsidR="00F8674D">
        <w:t>(RCW 245.70A.20)</w:t>
      </w:r>
      <w:r w:rsidR="0025472D">
        <w:t xml:space="preserve"> to Ecology to get temporary exclusion fr</w:t>
      </w:r>
      <w:r w:rsidR="0025472D" w:rsidRPr="00427898">
        <w:t xml:space="preserve">om the minimum PCRC </w:t>
      </w:r>
      <w:r w:rsidR="00841778">
        <w:t xml:space="preserve">requirement for upcoming year any types of covered products in plastic containers for which a producer demonstrates that the achievement of PCRC requirement in the container material is not technically feasible to comply with federal health and safety requirements. </w:t>
      </w:r>
      <w:r w:rsidR="006F6225">
        <w:t>However, w</w:t>
      </w:r>
      <w:r w:rsidR="00E27007" w:rsidRPr="006006A0">
        <w:t xml:space="preserve">e could not confidently assess how frequently </w:t>
      </w:r>
      <w:r w:rsidR="00564B2F">
        <w:t xml:space="preserve">exclusion </w:t>
      </w:r>
      <w:r w:rsidR="00A10514">
        <w:t>request</w:t>
      </w:r>
      <w:r w:rsidR="0077516B">
        <w:t xml:space="preserve">s </w:t>
      </w:r>
      <w:r w:rsidR="00E27007">
        <w:t>would occur</w:t>
      </w:r>
      <w:r w:rsidR="0077516B">
        <w:t>.</w:t>
      </w:r>
      <w:r w:rsidR="002D2A12">
        <w:t xml:space="preserve"> </w:t>
      </w:r>
      <w:r w:rsidR="0077516B">
        <w:t>W</w:t>
      </w:r>
      <w:r w:rsidR="002D2A12">
        <w:t>e assume</w:t>
      </w:r>
      <w:r w:rsidR="009C3CDC">
        <w:t>d</w:t>
      </w:r>
      <w:r w:rsidR="002D2A12">
        <w:t xml:space="preserve"> that producer</w:t>
      </w:r>
      <w:r w:rsidR="00564B2F">
        <w:t>s would</w:t>
      </w:r>
      <w:r w:rsidR="002D2A12" w:rsidDel="00564B2F">
        <w:t xml:space="preserve"> </w:t>
      </w:r>
      <w:r w:rsidR="002D2A12">
        <w:t>file</w:t>
      </w:r>
      <w:r w:rsidR="002D2A12" w:rsidDel="00564B2F">
        <w:t xml:space="preserve"> </w:t>
      </w:r>
      <w:r w:rsidR="00564B2F">
        <w:t xml:space="preserve">temporary exclusion </w:t>
      </w:r>
      <w:r w:rsidR="002D2A12">
        <w:t>request</w:t>
      </w:r>
      <w:r w:rsidR="0077516B">
        <w:t>s</w:t>
      </w:r>
      <w:r w:rsidR="002D2A12">
        <w:t xml:space="preserve"> </w:t>
      </w:r>
      <w:r w:rsidR="00564B2F">
        <w:t xml:space="preserve">in two situations; </w:t>
      </w:r>
      <w:r w:rsidR="00E4532F">
        <w:t xml:space="preserve">to avoid the </w:t>
      </w:r>
      <w:r w:rsidR="00312740">
        <w:t>noncompliance</w:t>
      </w:r>
      <w:r w:rsidR="00E4532F">
        <w:t xml:space="preserve"> associated with technical </w:t>
      </w:r>
      <w:r w:rsidR="00312740">
        <w:t>infeasibility</w:t>
      </w:r>
      <w:r w:rsidR="00564B2F">
        <w:t>,</w:t>
      </w:r>
      <w:r w:rsidR="0077516B">
        <w:t xml:space="preserve"> or</w:t>
      </w:r>
      <w:r w:rsidR="0077516B" w:rsidDel="00564B2F">
        <w:t xml:space="preserve"> </w:t>
      </w:r>
      <w:r w:rsidR="0077516B">
        <w:t>for very specific types of federally regulated products</w:t>
      </w:r>
      <w:r w:rsidR="006F6225">
        <w:t xml:space="preserve">. </w:t>
      </w:r>
      <w:r w:rsidR="00344523">
        <w:t>A</w:t>
      </w:r>
      <w:r w:rsidR="006F6225">
        <w:t>s compared to the baseline,</w:t>
      </w:r>
      <w:r w:rsidR="00344523">
        <w:t xml:space="preserve"> </w:t>
      </w:r>
      <w:r w:rsidR="00564B2F">
        <w:t>temporary exclusion</w:t>
      </w:r>
      <w:r w:rsidR="00C83C6E">
        <w:t xml:space="preserve"> requests would </w:t>
      </w:r>
      <w:r w:rsidR="009C3CDC">
        <w:t>result in</w:t>
      </w:r>
      <w:r w:rsidR="00944276">
        <w:t xml:space="preserve"> minimal</w:t>
      </w:r>
      <w:r w:rsidR="00344523">
        <w:t xml:space="preserve"> additional costs</w:t>
      </w:r>
      <w:r w:rsidR="009C3CDC">
        <w:t>. The table</w:t>
      </w:r>
      <w:r w:rsidR="00870023">
        <w:t xml:space="preserve"> below illustrates the </w:t>
      </w:r>
      <w:r w:rsidR="0015433A">
        <w:t>cost</w:t>
      </w:r>
      <w:r w:rsidR="00564B2F">
        <w:t>s associated with submitting a temporary exclusion request.</w:t>
      </w:r>
      <w:r w:rsidR="0015433A">
        <w:t xml:space="preserve"> </w:t>
      </w:r>
    </w:p>
    <w:p w14:paraId="05ED80E8" w14:textId="5D7E44C4" w:rsidR="00133CE2" w:rsidRDefault="001942BE" w:rsidP="00726B91">
      <w:pPr>
        <w:pStyle w:val="Caption"/>
      </w:pPr>
      <w:bookmarkStart w:id="49" w:name="_Toc133303729"/>
      <w:r>
        <w:t>Table</w:t>
      </w:r>
      <w:r w:rsidR="00C63872">
        <w:t xml:space="preserve"> </w:t>
      </w:r>
      <w:fldSimple w:instr=" SEQ Table \* ARABIC ">
        <w:r w:rsidR="00726B91">
          <w:rPr>
            <w:noProof/>
          </w:rPr>
          <w:t>10</w:t>
        </w:r>
      </w:fldSimple>
      <w:r w:rsidR="000F5E36">
        <w:t>.</w:t>
      </w:r>
      <w:r>
        <w:t xml:space="preserve"> </w:t>
      </w:r>
      <w:r w:rsidRPr="000D1D59">
        <w:t xml:space="preserve">Annual cost of PCRC </w:t>
      </w:r>
      <w:r w:rsidR="00564B2F">
        <w:t xml:space="preserve">temporary </w:t>
      </w:r>
      <w:r w:rsidRPr="000D1D59">
        <w:t>exclusion request for producers (per entity)</w:t>
      </w:r>
      <w:r w:rsidR="000F5E36">
        <w:t>.</w:t>
      </w:r>
      <w:bookmarkEnd w:id="49"/>
    </w:p>
    <w:tbl>
      <w:tblPr>
        <w:tblW w:w="0" w:type="auto"/>
        <w:jc w:val="center"/>
        <w:tblBorders>
          <w:insideH w:val="single" w:sz="4" w:space="0" w:color="auto"/>
        </w:tblBorders>
        <w:tblLook w:val="04A0" w:firstRow="1" w:lastRow="0" w:firstColumn="1" w:lastColumn="0" w:noHBand="0" w:noVBand="1"/>
        <w:tblCaption w:val="relative real cost of a dollar spent at different times"/>
      </w:tblPr>
      <w:tblGrid>
        <w:gridCol w:w="5620"/>
        <w:gridCol w:w="959"/>
        <w:gridCol w:w="1408"/>
        <w:gridCol w:w="1373"/>
      </w:tblGrid>
      <w:tr w:rsidR="00D02568" w:rsidRPr="003706B1" w14:paraId="696C4637" w14:textId="4CC468BB" w:rsidTr="003706B1">
        <w:trPr>
          <w:cantSplit/>
          <w:tblHeader/>
          <w:jc w:val="center"/>
        </w:trPr>
        <w:tc>
          <w:tcPr>
            <w:tcW w:w="5620" w:type="dxa"/>
            <w:shd w:val="clear" w:color="auto" w:fill="auto"/>
            <w:noWrap/>
            <w:vAlign w:val="center"/>
            <w:hideMark/>
          </w:tcPr>
          <w:p w14:paraId="6A21BB10" w14:textId="7914C196" w:rsidR="00870023" w:rsidRPr="003706B1" w:rsidRDefault="00324CB3" w:rsidP="005F06DC">
            <w:pPr>
              <w:pStyle w:val="Tablecell"/>
              <w:keepNext w:val="0"/>
              <w:widowControl w:val="0"/>
              <w:jc w:val="center"/>
            </w:pPr>
            <w:r w:rsidRPr="003706B1">
              <w:t>Activities</w:t>
            </w:r>
          </w:p>
        </w:tc>
        <w:tc>
          <w:tcPr>
            <w:tcW w:w="959" w:type="dxa"/>
            <w:shd w:val="clear" w:color="auto" w:fill="auto"/>
            <w:noWrap/>
            <w:vAlign w:val="center"/>
            <w:hideMark/>
          </w:tcPr>
          <w:p w14:paraId="2B1234E0" w14:textId="22F072BC" w:rsidR="00870023" w:rsidRPr="003706B1" w:rsidRDefault="00870023" w:rsidP="00004946">
            <w:pPr>
              <w:pStyle w:val="Tablecell"/>
              <w:keepNext w:val="0"/>
              <w:widowControl w:val="0"/>
              <w:jc w:val="center"/>
            </w:pPr>
            <w:r w:rsidRPr="003706B1">
              <w:t>Hours</w:t>
            </w:r>
            <w:r w:rsidR="007C34D2" w:rsidRPr="003706B1">
              <w:rPr>
                <w:rStyle w:val="FootnoteReference"/>
              </w:rPr>
              <w:footnoteReference w:id="15"/>
            </w:r>
          </w:p>
        </w:tc>
        <w:tc>
          <w:tcPr>
            <w:tcW w:w="1408" w:type="dxa"/>
            <w:shd w:val="clear" w:color="auto" w:fill="auto"/>
            <w:noWrap/>
            <w:vAlign w:val="center"/>
          </w:tcPr>
          <w:p w14:paraId="74833A9B" w14:textId="5B90BD0C" w:rsidR="00870023" w:rsidRPr="003706B1" w:rsidRDefault="00870023" w:rsidP="00004946">
            <w:pPr>
              <w:pStyle w:val="Tablecell"/>
              <w:keepNext w:val="0"/>
              <w:widowControl w:val="0"/>
              <w:jc w:val="center"/>
            </w:pPr>
            <w:r w:rsidRPr="003706B1">
              <w:t>Hourly rate</w:t>
            </w:r>
            <w:r w:rsidR="00283222" w:rsidRPr="003706B1">
              <w:rPr>
                <w:rStyle w:val="FootnoteReference"/>
              </w:rPr>
              <w:footnoteReference w:id="16"/>
            </w:r>
          </w:p>
        </w:tc>
        <w:tc>
          <w:tcPr>
            <w:tcW w:w="1373" w:type="dxa"/>
            <w:vAlign w:val="center"/>
          </w:tcPr>
          <w:p w14:paraId="25F29C29" w14:textId="02416197" w:rsidR="00870023" w:rsidRPr="003706B1" w:rsidRDefault="00870023" w:rsidP="00004946">
            <w:pPr>
              <w:pStyle w:val="Tablecell"/>
              <w:keepNext w:val="0"/>
              <w:widowControl w:val="0"/>
              <w:jc w:val="center"/>
            </w:pPr>
            <w:r w:rsidRPr="003706B1">
              <w:t>Cost</w:t>
            </w:r>
          </w:p>
        </w:tc>
      </w:tr>
      <w:tr w:rsidR="00D02568" w:rsidRPr="003706B1" w14:paraId="34F2DF99" w14:textId="37FAA30A" w:rsidTr="003706B1">
        <w:trPr>
          <w:cantSplit/>
          <w:jc w:val="center"/>
        </w:trPr>
        <w:tc>
          <w:tcPr>
            <w:tcW w:w="5620" w:type="dxa"/>
            <w:shd w:val="clear" w:color="auto" w:fill="auto"/>
            <w:noWrap/>
            <w:vAlign w:val="center"/>
            <w:hideMark/>
          </w:tcPr>
          <w:p w14:paraId="79CE9A32" w14:textId="4ECDC448" w:rsidR="00870023" w:rsidRPr="003706B1" w:rsidRDefault="004E78F8" w:rsidP="00004946">
            <w:pPr>
              <w:pStyle w:val="Tablecell"/>
              <w:keepNext w:val="0"/>
              <w:widowControl w:val="0"/>
            </w:pPr>
            <w:r w:rsidRPr="003706B1">
              <w:t xml:space="preserve">a. </w:t>
            </w:r>
            <w:r w:rsidR="00B56D0D" w:rsidRPr="003706B1">
              <w:t>Identify</w:t>
            </w:r>
            <w:r w:rsidR="003C4670" w:rsidRPr="003706B1">
              <w:t xml:space="preserve"> </w:t>
            </w:r>
            <w:r w:rsidR="00EE2D9B" w:rsidRPr="003706B1">
              <w:t xml:space="preserve">and </w:t>
            </w:r>
            <w:r w:rsidR="00B56D0D" w:rsidRPr="003706B1">
              <w:t>collect</w:t>
            </w:r>
            <w:r w:rsidR="006C242E" w:rsidRPr="003706B1">
              <w:t xml:space="preserve"> </w:t>
            </w:r>
            <w:r w:rsidR="00EE2D9B" w:rsidRPr="003706B1">
              <w:t xml:space="preserve">supporting </w:t>
            </w:r>
            <w:r w:rsidR="009310EA" w:rsidRPr="003706B1">
              <w:t xml:space="preserve">information </w:t>
            </w:r>
            <w:r w:rsidR="003C4670" w:rsidRPr="003706B1">
              <w:t xml:space="preserve">why producers </w:t>
            </w:r>
            <w:r w:rsidR="00A24073" w:rsidRPr="003706B1">
              <w:t xml:space="preserve">are unable </w:t>
            </w:r>
            <w:r w:rsidR="003C4670" w:rsidRPr="003706B1">
              <w:t>to meet minimum PCRC standard</w:t>
            </w:r>
            <w:r w:rsidR="007565D6" w:rsidRPr="003706B1">
              <w:t xml:space="preserve"> </w:t>
            </w:r>
            <w:r w:rsidR="00EE2D9B" w:rsidRPr="003706B1">
              <w:t>while</w:t>
            </w:r>
            <w:r w:rsidR="007565D6" w:rsidRPr="003706B1">
              <w:t xml:space="preserve"> still meeting applicable federal health and safety standards</w:t>
            </w:r>
            <w:r w:rsidR="00B402C8" w:rsidRPr="003706B1">
              <w:t>.</w:t>
            </w:r>
          </w:p>
        </w:tc>
        <w:tc>
          <w:tcPr>
            <w:tcW w:w="959" w:type="dxa"/>
            <w:shd w:val="clear" w:color="auto" w:fill="auto"/>
            <w:noWrap/>
            <w:vAlign w:val="center"/>
            <w:hideMark/>
          </w:tcPr>
          <w:p w14:paraId="05FE77CA" w14:textId="6D7B51D1" w:rsidR="00EA2407" w:rsidRPr="003706B1" w:rsidRDefault="002434CE" w:rsidP="00D90B4B">
            <w:pPr>
              <w:pStyle w:val="Tablecell"/>
              <w:keepNext w:val="0"/>
              <w:widowControl w:val="0"/>
              <w:jc w:val="center"/>
              <w:rPr>
                <w:b/>
                <w:bCs/>
              </w:rPr>
            </w:pPr>
            <w:r w:rsidRPr="003706B1">
              <w:rPr>
                <w:b/>
                <w:bCs/>
              </w:rPr>
              <w:t>2</w:t>
            </w:r>
            <w:r w:rsidR="007A139C" w:rsidRPr="003706B1">
              <w:rPr>
                <w:b/>
                <w:bCs/>
              </w:rPr>
              <w:t>.00</w:t>
            </w:r>
          </w:p>
        </w:tc>
        <w:tc>
          <w:tcPr>
            <w:tcW w:w="1408" w:type="dxa"/>
            <w:shd w:val="clear" w:color="auto" w:fill="auto"/>
            <w:noWrap/>
            <w:vAlign w:val="center"/>
            <w:hideMark/>
          </w:tcPr>
          <w:p w14:paraId="0E462B2C" w14:textId="1DA3E70C" w:rsidR="00EA2407" w:rsidRPr="003706B1" w:rsidRDefault="00870023" w:rsidP="00D90B4B">
            <w:pPr>
              <w:pStyle w:val="Tablecell"/>
              <w:keepNext w:val="0"/>
              <w:widowControl w:val="0"/>
              <w:jc w:val="center"/>
              <w:rPr>
                <w:b/>
                <w:bCs/>
              </w:rPr>
            </w:pPr>
            <w:r w:rsidRPr="003706B1">
              <w:rPr>
                <w:b/>
                <w:bCs/>
              </w:rPr>
              <w:t>$</w:t>
            </w:r>
            <w:r w:rsidR="003C4670" w:rsidRPr="003706B1">
              <w:rPr>
                <w:b/>
                <w:bCs/>
              </w:rPr>
              <w:t>61.25</w:t>
            </w:r>
          </w:p>
        </w:tc>
        <w:tc>
          <w:tcPr>
            <w:tcW w:w="1373" w:type="dxa"/>
            <w:vAlign w:val="center"/>
          </w:tcPr>
          <w:p w14:paraId="254D8B27" w14:textId="09C5D05D" w:rsidR="00870023" w:rsidRPr="003706B1" w:rsidRDefault="007A139C" w:rsidP="00740DD8">
            <w:pPr>
              <w:pStyle w:val="Tablecell"/>
              <w:keepNext w:val="0"/>
              <w:widowControl w:val="0"/>
              <w:jc w:val="center"/>
              <w:rPr>
                <w:b/>
                <w:bCs/>
              </w:rPr>
            </w:pPr>
            <w:r w:rsidRPr="003706B1">
              <w:rPr>
                <w:b/>
                <w:bCs/>
              </w:rPr>
              <w:t>$</w:t>
            </w:r>
            <w:r w:rsidR="002434CE" w:rsidRPr="003706B1">
              <w:rPr>
                <w:b/>
                <w:bCs/>
              </w:rPr>
              <w:t>122</w:t>
            </w:r>
            <w:r w:rsidRPr="003706B1">
              <w:rPr>
                <w:b/>
                <w:bCs/>
              </w:rPr>
              <w:t>.</w:t>
            </w:r>
            <w:r w:rsidR="002434CE" w:rsidRPr="003706B1">
              <w:rPr>
                <w:b/>
                <w:bCs/>
              </w:rPr>
              <w:t>5</w:t>
            </w:r>
            <w:r w:rsidRPr="003706B1">
              <w:rPr>
                <w:b/>
                <w:bCs/>
              </w:rPr>
              <w:t>0</w:t>
            </w:r>
          </w:p>
        </w:tc>
      </w:tr>
      <w:tr w:rsidR="00D02568" w:rsidRPr="003706B1" w14:paraId="656A05A5" w14:textId="7B381F42" w:rsidTr="003706B1">
        <w:trPr>
          <w:cantSplit/>
          <w:jc w:val="center"/>
        </w:trPr>
        <w:tc>
          <w:tcPr>
            <w:tcW w:w="5620" w:type="dxa"/>
            <w:shd w:val="clear" w:color="auto" w:fill="auto"/>
            <w:noWrap/>
            <w:vAlign w:val="center"/>
            <w:hideMark/>
          </w:tcPr>
          <w:p w14:paraId="29505F90" w14:textId="46EFE2CA" w:rsidR="00870023" w:rsidRPr="003706B1" w:rsidRDefault="00682E9B" w:rsidP="00004946">
            <w:pPr>
              <w:pStyle w:val="Tablecell"/>
              <w:keepNext w:val="0"/>
              <w:widowControl w:val="0"/>
            </w:pPr>
            <w:r w:rsidRPr="003706B1">
              <w:t>b</w:t>
            </w:r>
            <w:r w:rsidR="004E78F8" w:rsidRPr="003706B1">
              <w:t xml:space="preserve">. </w:t>
            </w:r>
            <w:r w:rsidR="003C4670" w:rsidRPr="003706B1">
              <w:t>Submit written request</w:t>
            </w:r>
            <w:r w:rsidR="00B402C8" w:rsidRPr="003706B1">
              <w:t>.</w:t>
            </w:r>
          </w:p>
        </w:tc>
        <w:tc>
          <w:tcPr>
            <w:tcW w:w="959" w:type="dxa"/>
            <w:shd w:val="clear" w:color="auto" w:fill="auto"/>
            <w:noWrap/>
            <w:vAlign w:val="center"/>
            <w:hideMark/>
          </w:tcPr>
          <w:p w14:paraId="0B6EE4B8" w14:textId="2B24F0DE" w:rsidR="00870023" w:rsidRPr="003706B1" w:rsidRDefault="008E5356" w:rsidP="00740DD8">
            <w:pPr>
              <w:pStyle w:val="Tablecell"/>
              <w:keepNext w:val="0"/>
              <w:widowControl w:val="0"/>
              <w:jc w:val="center"/>
              <w:rPr>
                <w:b/>
                <w:bCs/>
              </w:rPr>
            </w:pPr>
            <w:r w:rsidRPr="003706B1">
              <w:rPr>
                <w:b/>
                <w:bCs/>
              </w:rPr>
              <w:t>2</w:t>
            </w:r>
            <w:r w:rsidR="007A139C" w:rsidRPr="003706B1">
              <w:rPr>
                <w:b/>
                <w:bCs/>
              </w:rPr>
              <w:t>.00</w:t>
            </w:r>
          </w:p>
        </w:tc>
        <w:tc>
          <w:tcPr>
            <w:tcW w:w="1408" w:type="dxa"/>
            <w:shd w:val="clear" w:color="auto" w:fill="auto"/>
            <w:noWrap/>
            <w:vAlign w:val="center"/>
            <w:hideMark/>
          </w:tcPr>
          <w:p w14:paraId="38490C4F" w14:textId="47A488E4" w:rsidR="00870023" w:rsidRPr="003706B1" w:rsidRDefault="00870023" w:rsidP="00740DD8">
            <w:pPr>
              <w:pStyle w:val="Tablecell"/>
              <w:keepNext w:val="0"/>
              <w:widowControl w:val="0"/>
              <w:jc w:val="center"/>
              <w:rPr>
                <w:b/>
                <w:bCs/>
              </w:rPr>
            </w:pPr>
            <w:r w:rsidRPr="003706B1">
              <w:rPr>
                <w:b/>
                <w:bCs/>
              </w:rPr>
              <w:t>$</w:t>
            </w:r>
            <w:r w:rsidR="003C4670" w:rsidRPr="003706B1">
              <w:rPr>
                <w:b/>
                <w:bCs/>
              </w:rPr>
              <w:t>61.25</w:t>
            </w:r>
          </w:p>
        </w:tc>
        <w:tc>
          <w:tcPr>
            <w:tcW w:w="1373" w:type="dxa"/>
            <w:vAlign w:val="center"/>
          </w:tcPr>
          <w:p w14:paraId="3314217C" w14:textId="3310EDC3" w:rsidR="00870023" w:rsidRPr="003706B1" w:rsidRDefault="007A139C" w:rsidP="00740DD8">
            <w:pPr>
              <w:pStyle w:val="Tablecell"/>
              <w:keepNext w:val="0"/>
              <w:widowControl w:val="0"/>
              <w:jc w:val="center"/>
              <w:rPr>
                <w:b/>
                <w:bCs/>
              </w:rPr>
            </w:pPr>
            <w:r w:rsidRPr="003706B1">
              <w:rPr>
                <w:b/>
                <w:bCs/>
              </w:rPr>
              <w:t>$</w:t>
            </w:r>
            <w:r w:rsidR="008E5356" w:rsidRPr="003706B1">
              <w:rPr>
                <w:b/>
                <w:bCs/>
              </w:rPr>
              <w:t>122</w:t>
            </w:r>
            <w:r w:rsidRPr="003706B1">
              <w:rPr>
                <w:b/>
                <w:bCs/>
              </w:rPr>
              <w:t>.</w:t>
            </w:r>
            <w:r w:rsidR="008E5356" w:rsidRPr="003706B1">
              <w:rPr>
                <w:b/>
                <w:bCs/>
              </w:rPr>
              <w:t>50</w:t>
            </w:r>
          </w:p>
        </w:tc>
      </w:tr>
      <w:tr w:rsidR="00D02568" w:rsidRPr="003706B1" w14:paraId="7B66AB69" w14:textId="7AB689FA" w:rsidTr="003706B1">
        <w:trPr>
          <w:cantSplit/>
          <w:jc w:val="center"/>
        </w:trPr>
        <w:tc>
          <w:tcPr>
            <w:tcW w:w="5620" w:type="dxa"/>
            <w:shd w:val="clear" w:color="auto" w:fill="auto"/>
            <w:noWrap/>
            <w:vAlign w:val="center"/>
            <w:hideMark/>
          </w:tcPr>
          <w:p w14:paraId="2F6767B4" w14:textId="0260375E" w:rsidR="00870023" w:rsidRPr="003706B1" w:rsidRDefault="00C315BD" w:rsidP="00004946">
            <w:pPr>
              <w:pStyle w:val="Tablecell"/>
              <w:keepNext w:val="0"/>
              <w:widowControl w:val="0"/>
            </w:pPr>
            <w:r w:rsidRPr="003706B1">
              <w:t>Total</w:t>
            </w:r>
          </w:p>
        </w:tc>
        <w:tc>
          <w:tcPr>
            <w:tcW w:w="959" w:type="dxa"/>
            <w:shd w:val="clear" w:color="auto" w:fill="auto"/>
            <w:noWrap/>
            <w:vAlign w:val="center"/>
            <w:hideMark/>
          </w:tcPr>
          <w:p w14:paraId="2D023949" w14:textId="048B9FA5" w:rsidR="00870023" w:rsidRPr="003706B1" w:rsidRDefault="00800C3C" w:rsidP="00740DD8">
            <w:pPr>
              <w:pStyle w:val="Tablecell"/>
              <w:keepNext w:val="0"/>
              <w:widowControl w:val="0"/>
              <w:jc w:val="center"/>
              <w:rPr>
                <w:b/>
                <w:bCs/>
              </w:rPr>
            </w:pPr>
            <w:r w:rsidRPr="003706B1">
              <w:rPr>
                <w:b/>
                <w:bCs/>
              </w:rPr>
              <w:t>4</w:t>
            </w:r>
            <w:r w:rsidR="007A139C" w:rsidRPr="003706B1">
              <w:rPr>
                <w:b/>
                <w:bCs/>
              </w:rPr>
              <w:t>.00</w:t>
            </w:r>
          </w:p>
        </w:tc>
        <w:tc>
          <w:tcPr>
            <w:tcW w:w="1408" w:type="dxa"/>
            <w:shd w:val="clear" w:color="auto" w:fill="auto"/>
            <w:noWrap/>
            <w:vAlign w:val="center"/>
            <w:hideMark/>
          </w:tcPr>
          <w:p w14:paraId="495C77A4" w14:textId="61336958" w:rsidR="00870023" w:rsidRPr="003706B1" w:rsidRDefault="00B47B07" w:rsidP="00740DD8">
            <w:pPr>
              <w:pStyle w:val="Tablecell"/>
              <w:keepNext w:val="0"/>
              <w:widowControl w:val="0"/>
              <w:jc w:val="center"/>
              <w:rPr>
                <w:b/>
                <w:bCs/>
              </w:rPr>
            </w:pPr>
            <w:r w:rsidRPr="003706B1">
              <w:rPr>
                <w:b/>
                <w:bCs/>
              </w:rPr>
              <w:t>N/A</w:t>
            </w:r>
          </w:p>
        </w:tc>
        <w:tc>
          <w:tcPr>
            <w:tcW w:w="1373" w:type="dxa"/>
            <w:vAlign w:val="center"/>
          </w:tcPr>
          <w:p w14:paraId="47D82D69" w14:textId="0AA98369" w:rsidR="00870023" w:rsidRPr="003706B1" w:rsidRDefault="007A139C" w:rsidP="00740DD8">
            <w:pPr>
              <w:pStyle w:val="Tablecell"/>
              <w:keepNext w:val="0"/>
              <w:widowControl w:val="0"/>
              <w:jc w:val="center"/>
              <w:rPr>
                <w:b/>
                <w:bCs/>
              </w:rPr>
            </w:pPr>
            <w:r w:rsidRPr="003706B1">
              <w:rPr>
                <w:b/>
                <w:bCs/>
              </w:rPr>
              <w:t>$</w:t>
            </w:r>
            <w:r w:rsidR="00800C3C" w:rsidRPr="003706B1">
              <w:rPr>
                <w:b/>
                <w:bCs/>
              </w:rPr>
              <w:t>245.00</w:t>
            </w:r>
          </w:p>
        </w:tc>
      </w:tr>
    </w:tbl>
    <w:p w14:paraId="4E7E2D4F" w14:textId="19E5DCD5" w:rsidR="003C723B" w:rsidRDefault="003C723B" w:rsidP="00004946">
      <w:pPr>
        <w:pStyle w:val="Paragraph"/>
        <w:widowControl w:val="0"/>
        <w:spacing w:before="240"/>
      </w:pPr>
      <w:bookmarkStart w:id="50" w:name="_Hlk131147715"/>
      <w:r>
        <w:t xml:space="preserve">We estimate annual cost of </w:t>
      </w:r>
      <w:r w:rsidR="00817276">
        <w:t xml:space="preserve">approximately </w:t>
      </w:r>
      <w:r>
        <w:t xml:space="preserve">$245 for filling </w:t>
      </w:r>
      <w:r w:rsidR="00817276">
        <w:t xml:space="preserve">temporary </w:t>
      </w:r>
      <w:r>
        <w:t>exclusion request for a single producer.</w:t>
      </w:r>
    </w:p>
    <w:p w14:paraId="4DA1A5B1" w14:textId="788D9BDD" w:rsidR="00B247C8" w:rsidRDefault="00E25C1F" w:rsidP="00004946">
      <w:pPr>
        <w:pStyle w:val="Paragraph"/>
        <w:widowControl w:val="0"/>
        <w:spacing w:before="240"/>
      </w:pPr>
      <w:r>
        <w:lastRenderedPageBreak/>
        <w:t>CalRecycle</w:t>
      </w:r>
      <w:r w:rsidR="00D60950">
        <w:rPr>
          <w:rStyle w:val="FootnoteReference"/>
        </w:rPr>
        <w:footnoteReference w:id="17"/>
      </w:r>
      <w:r>
        <w:t xml:space="preserve"> follows that</w:t>
      </w:r>
      <w:r w:rsidR="00E06EB8">
        <w:t>, at a maximum,</w:t>
      </w:r>
      <w:r>
        <w:t xml:space="preserve"> </w:t>
      </w:r>
      <w:r w:rsidRPr="002E6113">
        <w:t xml:space="preserve">74 percent </w:t>
      </w:r>
      <w:r>
        <w:t xml:space="preserve">of affected entities </w:t>
      </w:r>
      <w:r w:rsidRPr="002E6113">
        <w:t xml:space="preserve">would </w:t>
      </w:r>
      <w:r w:rsidR="00682E9B">
        <w:t xml:space="preserve">file for reduction in </w:t>
      </w:r>
      <w:r w:rsidR="007565D6">
        <w:t>noncompliance</w:t>
      </w:r>
      <w:r w:rsidR="00682E9B">
        <w:t xml:space="preserve"> penalties </w:t>
      </w:r>
      <w:r>
        <w:t>b</w:t>
      </w:r>
      <w:r w:rsidR="004B6B8C">
        <w:t xml:space="preserve">ased on </w:t>
      </w:r>
      <w:r w:rsidR="00E06EB8">
        <w:t>producers</w:t>
      </w:r>
      <w:r w:rsidR="00217F20">
        <w:t>’</w:t>
      </w:r>
      <w:r w:rsidR="004B6B8C" w:rsidRPr="002E6113">
        <w:t xml:space="preserve"> </w:t>
      </w:r>
      <w:r w:rsidR="004B6B8C">
        <w:t xml:space="preserve">progress </w:t>
      </w:r>
      <w:r w:rsidR="00E06EB8">
        <w:t>in meeting PCRC minimum requirements</w:t>
      </w:r>
      <w:bookmarkEnd w:id="50"/>
      <w:r w:rsidR="00E06EB8">
        <w:t>.</w:t>
      </w:r>
      <w:r w:rsidR="004B6B8C">
        <w:t xml:space="preserve"> However, </w:t>
      </w:r>
      <w:r w:rsidR="004258D7">
        <w:t>currently</w:t>
      </w:r>
      <w:r w:rsidR="004B6B8C">
        <w:t xml:space="preserve">, we do not have detailed information regarding </w:t>
      </w:r>
      <w:r w:rsidR="00E06EB8">
        <w:t xml:space="preserve">technical barriers to </w:t>
      </w:r>
      <w:r w:rsidR="006221E1">
        <w:t>achieving</w:t>
      </w:r>
      <w:r w:rsidR="00E06EB8">
        <w:t xml:space="preserve"> minimum PCRC rates</w:t>
      </w:r>
      <w:r w:rsidR="004B6B8C">
        <w:t xml:space="preserve">. </w:t>
      </w:r>
      <w:r w:rsidR="004258D7">
        <w:t xml:space="preserve">This </w:t>
      </w:r>
      <w:r w:rsidR="00B247C8">
        <w:t>results in uncertainty</w:t>
      </w:r>
      <w:r w:rsidR="004B6B8C">
        <w:t xml:space="preserve"> about the proportion of affected </w:t>
      </w:r>
      <w:r w:rsidR="006221E1">
        <w:t>producers</w:t>
      </w:r>
      <w:r w:rsidR="004B6B8C">
        <w:t xml:space="preserve"> that would benefit from temporary </w:t>
      </w:r>
      <w:r w:rsidR="004B6B8C" w:rsidDel="00E06EB8">
        <w:t>exclusion</w:t>
      </w:r>
      <w:r w:rsidR="004B6B8C">
        <w:t xml:space="preserve"> request.</w:t>
      </w:r>
    </w:p>
    <w:p w14:paraId="6706DC59" w14:textId="46386C72" w:rsidR="00967369" w:rsidRDefault="00B247C8" w:rsidP="001942BE">
      <w:pPr>
        <w:pStyle w:val="Paragraph"/>
        <w:spacing w:before="240"/>
      </w:pPr>
      <w:r w:rsidRPr="004E51C4">
        <w:t>To address this uncertainty,</w:t>
      </w:r>
      <w:r w:rsidR="004B6B8C" w:rsidRPr="004E51C4">
        <w:t xml:space="preserve"> we </w:t>
      </w:r>
      <w:r w:rsidRPr="004E51C4">
        <w:t>assumed</w:t>
      </w:r>
      <w:r w:rsidR="004B6B8C" w:rsidRPr="004E51C4">
        <w:t xml:space="preserve"> </w:t>
      </w:r>
      <w:r w:rsidR="0078065C">
        <w:t xml:space="preserve">three different </w:t>
      </w:r>
      <w:r w:rsidR="008462E0">
        <w:t>scenarios</w:t>
      </w:r>
      <w:r w:rsidR="0078065C">
        <w:t xml:space="preserve"> regarding the percentage of </w:t>
      </w:r>
      <w:r w:rsidR="00A507DE">
        <w:t>producer</w:t>
      </w:r>
      <w:r w:rsidR="0078065C">
        <w:t xml:space="preserve">s </w:t>
      </w:r>
      <w:r w:rsidR="00E47CBF">
        <w:t xml:space="preserve">(75 percent, 50 percent, and 25 percent) </w:t>
      </w:r>
      <w:r w:rsidR="0078065C">
        <w:t xml:space="preserve">that would submit exclusion request. </w:t>
      </w:r>
      <w:r w:rsidR="00A507DE">
        <w:t xml:space="preserve">The table below presents the total annual costs </w:t>
      </w:r>
      <w:r w:rsidR="00A507DE" w:rsidRPr="001427AC">
        <w:t xml:space="preserve">and the corresponding 20-year present value of exclusion requests cost </w:t>
      </w:r>
      <w:r w:rsidR="00F80369" w:rsidRPr="001427AC">
        <w:t>under</w:t>
      </w:r>
      <w:r w:rsidR="00A507DE" w:rsidRPr="001427AC">
        <w:t xml:space="preserve"> </w:t>
      </w:r>
      <w:r w:rsidR="00F80369" w:rsidRPr="001427AC">
        <w:t xml:space="preserve">assuming </w:t>
      </w:r>
      <w:r w:rsidR="00A507DE" w:rsidRPr="001427AC">
        <w:t>75</w:t>
      </w:r>
      <w:r w:rsidR="0058622F" w:rsidRPr="001427AC">
        <w:t xml:space="preserve"> </w:t>
      </w:r>
      <w:r w:rsidR="00A507DE" w:rsidRPr="001427AC">
        <w:t>perc</w:t>
      </w:r>
      <w:r w:rsidR="00A507DE">
        <w:t xml:space="preserve">ent, 50 percent, and 25 percent of the producers submit the exclusion request. </w:t>
      </w:r>
    </w:p>
    <w:p w14:paraId="7DA5300C" w14:textId="2A673DD5" w:rsidR="004C4CD5" w:rsidRPr="003706B1" w:rsidRDefault="00C63872" w:rsidP="003706B1">
      <w:pPr>
        <w:pStyle w:val="Caption"/>
        <w:keepNext/>
        <w:keepLines/>
      </w:pPr>
      <w:bookmarkStart w:id="51" w:name="_Toc133303730"/>
      <w:r w:rsidRPr="003706B1">
        <w:t xml:space="preserve">Table </w:t>
      </w:r>
      <w:fldSimple w:instr=" SEQ Table \* ARABIC ">
        <w:r w:rsidR="00726B91" w:rsidRPr="003706B1">
          <w:rPr>
            <w:noProof/>
          </w:rPr>
          <w:t>11</w:t>
        </w:r>
      </w:fldSimple>
      <w:r w:rsidR="000F5E36" w:rsidRPr="003706B1">
        <w:t xml:space="preserve">. </w:t>
      </w:r>
      <w:r w:rsidRPr="003706B1">
        <w:t>20-year present value cost estimation of exclusion request considering various proportion of producers</w:t>
      </w:r>
      <w:r w:rsidR="000F5E36" w:rsidRPr="003706B1">
        <w:t>.</w:t>
      </w:r>
      <w:bookmarkEnd w:id="51"/>
    </w:p>
    <w:tbl>
      <w:tblPr>
        <w:tblW w:w="10530" w:type="dxa"/>
        <w:jc w:val="center"/>
        <w:tblBorders>
          <w:insideH w:val="single" w:sz="4" w:space="0" w:color="auto"/>
          <w:insideV w:val="single" w:sz="4" w:space="0" w:color="auto"/>
        </w:tblBorders>
        <w:tblLayout w:type="fixed"/>
        <w:tblLook w:val="04A0" w:firstRow="1" w:lastRow="0" w:firstColumn="1" w:lastColumn="0" w:noHBand="0" w:noVBand="1"/>
        <w:tblCaption w:val="sensitivity analysis of percentage exclusion request assumption"/>
      </w:tblPr>
      <w:tblGrid>
        <w:gridCol w:w="1890"/>
        <w:gridCol w:w="1440"/>
        <w:gridCol w:w="1440"/>
        <w:gridCol w:w="1440"/>
        <w:gridCol w:w="1440"/>
        <w:gridCol w:w="1440"/>
        <w:gridCol w:w="1440"/>
      </w:tblGrid>
      <w:tr w:rsidR="00B5101E" w:rsidRPr="003706B1" w14:paraId="4F2AA8E8" w14:textId="77777777" w:rsidTr="00E935F0">
        <w:trPr>
          <w:cantSplit/>
          <w:trHeight w:val="1025"/>
          <w:tblHeader/>
          <w:jc w:val="center"/>
        </w:trPr>
        <w:tc>
          <w:tcPr>
            <w:tcW w:w="1890" w:type="dxa"/>
            <w:shd w:val="clear" w:color="auto" w:fill="auto"/>
            <w:noWrap/>
            <w:vAlign w:val="center"/>
          </w:tcPr>
          <w:p w14:paraId="19AB5FFF" w14:textId="12CD4C41" w:rsidR="00B5101E" w:rsidRPr="003706B1" w:rsidRDefault="00B409E8" w:rsidP="003706B1">
            <w:pPr>
              <w:pStyle w:val="Tablecell"/>
              <w:keepLines/>
              <w:jc w:val="right"/>
            </w:pPr>
            <w:r w:rsidRPr="003706B1">
              <w:t>Assumed percentage requesting exclusions:</w:t>
            </w:r>
          </w:p>
        </w:tc>
        <w:tc>
          <w:tcPr>
            <w:tcW w:w="2880" w:type="dxa"/>
            <w:gridSpan w:val="2"/>
            <w:shd w:val="clear" w:color="auto" w:fill="auto"/>
            <w:noWrap/>
            <w:vAlign w:val="center"/>
          </w:tcPr>
          <w:p w14:paraId="19A37BB5" w14:textId="402F2A37" w:rsidR="00B5101E" w:rsidRPr="003706B1" w:rsidRDefault="00B5101E" w:rsidP="003706B1">
            <w:pPr>
              <w:pStyle w:val="Tablecell"/>
              <w:keepLines/>
              <w:jc w:val="center"/>
            </w:pPr>
            <w:r w:rsidRPr="003706B1">
              <w:t>75 percent</w:t>
            </w:r>
          </w:p>
        </w:tc>
        <w:tc>
          <w:tcPr>
            <w:tcW w:w="2880" w:type="dxa"/>
            <w:gridSpan w:val="2"/>
            <w:shd w:val="clear" w:color="auto" w:fill="auto"/>
            <w:noWrap/>
            <w:vAlign w:val="center"/>
          </w:tcPr>
          <w:p w14:paraId="7E6530EC" w14:textId="23B2A955" w:rsidR="00B5101E" w:rsidRPr="003706B1" w:rsidRDefault="00B5101E" w:rsidP="003706B1">
            <w:pPr>
              <w:pStyle w:val="Tablecell"/>
              <w:keepLines/>
              <w:jc w:val="center"/>
            </w:pPr>
            <w:r w:rsidRPr="003706B1">
              <w:t>50 percent</w:t>
            </w:r>
          </w:p>
        </w:tc>
        <w:tc>
          <w:tcPr>
            <w:tcW w:w="2880" w:type="dxa"/>
            <w:gridSpan w:val="2"/>
            <w:shd w:val="clear" w:color="auto" w:fill="auto"/>
            <w:noWrap/>
            <w:vAlign w:val="center"/>
          </w:tcPr>
          <w:p w14:paraId="6D396D80" w14:textId="7A775987" w:rsidR="00B5101E" w:rsidRPr="003706B1" w:rsidRDefault="00B5101E" w:rsidP="003706B1">
            <w:pPr>
              <w:pStyle w:val="Tablecell"/>
              <w:keepLines/>
              <w:jc w:val="center"/>
            </w:pPr>
            <w:r w:rsidRPr="003706B1">
              <w:t>25 percent</w:t>
            </w:r>
          </w:p>
        </w:tc>
      </w:tr>
      <w:tr w:rsidR="002B3FDC" w:rsidRPr="003706B1" w14:paraId="65CBE7C9" w14:textId="77777777" w:rsidTr="00E935F0">
        <w:trPr>
          <w:cantSplit/>
          <w:trHeight w:val="260"/>
          <w:jc w:val="center"/>
        </w:trPr>
        <w:tc>
          <w:tcPr>
            <w:tcW w:w="1890" w:type="dxa"/>
            <w:shd w:val="clear" w:color="auto" w:fill="auto"/>
            <w:noWrap/>
            <w:vAlign w:val="center"/>
          </w:tcPr>
          <w:p w14:paraId="6F86F9CA" w14:textId="4CD5EA7F" w:rsidR="00230B4E" w:rsidRPr="003706B1" w:rsidRDefault="00B409E8" w:rsidP="003706B1">
            <w:pPr>
              <w:pStyle w:val="Tablecell"/>
              <w:keepLines/>
              <w:jc w:val="right"/>
            </w:pPr>
            <w:r w:rsidRPr="003706B1">
              <w:t>Range endpoint:</w:t>
            </w:r>
          </w:p>
        </w:tc>
        <w:tc>
          <w:tcPr>
            <w:tcW w:w="1440" w:type="dxa"/>
            <w:shd w:val="clear" w:color="auto" w:fill="auto"/>
            <w:noWrap/>
            <w:vAlign w:val="center"/>
          </w:tcPr>
          <w:p w14:paraId="2829BB1D" w14:textId="3BDD988E" w:rsidR="00230B4E" w:rsidRPr="003706B1" w:rsidRDefault="00230B4E" w:rsidP="003706B1">
            <w:pPr>
              <w:pStyle w:val="Tablecell"/>
              <w:keepLines/>
              <w:jc w:val="center"/>
            </w:pPr>
            <w:r w:rsidRPr="003706B1">
              <w:t>Low</w:t>
            </w:r>
          </w:p>
        </w:tc>
        <w:tc>
          <w:tcPr>
            <w:tcW w:w="1440" w:type="dxa"/>
            <w:shd w:val="clear" w:color="auto" w:fill="auto"/>
            <w:noWrap/>
            <w:vAlign w:val="center"/>
          </w:tcPr>
          <w:p w14:paraId="63FBFD68" w14:textId="691565F4" w:rsidR="00230B4E" w:rsidRPr="003706B1" w:rsidRDefault="00230B4E" w:rsidP="003706B1">
            <w:pPr>
              <w:pStyle w:val="Tablecell"/>
              <w:keepLines/>
              <w:jc w:val="center"/>
            </w:pPr>
            <w:r w:rsidRPr="003706B1">
              <w:t>High</w:t>
            </w:r>
          </w:p>
        </w:tc>
        <w:tc>
          <w:tcPr>
            <w:tcW w:w="1440" w:type="dxa"/>
            <w:shd w:val="clear" w:color="auto" w:fill="auto"/>
            <w:noWrap/>
            <w:vAlign w:val="center"/>
          </w:tcPr>
          <w:p w14:paraId="55356F9F" w14:textId="47EC0A3C" w:rsidR="00230B4E" w:rsidRPr="003706B1" w:rsidRDefault="00230B4E" w:rsidP="003706B1">
            <w:pPr>
              <w:pStyle w:val="Tablecell"/>
              <w:keepLines/>
              <w:jc w:val="center"/>
            </w:pPr>
            <w:r w:rsidRPr="003706B1">
              <w:t>Low</w:t>
            </w:r>
          </w:p>
        </w:tc>
        <w:tc>
          <w:tcPr>
            <w:tcW w:w="1440" w:type="dxa"/>
            <w:shd w:val="clear" w:color="auto" w:fill="auto"/>
            <w:noWrap/>
            <w:vAlign w:val="center"/>
          </w:tcPr>
          <w:p w14:paraId="7E0815BA" w14:textId="7B2EAFBA" w:rsidR="00230B4E" w:rsidRPr="003706B1" w:rsidRDefault="00230B4E" w:rsidP="003706B1">
            <w:pPr>
              <w:pStyle w:val="Tablecell"/>
              <w:keepLines/>
              <w:jc w:val="center"/>
            </w:pPr>
            <w:r w:rsidRPr="003706B1">
              <w:t>High</w:t>
            </w:r>
          </w:p>
        </w:tc>
        <w:tc>
          <w:tcPr>
            <w:tcW w:w="1440" w:type="dxa"/>
            <w:shd w:val="clear" w:color="auto" w:fill="auto"/>
            <w:noWrap/>
            <w:vAlign w:val="center"/>
          </w:tcPr>
          <w:p w14:paraId="17368126" w14:textId="1BAF35F3" w:rsidR="00230B4E" w:rsidRPr="003706B1" w:rsidRDefault="00230B4E" w:rsidP="003706B1">
            <w:pPr>
              <w:pStyle w:val="Tablecell"/>
              <w:keepLines/>
              <w:jc w:val="center"/>
            </w:pPr>
            <w:r w:rsidRPr="003706B1">
              <w:t>Low</w:t>
            </w:r>
          </w:p>
        </w:tc>
        <w:tc>
          <w:tcPr>
            <w:tcW w:w="1440" w:type="dxa"/>
            <w:shd w:val="clear" w:color="auto" w:fill="auto"/>
            <w:noWrap/>
            <w:vAlign w:val="center"/>
          </w:tcPr>
          <w:p w14:paraId="21055CF5" w14:textId="17AF367A" w:rsidR="00230B4E" w:rsidRPr="003706B1" w:rsidRDefault="00230B4E" w:rsidP="003706B1">
            <w:pPr>
              <w:pStyle w:val="Tablecell"/>
              <w:keepLines/>
              <w:jc w:val="center"/>
            </w:pPr>
            <w:r w:rsidRPr="003706B1">
              <w:t>High</w:t>
            </w:r>
          </w:p>
        </w:tc>
      </w:tr>
      <w:tr w:rsidR="002B3FDC" w:rsidRPr="003706B1" w14:paraId="2382BDA9" w14:textId="77777777" w:rsidTr="00E935F0">
        <w:trPr>
          <w:cantSplit/>
          <w:trHeight w:val="260"/>
          <w:jc w:val="center"/>
        </w:trPr>
        <w:tc>
          <w:tcPr>
            <w:tcW w:w="1890" w:type="dxa"/>
            <w:shd w:val="clear" w:color="auto" w:fill="auto"/>
            <w:noWrap/>
            <w:vAlign w:val="center"/>
            <w:hideMark/>
          </w:tcPr>
          <w:p w14:paraId="79E399CE" w14:textId="4BAAC7D8" w:rsidR="000A3D12" w:rsidRPr="003706B1" w:rsidRDefault="000A3D12" w:rsidP="003706B1">
            <w:pPr>
              <w:pStyle w:val="Tablecell"/>
              <w:keepLines/>
            </w:pPr>
            <w:r w:rsidRPr="003706B1">
              <w:t xml:space="preserve">a. Trash bag </w:t>
            </w:r>
          </w:p>
        </w:tc>
        <w:tc>
          <w:tcPr>
            <w:tcW w:w="1440" w:type="dxa"/>
            <w:shd w:val="clear" w:color="auto" w:fill="auto"/>
            <w:noWrap/>
            <w:vAlign w:val="center"/>
            <w:hideMark/>
          </w:tcPr>
          <w:p w14:paraId="2B9072D7" w14:textId="12431259" w:rsidR="000A3D12" w:rsidRPr="003706B1" w:rsidRDefault="000A3D12" w:rsidP="003706B1">
            <w:pPr>
              <w:pStyle w:val="Tablecell"/>
              <w:keepLines/>
              <w:jc w:val="right"/>
              <w:rPr>
                <w:b/>
                <w:bCs/>
              </w:rPr>
            </w:pPr>
            <w:r w:rsidRPr="003706B1">
              <w:rPr>
                <w:b/>
                <w:bCs/>
              </w:rPr>
              <w:t>$</w:t>
            </w:r>
            <w:r w:rsidR="00CC0299" w:rsidRPr="003706B1">
              <w:rPr>
                <w:b/>
                <w:bCs/>
              </w:rPr>
              <w:t>735</w:t>
            </w:r>
            <w:r w:rsidR="00F819BB" w:rsidRPr="003706B1">
              <w:rPr>
                <w:b/>
                <w:bCs/>
              </w:rPr>
              <w:t>.00</w:t>
            </w:r>
            <w:r w:rsidRPr="003706B1">
              <w:rPr>
                <w:b/>
                <w:bCs/>
              </w:rPr>
              <w:t xml:space="preserve"> </w:t>
            </w:r>
          </w:p>
        </w:tc>
        <w:tc>
          <w:tcPr>
            <w:tcW w:w="1440" w:type="dxa"/>
            <w:shd w:val="clear" w:color="auto" w:fill="auto"/>
            <w:noWrap/>
            <w:vAlign w:val="center"/>
            <w:hideMark/>
          </w:tcPr>
          <w:p w14:paraId="5F927772" w14:textId="0B3D300E" w:rsidR="000A3D12" w:rsidRPr="003706B1" w:rsidRDefault="000A3D12" w:rsidP="003706B1">
            <w:pPr>
              <w:pStyle w:val="Tablecell"/>
              <w:keepLines/>
              <w:jc w:val="right"/>
              <w:rPr>
                <w:b/>
                <w:bCs/>
              </w:rPr>
            </w:pPr>
            <w:r w:rsidRPr="003706B1">
              <w:rPr>
                <w:b/>
                <w:bCs/>
              </w:rPr>
              <w:t>$</w:t>
            </w:r>
            <w:r w:rsidR="00F819BB" w:rsidRPr="003706B1">
              <w:rPr>
                <w:b/>
                <w:bCs/>
              </w:rPr>
              <w:t>735.00</w:t>
            </w:r>
            <w:r w:rsidRPr="003706B1">
              <w:rPr>
                <w:b/>
                <w:bCs/>
              </w:rPr>
              <w:t xml:space="preserve"> </w:t>
            </w:r>
          </w:p>
        </w:tc>
        <w:tc>
          <w:tcPr>
            <w:tcW w:w="1440" w:type="dxa"/>
            <w:shd w:val="clear" w:color="auto" w:fill="auto"/>
            <w:noWrap/>
            <w:vAlign w:val="center"/>
            <w:hideMark/>
          </w:tcPr>
          <w:p w14:paraId="10FD4C59" w14:textId="09A71653" w:rsidR="000A3D12" w:rsidRPr="003706B1" w:rsidRDefault="000A3D12" w:rsidP="003706B1">
            <w:pPr>
              <w:pStyle w:val="Tablecell"/>
              <w:keepLines/>
              <w:jc w:val="right"/>
              <w:rPr>
                <w:b/>
                <w:bCs/>
              </w:rPr>
            </w:pPr>
            <w:r w:rsidRPr="003706B1">
              <w:rPr>
                <w:b/>
                <w:bCs/>
              </w:rPr>
              <w:t>$</w:t>
            </w:r>
            <w:r w:rsidR="00F7635C" w:rsidRPr="003706B1">
              <w:rPr>
                <w:b/>
                <w:bCs/>
              </w:rPr>
              <w:t>490.00</w:t>
            </w:r>
          </w:p>
        </w:tc>
        <w:tc>
          <w:tcPr>
            <w:tcW w:w="1440" w:type="dxa"/>
            <w:shd w:val="clear" w:color="auto" w:fill="auto"/>
            <w:noWrap/>
            <w:vAlign w:val="center"/>
            <w:hideMark/>
          </w:tcPr>
          <w:p w14:paraId="6066B671" w14:textId="61DE34B9" w:rsidR="000A3D12" w:rsidRPr="003706B1" w:rsidRDefault="000A3D12" w:rsidP="003706B1">
            <w:pPr>
              <w:pStyle w:val="Tablecell"/>
              <w:keepLines/>
              <w:jc w:val="right"/>
              <w:rPr>
                <w:b/>
                <w:bCs/>
              </w:rPr>
            </w:pPr>
            <w:r w:rsidRPr="003706B1">
              <w:rPr>
                <w:b/>
                <w:bCs/>
              </w:rPr>
              <w:t>$</w:t>
            </w:r>
            <w:r w:rsidR="00DF6ADC" w:rsidRPr="003706B1">
              <w:rPr>
                <w:b/>
                <w:bCs/>
              </w:rPr>
              <w:t>490.00</w:t>
            </w:r>
            <w:r w:rsidRPr="003706B1">
              <w:rPr>
                <w:b/>
                <w:bCs/>
              </w:rPr>
              <w:t xml:space="preserve"> </w:t>
            </w:r>
          </w:p>
        </w:tc>
        <w:tc>
          <w:tcPr>
            <w:tcW w:w="1440" w:type="dxa"/>
            <w:shd w:val="clear" w:color="auto" w:fill="auto"/>
            <w:noWrap/>
            <w:vAlign w:val="center"/>
            <w:hideMark/>
          </w:tcPr>
          <w:p w14:paraId="5F71EB29" w14:textId="1418B865" w:rsidR="000A3D12" w:rsidRPr="003706B1" w:rsidRDefault="000A3D12" w:rsidP="003706B1">
            <w:pPr>
              <w:pStyle w:val="Tablecell"/>
              <w:keepLines/>
              <w:jc w:val="right"/>
              <w:rPr>
                <w:b/>
                <w:bCs/>
              </w:rPr>
            </w:pPr>
            <w:r w:rsidRPr="003706B1">
              <w:rPr>
                <w:b/>
                <w:bCs/>
              </w:rPr>
              <w:t>$</w:t>
            </w:r>
            <w:r w:rsidR="004E6A51" w:rsidRPr="003706B1">
              <w:rPr>
                <w:b/>
                <w:bCs/>
              </w:rPr>
              <w:t>245.00</w:t>
            </w:r>
            <w:r w:rsidRPr="003706B1">
              <w:rPr>
                <w:b/>
                <w:bCs/>
              </w:rPr>
              <w:t xml:space="preserve"> </w:t>
            </w:r>
          </w:p>
        </w:tc>
        <w:tc>
          <w:tcPr>
            <w:tcW w:w="1440" w:type="dxa"/>
            <w:shd w:val="clear" w:color="auto" w:fill="auto"/>
            <w:noWrap/>
            <w:vAlign w:val="center"/>
            <w:hideMark/>
          </w:tcPr>
          <w:p w14:paraId="30576321" w14:textId="005BD234" w:rsidR="000A3D12" w:rsidRPr="003706B1" w:rsidRDefault="000A3D12" w:rsidP="003706B1">
            <w:pPr>
              <w:pStyle w:val="Tablecell"/>
              <w:keepLines/>
              <w:jc w:val="right"/>
              <w:rPr>
                <w:b/>
                <w:bCs/>
              </w:rPr>
            </w:pPr>
            <w:r w:rsidRPr="003706B1">
              <w:rPr>
                <w:b/>
                <w:bCs/>
              </w:rPr>
              <w:t>$</w:t>
            </w:r>
            <w:r w:rsidR="004E6A51" w:rsidRPr="003706B1">
              <w:rPr>
                <w:b/>
                <w:bCs/>
              </w:rPr>
              <w:t>245.00</w:t>
            </w:r>
            <w:r w:rsidRPr="003706B1">
              <w:rPr>
                <w:b/>
                <w:bCs/>
              </w:rPr>
              <w:t xml:space="preserve"> </w:t>
            </w:r>
          </w:p>
        </w:tc>
      </w:tr>
      <w:tr w:rsidR="002B3FDC" w:rsidRPr="003706B1" w14:paraId="6E54472A" w14:textId="77777777" w:rsidTr="00E935F0">
        <w:trPr>
          <w:cantSplit/>
          <w:trHeight w:val="505"/>
          <w:jc w:val="center"/>
        </w:trPr>
        <w:tc>
          <w:tcPr>
            <w:tcW w:w="1890" w:type="dxa"/>
            <w:shd w:val="clear" w:color="auto" w:fill="auto"/>
            <w:noWrap/>
            <w:vAlign w:val="center"/>
            <w:hideMark/>
          </w:tcPr>
          <w:p w14:paraId="69B2B99C" w14:textId="60A8ED77" w:rsidR="000A3D12" w:rsidRPr="003706B1" w:rsidRDefault="000A3D12" w:rsidP="003706B1">
            <w:pPr>
              <w:pStyle w:val="Tablecell"/>
              <w:keepLines/>
            </w:pPr>
            <w:r w:rsidRPr="003706B1">
              <w:t>b. Beverage container</w:t>
            </w:r>
          </w:p>
        </w:tc>
        <w:tc>
          <w:tcPr>
            <w:tcW w:w="1440" w:type="dxa"/>
            <w:shd w:val="clear" w:color="auto" w:fill="auto"/>
            <w:noWrap/>
            <w:vAlign w:val="center"/>
            <w:hideMark/>
          </w:tcPr>
          <w:p w14:paraId="08877EE0" w14:textId="6F51265C" w:rsidR="000A3D12" w:rsidRPr="003706B1" w:rsidRDefault="000A3D12" w:rsidP="003706B1">
            <w:pPr>
              <w:pStyle w:val="Tablecell"/>
              <w:keepLines/>
              <w:jc w:val="right"/>
              <w:rPr>
                <w:b/>
                <w:bCs/>
              </w:rPr>
            </w:pPr>
            <w:r w:rsidRPr="003706B1">
              <w:rPr>
                <w:b/>
                <w:bCs/>
              </w:rPr>
              <w:t>$</w:t>
            </w:r>
            <w:r w:rsidR="00CC0299" w:rsidRPr="003706B1">
              <w:rPr>
                <w:b/>
                <w:bCs/>
              </w:rPr>
              <w:t>10,535</w:t>
            </w:r>
            <w:r w:rsidR="00F819BB" w:rsidRPr="003706B1">
              <w:rPr>
                <w:b/>
                <w:bCs/>
              </w:rPr>
              <w:t>.00</w:t>
            </w:r>
            <w:r w:rsidRPr="003706B1">
              <w:rPr>
                <w:b/>
                <w:bCs/>
              </w:rPr>
              <w:t xml:space="preserve"> </w:t>
            </w:r>
          </w:p>
        </w:tc>
        <w:tc>
          <w:tcPr>
            <w:tcW w:w="1440" w:type="dxa"/>
            <w:shd w:val="clear" w:color="auto" w:fill="auto"/>
            <w:noWrap/>
            <w:vAlign w:val="center"/>
            <w:hideMark/>
          </w:tcPr>
          <w:p w14:paraId="511B0BC0" w14:textId="7E49257B" w:rsidR="000A3D12" w:rsidRPr="003706B1" w:rsidRDefault="000A3D12" w:rsidP="003706B1">
            <w:pPr>
              <w:pStyle w:val="Tablecell"/>
              <w:keepLines/>
              <w:jc w:val="right"/>
              <w:rPr>
                <w:b/>
                <w:bCs/>
              </w:rPr>
            </w:pPr>
            <w:r w:rsidRPr="003706B1">
              <w:rPr>
                <w:b/>
                <w:bCs/>
              </w:rPr>
              <w:t>$</w:t>
            </w:r>
            <w:r w:rsidR="00A401A2" w:rsidRPr="003706B1">
              <w:rPr>
                <w:b/>
                <w:bCs/>
              </w:rPr>
              <w:t>1</w:t>
            </w:r>
            <w:r w:rsidR="00F819BB" w:rsidRPr="003706B1">
              <w:rPr>
                <w:b/>
                <w:bCs/>
              </w:rPr>
              <w:t>6,415.00</w:t>
            </w:r>
            <w:r w:rsidRPr="003706B1">
              <w:rPr>
                <w:b/>
                <w:bCs/>
              </w:rPr>
              <w:t xml:space="preserve"> </w:t>
            </w:r>
          </w:p>
        </w:tc>
        <w:tc>
          <w:tcPr>
            <w:tcW w:w="1440" w:type="dxa"/>
            <w:shd w:val="clear" w:color="auto" w:fill="auto"/>
            <w:noWrap/>
            <w:vAlign w:val="center"/>
            <w:hideMark/>
          </w:tcPr>
          <w:p w14:paraId="159E9D51" w14:textId="33875C3C" w:rsidR="000A3D12" w:rsidRPr="003706B1" w:rsidRDefault="000A3D12" w:rsidP="003706B1">
            <w:pPr>
              <w:pStyle w:val="Tablecell"/>
              <w:keepLines/>
              <w:jc w:val="right"/>
              <w:rPr>
                <w:b/>
                <w:bCs/>
              </w:rPr>
            </w:pPr>
            <w:r w:rsidRPr="003706B1">
              <w:rPr>
                <w:b/>
                <w:bCs/>
              </w:rPr>
              <w:t>$</w:t>
            </w:r>
            <w:r w:rsidR="00F7635C" w:rsidRPr="003706B1">
              <w:rPr>
                <w:b/>
                <w:bCs/>
              </w:rPr>
              <w:t>7,105.00</w:t>
            </w:r>
            <w:r w:rsidRPr="003706B1">
              <w:rPr>
                <w:b/>
                <w:bCs/>
              </w:rPr>
              <w:t xml:space="preserve"> </w:t>
            </w:r>
          </w:p>
        </w:tc>
        <w:tc>
          <w:tcPr>
            <w:tcW w:w="1440" w:type="dxa"/>
            <w:shd w:val="clear" w:color="auto" w:fill="auto"/>
            <w:noWrap/>
            <w:vAlign w:val="center"/>
            <w:hideMark/>
          </w:tcPr>
          <w:p w14:paraId="0105FABB" w14:textId="1EF17627" w:rsidR="000A3D12" w:rsidRPr="003706B1" w:rsidRDefault="000A3D12" w:rsidP="003706B1">
            <w:pPr>
              <w:pStyle w:val="Tablecell"/>
              <w:keepLines/>
              <w:jc w:val="right"/>
              <w:rPr>
                <w:b/>
                <w:bCs/>
              </w:rPr>
            </w:pPr>
            <w:r w:rsidRPr="003706B1">
              <w:rPr>
                <w:b/>
                <w:bCs/>
              </w:rPr>
              <w:t>$</w:t>
            </w:r>
            <w:r w:rsidR="00DF6ADC" w:rsidRPr="003706B1">
              <w:rPr>
                <w:b/>
                <w:bCs/>
              </w:rPr>
              <w:t>11,025.00</w:t>
            </w:r>
            <w:r w:rsidRPr="003706B1">
              <w:rPr>
                <w:b/>
                <w:bCs/>
              </w:rPr>
              <w:t xml:space="preserve"> </w:t>
            </w:r>
          </w:p>
        </w:tc>
        <w:tc>
          <w:tcPr>
            <w:tcW w:w="1440" w:type="dxa"/>
            <w:shd w:val="clear" w:color="auto" w:fill="auto"/>
            <w:noWrap/>
            <w:vAlign w:val="center"/>
            <w:hideMark/>
          </w:tcPr>
          <w:p w14:paraId="5D70844A" w14:textId="33BAB36A" w:rsidR="000A3D12" w:rsidRPr="003706B1" w:rsidRDefault="000A3D12" w:rsidP="003706B1">
            <w:pPr>
              <w:pStyle w:val="Tablecell"/>
              <w:keepLines/>
              <w:jc w:val="right"/>
              <w:rPr>
                <w:b/>
                <w:bCs/>
              </w:rPr>
            </w:pPr>
            <w:r w:rsidRPr="003706B1">
              <w:rPr>
                <w:b/>
                <w:bCs/>
              </w:rPr>
              <w:t>$</w:t>
            </w:r>
            <w:r w:rsidR="004E6A51" w:rsidRPr="003706B1">
              <w:rPr>
                <w:b/>
                <w:bCs/>
              </w:rPr>
              <w:t>3,430.00</w:t>
            </w:r>
            <w:r w:rsidRPr="003706B1">
              <w:rPr>
                <w:b/>
                <w:bCs/>
              </w:rPr>
              <w:t xml:space="preserve"> </w:t>
            </w:r>
          </w:p>
        </w:tc>
        <w:tc>
          <w:tcPr>
            <w:tcW w:w="1440" w:type="dxa"/>
            <w:shd w:val="clear" w:color="auto" w:fill="auto"/>
            <w:noWrap/>
            <w:vAlign w:val="center"/>
            <w:hideMark/>
          </w:tcPr>
          <w:p w14:paraId="408FF91B" w14:textId="1436E130" w:rsidR="000A3D12" w:rsidRPr="003706B1" w:rsidRDefault="000A3D12" w:rsidP="003706B1">
            <w:pPr>
              <w:pStyle w:val="Tablecell"/>
              <w:keepLines/>
              <w:jc w:val="right"/>
              <w:rPr>
                <w:b/>
                <w:bCs/>
              </w:rPr>
            </w:pPr>
            <w:r w:rsidRPr="003706B1">
              <w:rPr>
                <w:b/>
                <w:bCs/>
              </w:rPr>
              <w:t>$</w:t>
            </w:r>
            <w:r w:rsidR="00B8727C" w:rsidRPr="003706B1">
              <w:rPr>
                <w:b/>
                <w:bCs/>
              </w:rPr>
              <w:t>5,390.00</w:t>
            </w:r>
            <w:r w:rsidRPr="003706B1">
              <w:rPr>
                <w:b/>
                <w:bCs/>
              </w:rPr>
              <w:t xml:space="preserve"> </w:t>
            </w:r>
          </w:p>
        </w:tc>
      </w:tr>
      <w:tr w:rsidR="002B3FDC" w:rsidRPr="003706B1" w14:paraId="5319F3B2" w14:textId="77777777" w:rsidTr="00E935F0">
        <w:trPr>
          <w:cantSplit/>
          <w:trHeight w:val="765"/>
          <w:jc w:val="center"/>
        </w:trPr>
        <w:tc>
          <w:tcPr>
            <w:tcW w:w="1890" w:type="dxa"/>
            <w:shd w:val="clear" w:color="auto" w:fill="auto"/>
            <w:noWrap/>
            <w:vAlign w:val="center"/>
            <w:hideMark/>
          </w:tcPr>
          <w:p w14:paraId="323B059A" w14:textId="4E176BD2" w:rsidR="000A3D12" w:rsidRPr="003706B1" w:rsidRDefault="00C22849" w:rsidP="003706B1">
            <w:pPr>
              <w:pStyle w:val="Tablecell"/>
              <w:keepLines/>
            </w:pPr>
            <w:r w:rsidRPr="003706B1">
              <w:t>c</w:t>
            </w:r>
            <w:r w:rsidR="000A3D12" w:rsidRPr="003706B1">
              <w:t>. Household cleaning and personal care</w:t>
            </w:r>
          </w:p>
        </w:tc>
        <w:tc>
          <w:tcPr>
            <w:tcW w:w="1440" w:type="dxa"/>
            <w:shd w:val="clear" w:color="auto" w:fill="auto"/>
            <w:noWrap/>
            <w:vAlign w:val="center"/>
            <w:hideMark/>
          </w:tcPr>
          <w:p w14:paraId="1D52BBCA" w14:textId="34C6847C" w:rsidR="000A3D12" w:rsidRPr="003706B1" w:rsidRDefault="000A3D12" w:rsidP="003706B1">
            <w:pPr>
              <w:pStyle w:val="Tablecell"/>
              <w:keepLines/>
              <w:jc w:val="right"/>
              <w:rPr>
                <w:b/>
                <w:bCs/>
              </w:rPr>
            </w:pPr>
            <w:r w:rsidRPr="003706B1">
              <w:rPr>
                <w:b/>
                <w:bCs/>
              </w:rPr>
              <w:t>$</w:t>
            </w:r>
            <w:r w:rsidR="00CC0299" w:rsidRPr="003706B1">
              <w:rPr>
                <w:b/>
                <w:bCs/>
              </w:rPr>
              <w:t>7,702</w:t>
            </w:r>
            <w:r w:rsidR="00F819BB" w:rsidRPr="003706B1">
              <w:rPr>
                <w:b/>
                <w:bCs/>
              </w:rPr>
              <w:t>.29</w:t>
            </w:r>
            <w:r w:rsidRPr="003706B1">
              <w:rPr>
                <w:b/>
                <w:bCs/>
              </w:rPr>
              <w:t xml:space="preserve"> </w:t>
            </w:r>
          </w:p>
        </w:tc>
        <w:tc>
          <w:tcPr>
            <w:tcW w:w="1440" w:type="dxa"/>
            <w:shd w:val="clear" w:color="auto" w:fill="auto"/>
            <w:noWrap/>
            <w:vAlign w:val="center"/>
            <w:hideMark/>
          </w:tcPr>
          <w:p w14:paraId="09FAFBDE" w14:textId="435E06C3" w:rsidR="000A3D12" w:rsidRPr="003706B1" w:rsidRDefault="000A3D12" w:rsidP="003706B1">
            <w:pPr>
              <w:pStyle w:val="Tablecell"/>
              <w:keepLines/>
              <w:jc w:val="right"/>
              <w:rPr>
                <w:b/>
                <w:bCs/>
              </w:rPr>
            </w:pPr>
            <w:r w:rsidRPr="003706B1">
              <w:rPr>
                <w:b/>
                <w:bCs/>
              </w:rPr>
              <w:t>$</w:t>
            </w:r>
            <w:r w:rsidR="00F819BB" w:rsidRPr="003706B1">
              <w:rPr>
                <w:b/>
                <w:bCs/>
              </w:rPr>
              <w:t>21,421.99</w:t>
            </w:r>
            <w:r w:rsidRPr="003706B1">
              <w:rPr>
                <w:b/>
                <w:bCs/>
              </w:rPr>
              <w:t xml:space="preserve"> </w:t>
            </w:r>
          </w:p>
        </w:tc>
        <w:tc>
          <w:tcPr>
            <w:tcW w:w="1440" w:type="dxa"/>
            <w:shd w:val="clear" w:color="auto" w:fill="auto"/>
            <w:noWrap/>
            <w:vAlign w:val="center"/>
            <w:hideMark/>
          </w:tcPr>
          <w:p w14:paraId="7C9D320F" w14:textId="5A9A6E2C" w:rsidR="000A3D12" w:rsidRPr="003706B1" w:rsidRDefault="000A3D12" w:rsidP="003706B1">
            <w:pPr>
              <w:pStyle w:val="Tablecell"/>
              <w:keepLines/>
              <w:jc w:val="right"/>
              <w:rPr>
                <w:b/>
                <w:bCs/>
              </w:rPr>
            </w:pPr>
            <w:r w:rsidRPr="003706B1">
              <w:rPr>
                <w:b/>
                <w:bCs/>
              </w:rPr>
              <w:t>$</w:t>
            </w:r>
            <w:r w:rsidR="00F7635C" w:rsidRPr="003706B1">
              <w:rPr>
                <w:b/>
                <w:bCs/>
              </w:rPr>
              <w:t>5,295.32</w:t>
            </w:r>
            <w:r w:rsidRPr="003706B1">
              <w:rPr>
                <w:b/>
                <w:bCs/>
              </w:rPr>
              <w:t xml:space="preserve"> </w:t>
            </w:r>
          </w:p>
        </w:tc>
        <w:tc>
          <w:tcPr>
            <w:tcW w:w="1440" w:type="dxa"/>
            <w:shd w:val="clear" w:color="auto" w:fill="auto"/>
            <w:noWrap/>
            <w:vAlign w:val="center"/>
            <w:hideMark/>
          </w:tcPr>
          <w:p w14:paraId="3596756B" w14:textId="5D39A2D8" w:rsidR="000A3D12" w:rsidRPr="003706B1" w:rsidRDefault="000A3D12" w:rsidP="003706B1">
            <w:pPr>
              <w:pStyle w:val="Tablecell"/>
              <w:keepLines/>
              <w:jc w:val="right"/>
              <w:rPr>
                <w:b/>
                <w:bCs/>
              </w:rPr>
            </w:pPr>
            <w:r w:rsidRPr="003706B1">
              <w:rPr>
                <w:b/>
                <w:bCs/>
              </w:rPr>
              <w:t>$</w:t>
            </w:r>
            <w:r w:rsidR="00DF6ADC" w:rsidRPr="003706B1">
              <w:rPr>
                <w:b/>
                <w:bCs/>
              </w:rPr>
              <w:t>14,421.79</w:t>
            </w:r>
            <w:r w:rsidRPr="003706B1">
              <w:rPr>
                <w:b/>
                <w:bCs/>
              </w:rPr>
              <w:t xml:space="preserve"> </w:t>
            </w:r>
          </w:p>
        </w:tc>
        <w:tc>
          <w:tcPr>
            <w:tcW w:w="1440" w:type="dxa"/>
            <w:shd w:val="clear" w:color="auto" w:fill="auto"/>
            <w:noWrap/>
            <w:vAlign w:val="center"/>
            <w:hideMark/>
          </w:tcPr>
          <w:p w14:paraId="68234909" w14:textId="085E2957" w:rsidR="000A3D12" w:rsidRPr="003706B1" w:rsidRDefault="000A3D12" w:rsidP="003706B1">
            <w:pPr>
              <w:pStyle w:val="Tablecell"/>
              <w:keepLines/>
              <w:jc w:val="right"/>
              <w:rPr>
                <w:b/>
                <w:bCs/>
              </w:rPr>
            </w:pPr>
            <w:r w:rsidRPr="003706B1">
              <w:rPr>
                <w:b/>
                <w:bCs/>
              </w:rPr>
              <w:t>$</w:t>
            </w:r>
            <w:r w:rsidR="00B8727C" w:rsidRPr="003706B1">
              <w:rPr>
                <w:b/>
                <w:bCs/>
              </w:rPr>
              <w:t>2,647.66</w:t>
            </w:r>
            <w:r w:rsidRPr="003706B1">
              <w:rPr>
                <w:b/>
                <w:bCs/>
              </w:rPr>
              <w:t xml:space="preserve"> </w:t>
            </w:r>
          </w:p>
        </w:tc>
        <w:tc>
          <w:tcPr>
            <w:tcW w:w="1440" w:type="dxa"/>
            <w:shd w:val="clear" w:color="auto" w:fill="auto"/>
            <w:noWrap/>
            <w:vAlign w:val="center"/>
            <w:hideMark/>
          </w:tcPr>
          <w:p w14:paraId="2CB5BCD5" w14:textId="79C72053" w:rsidR="000A3D12" w:rsidRPr="003706B1" w:rsidRDefault="000A3D12" w:rsidP="003706B1">
            <w:pPr>
              <w:pStyle w:val="Tablecell"/>
              <w:keepLines/>
              <w:jc w:val="right"/>
              <w:rPr>
                <w:b/>
                <w:bCs/>
              </w:rPr>
            </w:pPr>
            <w:r w:rsidRPr="003706B1">
              <w:rPr>
                <w:b/>
                <w:bCs/>
              </w:rPr>
              <w:t>$</w:t>
            </w:r>
            <w:r w:rsidR="00B8727C" w:rsidRPr="003706B1">
              <w:rPr>
                <w:b/>
                <w:bCs/>
              </w:rPr>
              <w:t>7,220.90</w:t>
            </w:r>
            <w:r w:rsidRPr="003706B1">
              <w:rPr>
                <w:b/>
                <w:bCs/>
              </w:rPr>
              <w:t xml:space="preserve"> </w:t>
            </w:r>
          </w:p>
        </w:tc>
      </w:tr>
      <w:tr w:rsidR="002B3FDC" w:rsidRPr="003706B1" w14:paraId="75780C2B" w14:textId="77777777" w:rsidTr="00E935F0">
        <w:trPr>
          <w:cantSplit/>
          <w:trHeight w:val="260"/>
          <w:jc w:val="center"/>
        </w:trPr>
        <w:tc>
          <w:tcPr>
            <w:tcW w:w="1890" w:type="dxa"/>
            <w:shd w:val="clear" w:color="auto" w:fill="auto"/>
            <w:noWrap/>
            <w:vAlign w:val="center"/>
            <w:hideMark/>
          </w:tcPr>
          <w:p w14:paraId="25A6D5F9" w14:textId="4810A23E" w:rsidR="000A3D12" w:rsidRPr="003706B1" w:rsidRDefault="000A3D12" w:rsidP="003706B1">
            <w:pPr>
              <w:pStyle w:val="Tablecell"/>
              <w:keepLines/>
            </w:pPr>
            <w:r w:rsidRPr="003706B1">
              <w:t>d. Milk and wine</w:t>
            </w:r>
          </w:p>
        </w:tc>
        <w:tc>
          <w:tcPr>
            <w:tcW w:w="1440" w:type="dxa"/>
            <w:shd w:val="clear" w:color="auto" w:fill="auto"/>
            <w:noWrap/>
            <w:vAlign w:val="center"/>
            <w:hideMark/>
          </w:tcPr>
          <w:p w14:paraId="0C6B70ED" w14:textId="0FAD68C1" w:rsidR="000A3D12" w:rsidRPr="003706B1" w:rsidRDefault="000A3D12" w:rsidP="003706B1">
            <w:pPr>
              <w:pStyle w:val="Tablecell"/>
              <w:keepLines/>
              <w:jc w:val="right"/>
              <w:rPr>
                <w:b/>
                <w:bCs/>
              </w:rPr>
            </w:pPr>
            <w:r w:rsidRPr="003706B1">
              <w:rPr>
                <w:b/>
                <w:bCs/>
              </w:rPr>
              <w:t>$</w:t>
            </w:r>
            <w:r w:rsidR="00CC0299" w:rsidRPr="003706B1">
              <w:rPr>
                <w:b/>
                <w:bCs/>
              </w:rPr>
              <w:t>2,109</w:t>
            </w:r>
            <w:r w:rsidR="00F819BB" w:rsidRPr="003706B1">
              <w:rPr>
                <w:b/>
                <w:bCs/>
              </w:rPr>
              <w:t>.44</w:t>
            </w:r>
            <w:r w:rsidRPr="003706B1">
              <w:rPr>
                <w:b/>
                <w:bCs/>
              </w:rPr>
              <w:t xml:space="preserve"> </w:t>
            </w:r>
          </w:p>
        </w:tc>
        <w:tc>
          <w:tcPr>
            <w:tcW w:w="1440" w:type="dxa"/>
            <w:shd w:val="clear" w:color="auto" w:fill="auto"/>
            <w:noWrap/>
            <w:vAlign w:val="center"/>
            <w:hideMark/>
          </w:tcPr>
          <w:p w14:paraId="10D7E1CF" w14:textId="173D4A84" w:rsidR="000A3D12" w:rsidRPr="003706B1" w:rsidRDefault="000A3D12" w:rsidP="003706B1">
            <w:pPr>
              <w:pStyle w:val="Tablecell"/>
              <w:keepLines/>
              <w:jc w:val="right"/>
              <w:rPr>
                <w:b/>
                <w:bCs/>
              </w:rPr>
            </w:pPr>
            <w:r w:rsidRPr="003706B1">
              <w:rPr>
                <w:b/>
                <w:bCs/>
              </w:rPr>
              <w:t>$</w:t>
            </w:r>
            <w:r w:rsidR="00766C89" w:rsidRPr="003706B1">
              <w:rPr>
                <w:b/>
                <w:bCs/>
              </w:rPr>
              <w:t>2</w:t>
            </w:r>
            <w:r w:rsidR="00F819BB" w:rsidRPr="003706B1">
              <w:rPr>
                <w:b/>
                <w:bCs/>
              </w:rPr>
              <w:t>,812.59</w:t>
            </w:r>
            <w:r w:rsidRPr="003706B1">
              <w:rPr>
                <w:b/>
                <w:bCs/>
              </w:rPr>
              <w:t xml:space="preserve"> </w:t>
            </w:r>
          </w:p>
        </w:tc>
        <w:tc>
          <w:tcPr>
            <w:tcW w:w="1440" w:type="dxa"/>
            <w:shd w:val="clear" w:color="auto" w:fill="auto"/>
            <w:noWrap/>
            <w:vAlign w:val="center"/>
            <w:hideMark/>
          </w:tcPr>
          <w:p w14:paraId="44FE6E08" w14:textId="12EFC27A" w:rsidR="000A3D12" w:rsidRPr="003706B1" w:rsidRDefault="000A3D12" w:rsidP="003706B1">
            <w:pPr>
              <w:pStyle w:val="Tablecell"/>
              <w:keepLines/>
              <w:jc w:val="right"/>
              <w:rPr>
                <w:b/>
                <w:bCs/>
              </w:rPr>
            </w:pPr>
            <w:r w:rsidRPr="003706B1">
              <w:rPr>
                <w:b/>
                <w:bCs/>
              </w:rPr>
              <w:t>$</w:t>
            </w:r>
            <w:r w:rsidR="00F7635C" w:rsidRPr="003706B1">
              <w:rPr>
                <w:b/>
                <w:bCs/>
              </w:rPr>
              <w:t>1,406.30</w:t>
            </w:r>
            <w:r w:rsidRPr="003706B1">
              <w:rPr>
                <w:b/>
                <w:bCs/>
              </w:rPr>
              <w:t xml:space="preserve"> </w:t>
            </w:r>
          </w:p>
        </w:tc>
        <w:tc>
          <w:tcPr>
            <w:tcW w:w="1440" w:type="dxa"/>
            <w:shd w:val="clear" w:color="auto" w:fill="auto"/>
            <w:noWrap/>
            <w:vAlign w:val="center"/>
            <w:hideMark/>
          </w:tcPr>
          <w:p w14:paraId="6FD00CB5" w14:textId="23442607" w:rsidR="000A3D12" w:rsidRPr="003706B1" w:rsidRDefault="000A3D12" w:rsidP="003706B1">
            <w:pPr>
              <w:pStyle w:val="Tablecell"/>
              <w:keepLines/>
              <w:jc w:val="right"/>
              <w:rPr>
                <w:b/>
                <w:bCs/>
              </w:rPr>
            </w:pPr>
            <w:r w:rsidRPr="003706B1">
              <w:rPr>
                <w:b/>
                <w:bCs/>
              </w:rPr>
              <w:t>$</w:t>
            </w:r>
            <w:r w:rsidR="00DF6ADC" w:rsidRPr="003706B1">
              <w:rPr>
                <w:b/>
                <w:bCs/>
              </w:rPr>
              <w:t>1,875.06</w:t>
            </w:r>
            <w:r w:rsidRPr="003706B1">
              <w:rPr>
                <w:b/>
                <w:bCs/>
              </w:rPr>
              <w:t xml:space="preserve"> </w:t>
            </w:r>
          </w:p>
        </w:tc>
        <w:tc>
          <w:tcPr>
            <w:tcW w:w="1440" w:type="dxa"/>
            <w:shd w:val="clear" w:color="auto" w:fill="auto"/>
            <w:noWrap/>
            <w:vAlign w:val="center"/>
            <w:hideMark/>
          </w:tcPr>
          <w:p w14:paraId="1B8479DC" w14:textId="72719C20" w:rsidR="000A3D12" w:rsidRPr="003706B1" w:rsidRDefault="000A3D12" w:rsidP="003706B1">
            <w:pPr>
              <w:pStyle w:val="Tablecell"/>
              <w:keepLines/>
              <w:jc w:val="right"/>
              <w:rPr>
                <w:b/>
                <w:bCs/>
              </w:rPr>
            </w:pPr>
            <w:r w:rsidRPr="003706B1">
              <w:rPr>
                <w:b/>
                <w:bCs/>
              </w:rPr>
              <w:t>$</w:t>
            </w:r>
            <w:r w:rsidR="00B8727C" w:rsidRPr="003706B1">
              <w:rPr>
                <w:b/>
                <w:bCs/>
              </w:rPr>
              <w:t>703.15</w:t>
            </w:r>
            <w:r w:rsidRPr="003706B1">
              <w:rPr>
                <w:b/>
                <w:bCs/>
              </w:rPr>
              <w:t xml:space="preserve"> </w:t>
            </w:r>
          </w:p>
        </w:tc>
        <w:tc>
          <w:tcPr>
            <w:tcW w:w="1440" w:type="dxa"/>
            <w:shd w:val="clear" w:color="auto" w:fill="auto"/>
            <w:noWrap/>
            <w:vAlign w:val="center"/>
            <w:hideMark/>
          </w:tcPr>
          <w:p w14:paraId="4443BB5F" w14:textId="360DE2D4" w:rsidR="000A3D12" w:rsidRPr="003706B1" w:rsidRDefault="000A3D12" w:rsidP="003706B1">
            <w:pPr>
              <w:pStyle w:val="Tablecell"/>
              <w:keepLines/>
              <w:jc w:val="right"/>
              <w:rPr>
                <w:b/>
                <w:bCs/>
              </w:rPr>
            </w:pPr>
            <w:r w:rsidRPr="003706B1">
              <w:rPr>
                <w:b/>
                <w:bCs/>
              </w:rPr>
              <w:t>$</w:t>
            </w:r>
            <w:r w:rsidR="006C10AF" w:rsidRPr="003706B1">
              <w:rPr>
                <w:b/>
                <w:bCs/>
              </w:rPr>
              <w:t>937.53</w:t>
            </w:r>
            <w:r w:rsidRPr="003706B1">
              <w:rPr>
                <w:b/>
                <w:bCs/>
              </w:rPr>
              <w:t xml:space="preserve"> </w:t>
            </w:r>
          </w:p>
        </w:tc>
      </w:tr>
      <w:tr w:rsidR="002B3FDC" w:rsidRPr="003706B1" w14:paraId="797161BA" w14:textId="77777777" w:rsidTr="00E935F0">
        <w:trPr>
          <w:cantSplit/>
          <w:trHeight w:val="244"/>
          <w:jc w:val="center"/>
        </w:trPr>
        <w:tc>
          <w:tcPr>
            <w:tcW w:w="1890" w:type="dxa"/>
            <w:shd w:val="clear" w:color="auto" w:fill="auto"/>
            <w:noWrap/>
            <w:vAlign w:val="center"/>
            <w:hideMark/>
          </w:tcPr>
          <w:p w14:paraId="1977B39A" w14:textId="73E2350C" w:rsidR="000A3D12" w:rsidRPr="003706B1" w:rsidRDefault="000A3D12" w:rsidP="003706B1">
            <w:pPr>
              <w:pStyle w:val="Tablecell"/>
              <w:keepLines/>
            </w:pPr>
            <w:r w:rsidRPr="003706B1">
              <w:t>e. others</w:t>
            </w:r>
          </w:p>
        </w:tc>
        <w:tc>
          <w:tcPr>
            <w:tcW w:w="1440" w:type="dxa"/>
            <w:shd w:val="clear" w:color="auto" w:fill="auto"/>
            <w:noWrap/>
            <w:vAlign w:val="center"/>
            <w:hideMark/>
          </w:tcPr>
          <w:p w14:paraId="2031D6AA" w14:textId="6C882E19" w:rsidR="000A3D12" w:rsidRPr="003706B1" w:rsidRDefault="000A3D12" w:rsidP="003706B1">
            <w:pPr>
              <w:pStyle w:val="Tablecell"/>
              <w:keepLines/>
              <w:jc w:val="right"/>
              <w:rPr>
                <w:b/>
                <w:bCs/>
              </w:rPr>
            </w:pPr>
            <w:r w:rsidRPr="003706B1">
              <w:rPr>
                <w:b/>
                <w:bCs/>
              </w:rPr>
              <w:t>$</w:t>
            </w:r>
            <w:r w:rsidR="00CC0299" w:rsidRPr="003706B1">
              <w:rPr>
                <w:b/>
                <w:bCs/>
              </w:rPr>
              <w:t>93</w:t>
            </w:r>
            <w:r w:rsidR="00F819BB" w:rsidRPr="003706B1">
              <w:rPr>
                <w:b/>
                <w:bCs/>
              </w:rPr>
              <w:t>7.53</w:t>
            </w:r>
          </w:p>
        </w:tc>
        <w:tc>
          <w:tcPr>
            <w:tcW w:w="1440" w:type="dxa"/>
            <w:shd w:val="clear" w:color="auto" w:fill="auto"/>
            <w:noWrap/>
            <w:vAlign w:val="center"/>
            <w:hideMark/>
          </w:tcPr>
          <w:p w14:paraId="330508AE" w14:textId="09661B03" w:rsidR="000A3D12" w:rsidRPr="003706B1" w:rsidRDefault="000A3D12" w:rsidP="003706B1">
            <w:pPr>
              <w:pStyle w:val="Tablecell"/>
              <w:keepLines/>
              <w:jc w:val="right"/>
              <w:rPr>
                <w:b/>
                <w:bCs/>
              </w:rPr>
            </w:pPr>
            <w:r w:rsidRPr="003706B1">
              <w:rPr>
                <w:b/>
                <w:bCs/>
              </w:rPr>
              <w:t>$</w:t>
            </w:r>
            <w:r w:rsidR="00F819BB" w:rsidRPr="003706B1">
              <w:rPr>
                <w:b/>
                <w:bCs/>
              </w:rPr>
              <w:t>4,453.27</w:t>
            </w:r>
            <w:r w:rsidRPr="003706B1">
              <w:rPr>
                <w:b/>
                <w:bCs/>
              </w:rPr>
              <w:t xml:space="preserve"> </w:t>
            </w:r>
          </w:p>
        </w:tc>
        <w:tc>
          <w:tcPr>
            <w:tcW w:w="1440" w:type="dxa"/>
            <w:shd w:val="clear" w:color="auto" w:fill="auto"/>
            <w:noWrap/>
            <w:vAlign w:val="center"/>
            <w:hideMark/>
          </w:tcPr>
          <w:p w14:paraId="632ADBA4" w14:textId="26E596B0" w:rsidR="000A3D12" w:rsidRPr="003706B1" w:rsidRDefault="000A3D12" w:rsidP="003706B1">
            <w:pPr>
              <w:pStyle w:val="Tablecell"/>
              <w:keepLines/>
              <w:jc w:val="right"/>
              <w:rPr>
                <w:b/>
                <w:bCs/>
              </w:rPr>
            </w:pPr>
            <w:r w:rsidRPr="003706B1">
              <w:rPr>
                <w:b/>
                <w:bCs/>
              </w:rPr>
              <w:t>$</w:t>
            </w:r>
            <w:r w:rsidR="00F7635C" w:rsidRPr="003706B1">
              <w:rPr>
                <w:b/>
                <w:bCs/>
              </w:rPr>
              <w:t>703.15</w:t>
            </w:r>
            <w:r w:rsidRPr="003706B1">
              <w:rPr>
                <w:b/>
                <w:bCs/>
              </w:rPr>
              <w:t xml:space="preserve"> </w:t>
            </w:r>
          </w:p>
        </w:tc>
        <w:tc>
          <w:tcPr>
            <w:tcW w:w="1440" w:type="dxa"/>
            <w:shd w:val="clear" w:color="auto" w:fill="auto"/>
            <w:noWrap/>
            <w:vAlign w:val="center"/>
            <w:hideMark/>
          </w:tcPr>
          <w:p w14:paraId="7E391A03" w14:textId="36EE9A2F" w:rsidR="000A3D12" w:rsidRPr="003706B1" w:rsidRDefault="000A3D12" w:rsidP="003706B1">
            <w:pPr>
              <w:pStyle w:val="Tablecell"/>
              <w:keepLines/>
              <w:jc w:val="right"/>
              <w:rPr>
                <w:b/>
                <w:bCs/>
              </w:rPr>
            </w:pPr>
            <w:r w:rsidRPr="003706B1">
              <w:rPr>
                <w:b/>
                <w:bCs/>
              </w:rPr>
              <w:t>$</w:t>
            </w:r>
            <w:r w:rsidR="00DF6ADC" w:rsidRPr="003706B1">
              <w:rPr>
                <w:b/>
                <w:bCs/>
              </w:rPr>
              <w:t>2,812.59</w:t>
            </w:r>
            <w:r w:rsidRPr="003706B1">
              <w:rPr>
                <w:b/>
                <w:bCs/>
              </w:rPr>
              <w:t xml:space="preserve"> </w:t>
            </w:r>
          </w:p>
        </w:tc>
        <w:tc>
          <w:tcPr>
            <w:tcW w:w="1440" w:type="dxa"/>
            <w:shd w:val="clear" w:color="auto" w:fill="auto"/>
            <w:noWrap/>
            <w:vAlign w:val="center"/>
            <w:hideMark/>
          </w:tcPr>
          <w:p w14:paraId="6FA7D375" w14:textId="36C4F874" w:rsidR="000A3D12" w:rsidRPr="003706B1" w:rsidRDefault="000A3D12" w:rsidP="003706B1">
            <w:pPr>
              <w:pStyle w:val="Tablecell"/>
              <w:keepLines/>
              <w:jc w:val="right"/>
              <w:rPr>
                <w:b/>
                <w:bCs/>
              </w:rPr>
            </w:pPr>
            <w:r w:rsidRPr="003706B1">
              <w:rPr>
                <w:b/>
                <w:bCs/>
              </w:rPr>
              <w:t>$</w:t>
            </w:r>
            <w:r w:rsidR="00B8727C" w:rsidRPr="003706B1">
              <w:rPr>
                <w:b/>
                <w:bCs/>
              </w:rPr>
              <w:t>234.38</w:t>
            </w:r>
            <w:r w:rsidRPr="003706B1">
              <w:rPr>
                <w:b/>
                <w:bCs/>
              </w:rPr>
              <w:t xml:space="preserve"> </w:t>
            </w:r>
          </w:p>
        </w:tc>
        <w:tc>
          <w:tcPr>
            <w:tcW w:w="1440" w:type="dxa"/>
            <w:shd w:val="clear" w:color="auto" w:fill="auto"/>
            <w:noWrap/>
            <w:vAlign w:val="center"/>
            <w:hideMark/>
          </w:tcPr>
          <w:p w14:paraId="14681EC7" w14:textId="5EE06A65" w:rsidR="000A3D12" w:rsidRPr="003706B1" w:rsidRDefault="000A3D12" w:rsidP="003706B1">
            <w:pPr>
              <w:pStyle w:val="Tablecell"/>
              <w:keepLines/>
              <w:jc w:val="right"/>
              <w:rPr>
                <w:b/>
                <w:bCs/>
              </w:rPr>
            </w:pPr>
            <w:r w:rsidRPr="003706B1">
              <w:rPr>
                <w:b/>
                <w:bCs/>
              </w:rPr>
              <w:t>$</w:t>
            </w:r>
            <w:r w:rsidR="006C10AF" w:rsidRPr="003706B1">
              <w:rPr>
                <w:b/>
                <w:bCs/>
              </w:rPr>
              <w:t>1,406.30</w:t>
            </w:r>
            <w:r w:rsidRPr="003706B1">
              <w:rPr>
                <w:b/>
                <w:bCs/>
              </w:rPr>
              <w:t xml:space="preserve"> </w:t>
            </w:r>
          </w:p>
        </w:tc>
      </w:tr>
      <w:tr w:rsidR="002B3FDC" w:rsidRPr="003706B1" w14:paraId="206F0905" w14:textId="77777777" w:rsidTr="00E935F0">
        <w:trPr>
          <w:cantSplit/>
          <w:trHeight w:val="520"/>
          <w:jc w:val="center"/>
        </w:trPr>
        <w:tc>
          <w:tcPr>
            <w:tcW w:w="1890" w:type="dxa"/>
            <w:shd w:val="clear" w:color="auto" w:fill="auto"/>
            <w:noWrap/>
            <w:vAlign w:val="center"/>
            <w:hideMark/>
          </w:tcPr>
          <w:p w14:paraId="0DBF0792" w14:textId="3AD30FC2" w:rsidR="00C22849" w:rsidRPr="003706B1" w:rsidRDefault="00C22849" w:rsidP="003706B1">
            <w:pPr>
              <w:pStyle w:val="Tablecell"/>
              <w:keepLines/>
            </w:pPr>
            <w:r w:rsidRPr="003706B1">
              <w:t>Total annual cost of all products (a-e)</w:t>
            </w:r>
          </w:p>
        </w:tc>
        <w:tc>
          <w:tcPr>
            <w:tcW w:w="1440" w:type="dxa"/>
            <w:shd w:val="clear" w:color="auto" w:fill="auto"/>
            <w:noWrap/>
            <w:vAlign w:val="center"/>
          </w:tcPr>
          <w:p w14:paraId="74922E33" w14:textId="4780F559" w:rsidR="00C22849" w:rsidRPr="003706B1" w:rsidRDefault="00C22849" w:rsidP="003706B1">
            <w:pPr>
              <w:pStyle w:val="Tablecell"/>
              <w:keepLines/>
              <w:jc w:val="right"/>
              <w:rPr>
                <w:b/>
                <w:bCs/>
              </w:rPr>
            </w:pPr>
            <w:r w:rsidRPr="003706B1">
              <w:rPr>
                <w:b/>
                <w:bCs/>
              </w:rPr>
              <w:t>$</w:t>
            </w:r>
            <w:r w:rsidR="00CC0299" w:rsidRPr="003706B1">
              <w:rPr>
                <w:b/>
                <w:bCs/>
              </w:rPr>
              <w:t>22,109</w:t>
            </w:r>
            <w:r w:rsidR="00F819BB" w:rsidRPr="003706B1">
              <w:rPr>
                <w:b/>
                <w:bCs/>
              </w:rPr>
              <w:t>.26</w:t>
            </w:r>
            <w:r w:rsidRPr="003706B1">
              <w:rPr>
                <w:b/>
                <w:bCs/>
              </w:rPr>
              <w:t xml:space="preserve"> </w:t>
            </w:r>
          </w:p>
        </w:tc>
        <w:tc>
          <w:tcPr>
            <w:tcW w:w="1440" w:type="dxa"/>
            <w:shd w:val="clear" w:color="auto" w:fill="auto"/>
            <w:noWrap/>
            <w:vAlign w:val="center"/>
          </w:tcPr>
          <w:p w14:paraId="27034347" w14:textId="368019E3" w:rsidR="00C22849" w:rsidRPr="003706B1" w:rsidRDefault="00C22849" w:rsidP="003706B1">
            <w:pPr>
              <w:pStyle w:val="Tablecell"/>
              <w:keepLines/>
              <w:jc w:val="right"/>
              <w:rPr>
                <w:b/>
                <w:bCs/>
              </w:rPr>
            </w:pPr>
            <w:r w:rsidRPr="003706B1">
              <w:rPr>
                <w:b/>
                <w:bCs/>
              </w:rPr>
              <w:t>$</w:t>
            </w:r>
            <w:r w:rsidR="00F819BB" w:rsidRPr="003706B1">
              <w:rPr>
                <w:b/>
                <w:bCs/>
              </w:rPr>
              <w:t>45,837.85</w:t>
            </w:r>
            <w:r w:rsidRPr="003706B1">
              <w:rPr>
                <w:b/>
                <w:bCs/>
              </w:rPr>
              <w:t xml:space="preserve"> </w:t>
            </w:r>
          </w:p>
        </w:tc>
        <w:tc>
          <w:tcPr>
            <w:tcW w:w="1440" w:type="dxa"/>
            <w:shd w:val="clear" w:color="auto" w:fill="auto"/>
            <w:noWrap/>
            <w:vAlign w:val="center"/>
          </w:tcPr>
          <w:p w14:paraId="4338D23C" w14:textId="226106F6" w:rsidR="00C22849" w:rsidRPr="003706B1" w:rsidRDefault="00C22849" w:rsidP="003706B1">
            <w:pPr>
              <w:pStyle w:val="Tablecell"/>
              <w:keepLines/>
              <w:jc w:val="right"/>
              <w:rPr>
                <w:b/>
                <w:bCs/>
              </w:rPr>
            </w:pPr>
            <w:r w:rsidRPr="003706B1">
              <w:rPr>
                <w:b/>
                <w:bCs/>
              </w:rPr>
              <w:t>$</w:t>
            </w:r>
            <w:r w:rsidR="00BC5E0E" w:rsidRPr="003706B1">
              <w:rPr>
                <w:b/>
                <w:bCs/>
              </w:rPr>
              <w:t>1</w:t>
            </w:r>
            <w:r w:rsidR="00495B44" w:rsidRPr="003706B1">
              <w:rPr>
                <w:b/>
                <w:bCs/>
              </w:rPr>
              <w:t>4,999.77</w:t>
            </w:r>
            <w:r w:rsidRPr="003706B1">
              <w:rPr>
                <w:b/>
                <w:bCs/>
              </w:rPr>
              <w:t xml:space="preserve"> </w:t>
            </w:r>
          </w:p>
        </w:tc>
        <w:tc>
          <w:tcPr>
            <w:tcW w:w="1440" w:type="dxa"/>
            <w:shd w:val="clear" w:color="auto" w:fill="auto"/>
            <w:noWrap/>
            <w:vAlign w:val="center"/>
          </w:tcPr>
          <w:p w14:paraId="75E620A9" w14:textId="5681684F" w:rsidR="00C22849" w:rsidRPr="003706B1" w:rsidRDefault="00C22849" w:rsidP="003706B1">
            <w:pPr>
              <w:pStyle w:val="Tablecell"/>
              <w:keepLines/>
              <w:jc w:val="right"/>
              <w:rPr>
                <w:b/>
                <w:bCs/>
              </w:rPr>
            </w:pPr>
            <w:r w:rsidRPr="003706B1">
              <w:rPr>
                <w:b/>
                <w:bCs/>
              </w:rPr>
              <w:t>$</w:t>
            </w:r>
            <w:r w:rsidR="00DF6ADC" w:rsidRPr="003706B1">
              <w:rPr>
                <w:b/>
                <w:bCs/>
              </w:rPr>
              <w:t>30,644.45</w:t>
            </w:r>
            <w:r w:rsidRPr="003706B1">
              <w:rPr>
                <w:b/>
                <w:bCs/>
              </w:rPr>
              <w:t xml:space="preserve"> </w:t>
            </w:r>
          </w:p>
        </w:tc>
        <w:tc>
          <w:tcPr>
            <w:tcW w:w="1440" w:type="dxa"/>
            <w:shd w:val="clear" w:color="auto" w:fill="auto"/>
            <w:noWrap/>
            <w:vAlign w:val="center"/>
          </w:tcPr>
          <w:p w14:paraId="187FDD92" w14:textId="65EC40B7" w:rsidR="00C22849" w:rsidRPr="003706B1" w:rsidRDefault="00C22849" w:rsidP="003706B1">
            <w:pPr>
              <w:pStyle w:val="Tablecell"/>
              <w:keepLines/>
              <w:jc w:val="right"/>
              <w:rPr>
                <w:b/>
                <w:bCs/>
              </w:rPr>
            </w:pPr>
            <w:r w:rsidRPr="003706B1">
              <w:rPr>
                <w:b/>
                <w:bCs/>
              </w:rPr>
              <w:t>$</w:t>
            </w:r>
            <w:r w:rsidR="00B8727C" w:rsidRPr="003706B1">
              <w:rPr>
                <w:b/>
                <w:bCs/>
              </w:rPr>
              <w:t>7,260.19</w:t>
            </w:r>
            <w:r w:rsidRPr="003706B1">
              <w:rPr>
                <w:b/>
                <w:bCs/>
              </w:rPr>
              <w:t xml:space="preserve"> </w:t>
            </w:r>
          </w:p>
        </w:tc>
        <w:tc>
          <w:tcPr>
            <w:tcW w:w="1440" w:type="dxa"/>
            <w:shd w:val="clear" w:color="auto" w:fill="auto"/>
            <w:noWrap/>
            <w:vAlign w:val="center"/>
          </w:tcPr>
          <w:p w14:paraId="7C63EC59" w14:textId="5B6B31CC" w:rsidR="00C22849" w:rsidRPr="003706B1" w:rsidRDefault="00C22849" w:rsidP="003706B1">
            <w:pPr>
              <w:pStyle w:val="Tablecell"/>
              <w:keepLines/>
              <w:jc w:val="right"/>
              <w:rPr>
                <w:b/>
                <w:bCs/>
              </w:rPr>
            </w:pPr>
            <w:r w:rsidRPr="003706B1">
              <w:rPr>
                <w:b/>
                <w:bCs/>
              </w:rPr>
              <w:t>$</w:t>
            </w:r>
            <w:r w:rsidR="00140B65" w:rsidRPr="003706B1">
              <w:rPr>
                <w:b/>
                <w:bCs/>
              </w:rPr>
              <w:t>1</w:t>
            </w:r>
            <w:r w:rsidR="006C10AF" w:rsidRPr="003706B1">
              <w:rPr>
                <w:b/>
                <w:bCs/>
              </w:rPr>
              <w:t>5,199.72</w:t>
            </w:r>
            <w:r w:rsidRPr="003706B1">
              <w:rPr>
                <w:b/>
                <w:bCs/>
              </w:rPr>
              <w:t xml:space="preserve"> </w:t>
            </w:r>
          </w:p>
        </w:tc>
      </w:tr>
      <w:tr w:rsidR="002B3FDC" w:rsidRPr="003706B1" w14:paraId="6C5D4E05" w14:textId="77777777" w:rsidTr="00E935F0">
        <w:trPr>
          <w:cantSplit/>
          <w:trHeight w:val="505"/>
          <w:jc w:val="center"/>
        </w:trPr>
        <w:tc>
          <w:tcPr>
            <w:tcW w:w="1890" w:type="dxa"/>
            <w:shd w:val="clear" w:color="auto" w:fill="auto"/>
            <w:noWrap/>
            <w:vAlign w:val="center"/>
            <w:hideMark/>
          </w:tcPr>
          <w:p w14:paraId="5EB9D3DD" w14:textId="3D9B41C5" w:rsidR="00C22849" w:rsidRPr="003706B1" w:rsidRDefault="002F2F70" w:rsidP="003706B1">
            <w:pPr>
              <w:pStyle w:val="Tablecell"/>
              <w:keepLines/>
            </w:pPr>
            <w:r w:rsidRPr="003706B1">
              <w:t>20-year</w:t>
            </w:r>
            <w:r w:rsidR="00C22849" w:rsidRPr="003706B1">
              <w:t xml:space="preserve"> present value total cost</w:t>
            </w:r>
          </w:p>
        </w:tc>
        <w:tc>
          <w:tcPr>
            <w:tcW w:w="1440" w:type="dxa"/>
            <w:shd w:val="clear" w:color="auto" w:fill="auto"/>
            <w:noWrap/>
            <w:vAlign w:val="center"/>
            <w:hideMark/>
          </w:tcPr>
          <w:p w14:paraId="1A01B754" w14:textId="393C1ECC" w:rsidR="00C22849" w:rsidRPr="003706B1" w:rsidRDefault="00C22849" w:rsidP="003706B1">
            <w:pPr>
              <w:pStyle w:val="Tablecell"/>
              <w:keepLines/>
              <w:jc w:val="right"/>
              <w:rPr>
                <w:b/>
                <w:bCs/>
              </w:rPr>
            </w:pPr>
            <w:r w:rsidRPr="003706B1">
              <w:rPr>
                <w:b/>
                <w:bCs/>
              </w:rPr>
              <w:t>$</w:t>
            </w:r>
            <w:r w:rsidR="00106C3F" w:rsidRPr="003706B1">
              <w:rPr>
                <w:b/>
                <w:bCs/>
              </w:rPr>
              <w:t>378,23</w:t>
            </w:r>
            <w:r w:rsidR="0052557E" w:rsidRPr="003706B1">
              <w:rPr>
                <w:b/>
                <w:bCs/>
              </w:rPr>
              <w:t>1</w:t>
            </w:r>
            <w:r w:rsidR="00361A1C" w:rsidRPr="003706B1">
              <w:rPr>
                <w:b/>
                <w:bCs/>
              </w:rPr>
              <w:t>.51</w:t>
            </w:r>
            <w:r w:rsidRPr="003706B1">
              <w:rPr>
                <w:b/>
                <w:bCs/>
              </w:rPr>
              <w:t xml:space="preserve"> </w:t>
            </w:r>
          </w:p>
        </w:tc>
        <w:tc>
          <w:tcPr>
            <w:tcW w:w="1440" w:type="dxa"/>
            <w:shd w:val="clear" w:color="auto" w:fill="auto"/>
            <w:noWrap/>
            <w:vAlign w:val="center"/>
            <w:hideMark/>
          </w:tcPr>
          <w:p w14:paraId="4EE2D686" w14:textId="291CC6FB" w:rsidR="00C22849" w:rsidRPr="003706B1" w:rsidRDefault="00C22849" w:rsidP="003706B1">
            <w:pPr>
              <w:pStyle w:val="Tablecell"/>
              <w:keepLines/>
              <w:jc w:val="right"/>
              <w:rPr>
                <w:b/>
                <w:bCs/>
              </w:rPr>
            </w:pPr>
            <w:r w:rsidRPr="003706B1">
              <w:rPr>
                <w:b/>
                <w:bCs/>
              </w:rPr>
              <w:t>$</w:t>
            </w:r>
            <w:r w:rsidR="00361A1C" w:rsidRPr="003706B1">
              <w:rPr>
                <w:b/>
                <w:bCs/>
              </w:rPr>
              <w:t>778,662.94</w:t>
            </w:r>
            <w:r w:rsidRPr="003706B1">
              <w:rPr>
                <w:b/>
                <w:bCs/>
              </w:rPr>
              <w:t xml:space="preserve"> </w:t>
            </w:r>
          </w:p>
        </w:tc>
        <w:tc>
          <w:tcPr>
            <w:tcW w:w="1440" w:type="dxa"/>
            <w:shd w:val="clear" w:color="auto" w:fill="auto"/>
            <w:noWrap/>
            <w:vAlign w:val="center"/>
            <w:hideMark/>
          </w:tcPr>
          <w:p w14:paraId="6F4CB7AE" w14:textId="0265E3DE" w:rsidR="00C22849" w:rsidRPr="003706B1" w:rsidRDefault="00C22849" w:rsidP="003706B1">
            <w:pPr>
              <w:pStyle w:val="Tablecell"/>
              <w:keepLines/>
              <w:jc w:val="right"/>
              <w:rPr>
                <w:b/>
                <w:bCs/>
              </w:rPr>
            </w:pPr>
            <w:r w:rsidRPr="003706B1">
              <w:rPr>
                <w:b/>
                <w:bCs/>
              </w:rPr>
              <w:t>$</w:t>
            </w:r>
            <w:r w:rsidR="003807B9" w:rsidRPr="003706B1">
              <w:rPr>
                <w:b/>
                <w:bCs/>
              </w:rPr>
              <w:t>252,154.34</w:t>
            </w:r>
            <w:r w:rsidRPr="003706B1">
              <w:rPr>
                <w:b/>
                <w:bCs/>
              </w:rPr>
              <w:t xml:space="preserve"> </w:t>
            </w:r>
          </w:p>
        </w:tc>
        <w:tc>
          <w:tcPr>
            <w:tcW w:w="1440" w:type="dxa"/>
            <w:shd w:val="clear" w:color="auto" w:fill="auto"/>
            <w:noWrap/>
            <w:vAlign w:val="center"/>
            <w:hideMark/>
          </w:tcPr>
          <w:p w14:paraId="6D2F88B7" w14:textId="4E34A27D" w:rsidR="00C22849" w:rsidRPr="003706B1" w:rsidRDefault="00C22849" w:rsidP="003706B1">
            <w:pPr>
              <w:pStyle w:val="Tablecell"/>
              <w:keepLines/>
              <w:jc w:val="right"/>
              <w:rPr>
                <w:b/>
                <w:bCs/>
              </w:rPr>
            </w:pPr>
            <w:r w:rsidRPr="003706B1">
              <w:rPr>
                <w:b/>
                <w:bCs/>
              </w:rPr>
              <w:t>$</w:t>
            </w:r>
            <w:r w:rsidR="002B3FDC" w:rsidRPr="003706B1">
              <w:rPr>
                <w:b/>
                <w:bCs/>
              </w:rPr>
              <w:t>519,108.63</w:t>
            </w:r>
            <w:r w:rsidRPr="003706B1">
              <w:rPr>
                <w:b/>
                <w:bCs/>
              </w:rPr>
              <w:t xml:space="preserve"> </w:t>
            </w:r>
          </w:p>
        </w:tc>
        <w:tc>
          <w:tcPr>
            <w:tcW w:w="1440" w:type="dxa"/>
            <w:shd w:val="clear" w:color="auto" w:fill="auto"/>
            <w:noWrap/>
            <w:vAlign w:val="center"/>
            <w:hideMark/>
          </w:tcPr>
          <w:p w14:paraId="539CD415" w14:textId="43E39798" w:rsidR="00C22849" w:rsidRPr="003706B1" w:rsidRDefault="00C22849" w:rsidP="003706B1">
            <w:pPr>
              <w:pStyle w:val="Tablecell"/>
              <w:keepLines/>
              <w:jc w:val="right"/>
              <w:rPr>
                <w:b/>
                <w:bCs/>
              </w:rPr>
            </w:pPr>
            <w:r w:rsidRPr="003706B1">
              <w:rPr>
                <w:b/>
                <w:bCs/>
              </w:rPr>
              <w:t>$</w:t>
            </w:r>
            <w:r w:rsidR="001F146A" w:rsidRPr="003706B1">
              <w:rPr>
                <w:b/>
                <w:bCs/>
              </w:rPr>
              <w:t>126,077</w:t>
            </w:r>
            <w:r w:rsidR="002B3FDC" w:rsidRPr="003706B1">
              <w:rPr>
                <w:b/>
                <w:bCs/>
              </w:rPr>
              <w:t>.</w:t>
            </w:r>
            <w:r w:rsidR="001F146A" w:rsidRPr="003706B1">
              <w:rPr>
                <w:b/>
                <w:bCs/>
              </w:rPr>
              <w:t>17</w:t>
            </w:r>
            <w:r w:rsidRPr="003706B1">
              <w:rPr>
                <w:b/>
                <w:bCs/>
              </w:rPr>
              <w:t xml:space="preserve"> </w:t>
            </w:r>
          </w:p>
        </w:tc>
        <w:tc>
          <w:tcPr>
            <w:tcW w:w="1440" w:type="dxa"/>
            <w:shd w:val="clear" w:color="auto" w:fill="auto"/>
            <w:noWrap/>
            <w:vAlign w:val="center"/>
            <w:hideMark/>
          </w:tcPr>
          <w:p w14:paraId="4281105B" w14:textId="2F7EC97F" w:rsidR="00C22849" w:rsidRPr="003706B1" w:rsidRDefault="00C22849" w:rsidP="003706B1">
            <w:pPr>
              <w:pStyle w:val="Tablecell"/>
              <w:keepLines/>
              <w:jc w:val="right"/>
              <w:rPr>
                <w:b/>
                <w:bCs/>
              </w:rPr>
            </w:pPr>
            <w:r w:rsidRPr="003706B1">
              <w:rPr>
                <w:b/>
                <w:bCs/>
              </w:rPr>
              <w:t>$</w:t>
            </w:r>
            <w:r w:rsidR="008C57E7" w:rsidRPr="003706B1">
              <w:rPr>
                <w:b/>
                <w:bCs/>
              </w:rPr>
              <w:t>214,998.37</w:t>
            </w:r>
          </w:p>
        </w:tc>
      </w:tr>
    </w:tbl>
    <w:p w14:paraId="51CFD892" w14:textId="6FA77000" w:rsidR="00FF11CD" w:rsidRDefault="00EE79E4" w:rsidP="00004946">
      <w:pPr>
        <w:pStyle w:val="Paragraph"/>
        <w:spacing w:before="240"/>
      </w:pPr>
      <w:r>
        <w:t>In addition</w:t>
      </w:r>
      <w:r w:rsidR="0096066A">
        <w:t>,</w:t>
      </w:r>
      <w:r w:rsidR="0096066A" w:rsidRPr="0096066A">
        <w:t xml:space="preserve"> </w:t>
      </w:r>
      <w:r w:rsidR="00054A03">
        <w:t>we conducted sensitivity analysis to estimate the increased (decrease</w:t>
      </w:r>
      <w:r w:rsidR="000E211F">
        <w:t>d</w:t>
      </w:r>
      <w:r w:rsidR="00054A03">
        <w:t>) cost</w:t>
      </w:r>
      <w:r w:rsidR="00054A03" w:rsidRPr="00054A03">
        <w:t xml:space="preserve"> </w:t>
      </w:r>
      <w:r w:rsidR="00054A03">
        <w:t xml:space="preserve">due to increase (decrease) in exclusion request over time. </w:t>
      </w:r>
      <w:r w:rsidR="003B1872">
        <w:t>First,</w:t>
      </w:r>
      <w:r w:rsidR="00054A03">
        <w:t xml:space="preserve"> we assume that </w:t>
      </w:r>
      <w:r>
        <w:rPr>
          <w:rStyle w:val="ui-provider"/>
        </w:rPr>
        <w:t>over 20 years, the exclusion request would drop from 75 percent to 5 percent</w:t>
      </w:r>
      <w:r w:rsidR="00076B97">
        <w:rPr>
          <w:rStyle w:val="ui-provider"/>
        </w:rPr>
        <w:t xml:space="preserve"> (decreases annually by 5 percent and remains constant once it reaches 5 percent) and</w:t>
      </w:r>
      <w:r>
        <w:rPr>
          <w:rStyle w:val="ui-provider"/>
        </w:rPr>
        <w:t xml:space="preserve"> estimate 20-year present value </w:t>
      </w:r>
      <w:r w:rsidR="00F05556">
        <w:rPr>
          <w:rStyle w:val="ui-provider"/>
        </w:rPr>
        <w:t xml:space="preserve">cost </w:t>
      </w:r>
      <w:r>
        <w:rPr>
          <w:rStyle w:val="ui-provider"/>
        </w:rPr>
        <w:t xml:space="preserve">of </w:t>
      </w:r>
      <w:r w:rsidR="00A361F9">
        <w:rPr>
          <w:rStyle w:val="ui-provider"/>
        </w:rPr>
        <w:t>$</w:t>
      </w:r>
      <w:r w:rsidR="00C374A2">
        <w:rPr>
          <w:rStyle w:val="ui-provider"/>
        </w:rPr>
        <w:t>148,836</w:t>
      </w:r>
      <w:r>
        <w:rPr>
          <w:rStyle w:val="ui-provider"/>
        </w:rPr>
        <w:t xml:space="preserve"> to $</w:t>
      </w:r>
      <w:r w:rsidR="00E40317">
        <w:rPr>
          <w:rStyle w:val="ui-provider"/>
        </w:rPr>
        <w:t>2</w:t>
      </w:r>
      <w:r w:rsidR="00C374A2">
        <w:rPr>
          <w:rStyle w:val="ui-provider"/>
        </w:rPr>
        <w:t>98,215</w:t>
      </w:r>
      <w:r w:rsidR="001279D8">
        <w:rPr>
          <w:rStyle w:val="ui-provider"/>
        </w:rPr>
        <w:t xml:space="preserve"> for exclusion request</w:t>
      </w:r>
      <w:r w:rsidR="00A361F9">
        <w:rPr>
          <w:rStyle w:val="ui-provider"/>
        </w:rPr>
        <w:t>s</w:t>
      </w:r>
      <w:r>
        <w:rPr>
          <w:rStyle w:val="ui-provider"/>
        </w:rPr>
        <w:t xml:space="preserve">. Similarly, we estimate 20-year present value </w:t>
      </w:r>
      <w:r w:rsidR="008031BC">
        <w:rPr>
          <w:rStyle w:val="ui-provider"/>
        </w:rPr>
        <w:t xml:space="preserve">annual cost </w:t>
      </w:r>
      <w:r>
        <w:rPr>
          <w:rStyle w:val="ui-provider"/>
        </w:rPr>
        <w:t>of $</w:t>
      </w:r>
      <w:r w:rsidR="00C374A2">
        <w:rPr>
          <w:rStyle w:val="ui-provider"/>
        </w:rPr>
        <w:t>471</w:t>
      </w:r>
      <w:r>
        <w:rPr>
          <w:rStyle w:val="ui-provider"/>
        </w:rPr>
        <w:t xml:space="preserve"> to $</w:t>
      </w:r>
      <w:r w:rsidR="00C374A2">
        <w:rPr>
          <w:rStyle w:val="ui-provider"/>
        </w:rPr>
        <w:t>972,411</w:t>
      </w:r>
      <w:r>
        <w:rPr>
          <w:rStyle w:val="ui-provider"/>
        </w:rPr>
        <w:t xml:space="preserve"> </w:t>
      </w:r>
      <w:r w:rsidR="00F05556">
        <w:rPr>
          <w:rStyle w:val="ui-provider"/>
        </w:rPr>
        <w:t xml:space="preserve">for exclusion request </w:t>
      </w:r>
      <w:r>
        <w:rPr>
          <w:rStyle w:val="ui-provider"/>
        </w:rPr>
        <w:t>assuming if exclusion request increases from 75 percent up to 95 percent</w:t>
      </w:r>
      <w:r w:rsidR="00B4469D">
        <w:rPr>
          <w:rStyle w:val="ui-provider"/>
        </w:rPr>
        <w:t xml:space="preserve"> </w:t>
      </w:r>
      <w:r w:rsidR="00076B97">
        <w:rPr>
          <w:rStyle w:val="ui-provider"/>
        </w:rPr>
        <w:t xml:space="preserve">(increases </w:t>
      </w:r>
      <w:r w:rsidR="005207DC">
        <w:rPr>
          <w:rStyle w:val="ui-provider"/>
        </w:rPr>
        <w:t>annually</w:t>
      </w:r>
      <w:r w:rsidR="00076B97">
        <w:rPr>
          <w:rStyle w:val="ui-provider"/>
        </w:rPr>
        <w:t xml:space="preserve"> by 5 percent and remains constant once it reached 95 </w:t>
      </w:r>
      <w:r w:rsidR="005207DC">
        <w:rPr>
          <w:rStyle w:val="ui-provider"/>
        </w:rPr>
        <w:t>percent) over</w:t>
      </w:r>
      <w:r w:rsidR="00B4469D">
        <w:rPr>
          <w:rStyle w:val="ui-provider"/>
        </w:rPr>
        <w:t xml:space="preserve"> 20 years</w:t>
      </w:r>
      <w:r>
        <w:rPr>
          <w:rStyle w:val="ui-provider"/>
        </w:rPr>
        <w:t xml:space="preserve">. </w:t>
      </w:r>
    </w:p>
    <w:p w14:paraId="0189C9CC" w14:textId="56A42D4C" w:rsidR="00E93EB2" w:rsidRPr="00E93EB2" w:rsidRDefault="00E93EB2" w:rsidP="00ED682D">
      <w:pPr>
        <w:pStyle w:val="Paragraph"/>
        <w:rPr>
          <w:b/>
          <w:bCs/>
        </w:rPr>
      </w:pPr>
      <w:r w:rsidRPr="00186137">
        <w:rPr>
          <w:b/>
        </w:rPr>
        <w:lastRenderedPageBreak/>
        <w:t>Adjustments</w:t>
      </w:r>
    </w:p>
    <w:p w14:paraId="484F9921" w14:textId="77777777" w:rsidR="00C63872" w:rsidRDefault="00683FA3" w:rsidP="00C63872">
      <w:pPr>
        <w:pStyle w:val="Paragraph"/>
        <w:widowControl w:val="0"/>
      </w:pPr>
      <w:r w:rsidRPr="00683FA3">
        <w:t xml:space="preserve">Producers or PCRC product industry representatives may annually submit requests for consideration by the </w:t>
      </w:r>
      <w:r>
        <w:t>Ecology</w:t>
      </w:r>
      <w:r w:rsidRPr="00683FA3">
        <w:t xml:space="preserve"> to temporarily adjust the annual PCRC minimum percentages for the following year. </w:t>
      </w:r>
      <w:r w:rsidR="00943071">
        <w:t xml:space="preserve">However, </w:t>
      </w:r>
      <w:r w:rsidR="00824EAA" w:rsidRPr="00186137">
        <w:t xml:space="preserve">this adjustment request would occur no more </w:t>
      </w:r>
      <w:r w:rsidR="00186137">
        <w:t xml:space="preserve">frequently </w:t>
      </w:r>
      <w:r w:rsidR="00824EAA" w:rsidRPr="00186137">
        <w:t xml:space="preserve">than </w:t>
      </w:r>
      <w:r w:rsidR="00370A8C" w:rsidRPr="00186137">
        <w:t>annually</w:t>
      </w:r>
      <w:r w:rsidR="00186137">
        <w:t>,</w:t>
      </w:r>
      <w:r w:rsidR="00943071" w:rsidRPr="00186137">
        <w:t xml:space="preserve"> and </w:t>
      </w:r>
      <w:r w:rsidR="00CD66B1" w:rsidRPr="00186137">
        <w:t>the</w:t>
      </w:r>
      <w:r w:rsidR="00824EAA" w:rsidRPr="00186137">
        <w:t xml:space="preserve"> activity would </w:t>
      </w:r>
      <w:r w:rsidR="00CD66B1" w:rsidRPr="00186137">
        <w:t xml:space="preserve">start beginning January 1, </w:t>
      </w:r>
      <w:r w:rsidR="00E52155" w:rsidRPr="00E52155">
        <w:t>2024,</w:t>
      </w:r>
      <w:r w:rsidR="00CD66B1" w:rsidRPr="00186137">
        <w:t xml:space="preserve"> or when rule making is complete, whichever is sooner</w:t>
      </w:r>
      <w:r w:rsidR="00824EAA" w:rsidRPr="00186137">
        <w:t>.</w:t>
      </w:r>
      <w:r w:rsidR="00824EAA">
        <w:t xml:space="preserve"> </w:t>
      </w:r>
      <w:r w:rsidR="00E93EB2">
        <w:t>The</w:t>
      </w:r>
      <w:r w:rsidR="00ED682D">
        <w:t xml:space="preserve"> table below presents the cost of activities </w:t>
      </w:r>
      <w:r w:rsidR="00E93EB2">
        <w:t>necessary</w:t>
      </w:r>
      <w:r w:rsidR="00ED682D">
        <w:t xml:space="preserve"> for optional </w:t>
      </w:r>
      <w:r w:rsidR="006221E1">
        <w:t xml:space="preserve">temporary </w:t>
      </w:r>
      <w:r w:rsidR="00ED682D">
        <w:t>adjustment request</w:t>
      </w:r>
      <w:r w:rsidR="00E93EB2">
        <w:t>s</w:t>
      </w:r>
      <w:r w:rsidR="00ED682D">
        <w:t>.</w:t>
      </w:r>
      <w:r w:rsidR="00824EAA">
        <w:t xml:space="preserve"> </w:t>
      </w:r>
    </w:p>
    <w:p w14:paraId="4962AAC0" w14:textId="0A4C875A" w:rsidR="008E26D0" w:rsidRDefault="00C63872" w:rsidP="003C55B6">
      <w:pPr>
        <w:pStyle w:val="Caption"/>
        <w:keepNext/>
        <w:keepLines/>
      </w:pPr>
      <w:bookmarkStart w:id="52" w:name="_Toc133303731"/>
      <w:r>
        <w:t xml:space="preserve">Table </w:t>
      </w:r>
      <w:fldSimple w:instr=" SEQ Table \* ARABIC ">
        <w:r w:rsidR="00726B91">
          <w:rPr>
            <w:noProof/>
          </w:rPr>
          <w:t>12</w:t>
        </w:r>
      </w:fldSimple>
      <w:r w:rsidR="00566E34">
        <w:rPr>
          <w:noProof/>
        </w:rPr>
        <w:t>.</w:t>
      </w:r>
      <w:r>
        <w:t xml:space="preserve"> </w:t>
      </w:r>
      <w:r w:rsidRPr="001307D5">
        <w:t>Annual cost of PCRC adjustment request by PCRC industry</w:t>
      </w:r>
      <w:r w:rsidR="00566E34">
        <w:t>.</w:t>
      </w:r>
      <w:bookmarkEnd w:id="52"/>
    </w:p>
    <w:tbl>
      <w:tblPr>
        <w:tblW w:w="11264" w:type="dxa"/>
        <w:jc w:val="center"/>
        <w:tblBorders>
          <w:insideH w:val="single" w:sz="4" w:space="0" w:color="auto"/>
        </w:tblBorders>
        <w:tblLook w:val="04A0" w:firstRow="1" w:lastRow="0" w:firstColumn="1" w:lastColumn="0" w:noHBand="0" w:noVBand="1"/>
        <w:tblCaption w:val="annual costs of PCRC adjustments"/>
      </w:tblPr>
      <w:tblGrid>
        <w:gridCol w:w="5289"/>
        <w:gridCol w:w="2420"/>
        <w:gridCol w:w="1149"/>
        <w:gridCol w:w="306"/>
        <w:gridCol w:w="2100"/>
      </w:tblGrid>
      <w:tr w:rsidR="006A18EC" w:rsidRPr="003C55B6" w14:paraId="6B1B3FF7" w14:textId="77777777" w:rsidTr="003706B1">
        <w:trPr>
          <w:cantSplit/>
          <w:trHeight w:val="418"/>
          <w:tblHeader/>
          <w:jc w:val="center"/>
        </w:trPr>
        <w:tc>
          <w:tcPr>
            <w:tcW w:w="5289" w:type="dxa"/>
            <w:shd w:val="clear" w:color="auto" w:fill="auto"/>
            <w:noWrap/>
            <w:vAlign w:val="center"/>
            <w:hideMark/>
          </w:tcPr>
          <w:p w14:paraId="11C78C5F" w14:textId="33AAFDC1" w:rsidR="00CB4D8C" w:rsidRPr="003C55B6" w:rsidRDefault="003C4C8D" w:rsidP="00BD2CF2">
            <w:pPr>
              <w:pStyle w:val="Tablecell"/>
              <w:keepLines/>
              <w:jc w:val="center"/>
              <w:rPr>
                <w:sz w:val="20"/>
              </w:rPr>
            </w:pPr>
            <w:r w:rsidRPr="003C55B6">
              <w:rPr>
                <w:sz w:val="20"/>
              </w:rPr>
              <w:t>Activities</w:t>
            </w:r>
          </w:p>
        </w:tc>
        <w:tc>
          <w:tcPr>
            <w:tcW w:w="2420" w:type="dxa"/>
            <w:shd w:val="clear" w:color="auto" w:fill="auto"/>
            <w:noWrap/>
            <w:vAlign w:val="center"/>
            <w:hideMark/>
          </w:tcPr>
          <w:p w14:paraId="2F60D20F" w14:textId="77777777" w:rsidR="00CB4D8C" w:rsidRPr="003C55B6" w:rsidRDefault="00CB4D8C" w:rsidP="003C55B6">
            <w:pPr>
              <w:pStyle w:val="Tablecell"/>
              <w:keepLines/>
              <w:jc w:val="center"/>
              <w:rPr>
                <w:sz w:val="20"/>
              </w:rPr>
            </w:pPr>
            <w:r w:rsidRPr="003C55B6">
              <w:rPr>
                <w:sz w:val="20"/>
              </w:rPr>
              <w:t>Hours</w:t>
            </w:r>
            <w:r w:rsidRPr="003C55B6">
              <w:rPr>
                <w:rStyle w:val="FootnoteReference"/>
                <w:b/>
                <w:bCs/>
                <w:sz w:val="20"/>
              </w:rPr>
              <w:footnoteReference w:id="18"/>
            </w:r>
          </w:p>
        </w:tc>
        <w:tc>
          <w:tcPr>
            <w:tcW w:w="1455" w:type="dxa"/>
            <w:gridSpan w:val="2"/>
            <w:shd w:val="clear" w:color="auto" w:fill="auto"/>
            <w:noWrap/>
            <w:vAlign w:val="center"/>
          </w:tcPr>
          <w:p w14:paraId="3067501C" w14:textId="77777777" w:rsidR="00CB4D8C" w:rsidRPr="003C55B6" w:rsidRDefault="00CB4D8C" w:rsidP="003C55B6">
            <w:pPr>
              <w:pStyle w:val="Tablecell"/>
              <w:keepLines/>
              <w:jc w:val="center"/>
              <w:rPr>
                <w:sz w:val="20"/>
              </w:rPr>
            </w:pPr>
            <w:r w:rsidRPr="003C55B6">
              <w:rPr>
                <w:sz w:val="20"/>
              </w:rPr>
              <w:t>Hourly rate</w:t>
            </w:r>
            <w:r w:rsidRPr="003C55B6">
              <w:rPr>
                <w:rStyle w:val="FootnoteReference"/>
                <w:b/>
                <w:bCs/>
                <w:sz w:val="20"/>
              </w:rPr>
              <w:footnoteReference w:id="19"/>
            </w:r>
          </w:p>
        </w:tc>
        <w:tc>
          <w:tcPr>
            <w:tcW w:w="2100" w:type="dxa"/>
          </w:tcPr>
          <w:p w14:paraId="067900AA" w14:textId="77777777" w:rsidR="00CB4D8C" w:rsidRPr="003C55B6" w:rsidRDefault="00CB4D8C" w:rsidP="003C55B6">
            <w:pPr>
              <w:pStyle w:val="Tablecell"/>
              <w:keepLines/>
              <w:jc w:val="center"/>
              <w:rPr>
                <w:sz w:val="20"/>
              </w:rPr>
            </w:pPr>
            <w:r w:rsidRPr="003C55B6">
              <w:rPr>
                <w:sz w:val="20"/>
              </w:rPr>
              <w:t>Cost</w:t>
            </w:r>
          </w:p>
        </w:tc>
      </w:tr>
      <w:tr w:rsidR="006A18EC" w:rsidRPr="003C55B6" w14:paraId="7BB5AFFE" w14:textId="77777777" w:rsidTr="003706B1">
        <w:trPr>
          <w:cantSplit/>
          <w:trHeight w:val="403"/>
          <w:jc w:val="center"/>
        </w:trPr>
        <w:tc>
          <w:tcPr>
            <w:tcW w:w="5289" w:type="dxa"/>
            <w:shd w:val="clear" w:color="auto" w:fill="auto"/>
            <w:noWrap/>
            <w:vAlign w:val="center"/>
            <w:hideMark/>
          </w:tcPr>
          <w:p w14:paraId="0F71C824" w14:textId="0B38ADE4" w:rsidR="00CB4D8C" w:rsidRPr="003C55B6" w:rsidRDefault="00647224" w:rsidP="003C55B6">
            <w:pPr>
              <w:pStyle w:val="Tablecell"/>
              <w:keepLines/>
              <w:rPr>
                <w:sz w:val="20"/>
              </w:rPr>
            </w:pPr>
            <w:r w:rsidRPr="003C55B6">
              <w:rPr>
                <w:sz w:val="20"/>
              </w:rPr>
              <w:t xml:space="preserve">a. </w:t>
            </w:r>
            <w:r w:rsidR="00900BA7" w:rsidRPr="003C55B6">
              <w:rPr>
                <w:sz w:val="20"/>
              </w:rPr>
              <w:t>Compile the list of producers</w:t>
            </w:r>
            <w:r w:rsidR="006E6856" w:rsidRPr="003C55B6">
              <w:rPr>
                <w:sz w:val="20"/>
              </w:rPr>
              <w:t>.</w:t>
            </w:r>
          </w:p>
        </w:tc>
        <w:tc>
          <w:tcPr>
            <w:tcW w:w="2420" w:type="dxa"/>
            <w:shd w:val="clear" w:color="auto" w:fill="auto"/>
            <w:noWrap/>
            <w:vAlign w:val="center"/>
            <w:hideMark/>
          </w:tcPr>
          <w:p w14:paraId="7A065076" w14:textId="4B0569B3" w:rsidR="00CB4D8C" w:rsidRPr="003C55B6" w:rsidRDefault="00B01E4A" w:rsidP="007838D3">
            <w:pPr>
              <w:pStyle w:val="Tablecell"/>
              <w:keepLines/>
              <w:jc w:val="center"/>
              <w:rPr>
                <w:b/>
                <w:bCs/>
                <w:sz w:val="20"/>
              </w:rPr>
            </w:pPr>
            <w:r w:rsidRPr="003C55B6">
              <w:rPr>
                <w:b/>
                <w:bCs/>
                <w:sz w:val="20"/>
              </w:rPr>
              <w:t>1</w:t>
            </w:r>
            <w:r w:rsidR="00CB4D8C" w:rsidRPr="003C55B6">
              <w:rPr>
                <w:b/>
                <w:bCs/>
                <w:sz w:val="20"/>
              </w:rPr>
              <w:t>.00</w:t>
            </w:r>
          </w:p>
        </w:tc>
        <w:tc>
          <w:tcPr>
            <w:tcW w:w="1149" w:type="dxa"/>
            <w:shd w:val="clear" w:color="auto" w:fill="auto"/>
            <w:noWrap/>
            <w:vAlign w:val="center"/>
            <w:hideMark/>
          </w:tcPr>
          <w:p w14:paraId="29623C3D" w14:textId="4197E798" w:rsidR="00CB4D8C" w:rsidRPr="003C55B6" w:rsidRDefault="00CB4D8C" w:rsidP="007838D3">
            <w:pPr>
              <w:pStyle w:val="Tablecell"/>
              <w:keepLines/>
              <w:jc w:val="center"/>
              <w:rPr>
                <w:b/>
                <w:bCs/>
                <w:sz w:val="20"/>
              </w:rPr>
            </w:pPr>
            <w:r w:rsidRPr="003C55B6">
              <w:rPr>
                <w:b/>
                <w:bCs/>
                <w:sz w:val="20"/>
              </w:rPr>
              <w:t>$61.25</w:t>
            </w:r>
          </w:p>
        </w:tc>
        <w:tc>
          <w:tcPr>
            <w:tcW w:w="2406" w:type="dxa"/>
            <w:gridSpan w:val="2"/>
            <w:vAlign w:val="center"/>
          </w:tcPr>
          <w:p w14:paraId="38ADB997" w14:textId="1C522C61" w:rsidR="00CB4D8C" w:rsidRPr="003C55B6" w:rsidRDefault="00CB4D8C" w:rsidP="003C55B6">
            <w:pPr>
              <w:pStyle w:val="Tablecell"/>
              <w:keepLines/>
              <w:jc w:val="center"/>
              <w:rPr>
                <w:b/>
                <w:bCs/>
                <w:sz w:val="20"/>
              </w:rPr>
            </w:pPr>
            <w:r w:rsidRPr="003C55B6">
              <w:rPr>
                <w:b/>
                <w:bCs/>
                <w:sz w:val="20"/>
              </w:rPr>
              <w:t>$</w:t>
            </w:r>
            <w:r w:rsidR="00B01E4A" w:rsidRPr="003C55B6">
              <w:rPr>
                <w:b/>
                <w:bCs/>
                <w:sz w:val="20"/>
              </w:rPr>
              <w:t>61.25</w:t>
            </w:r>
          </w:p>
        </w:tc>
      </w:tr>
      <w:tr w:rsidR="006A18EC" w:rsidRPr="003C55B6" w14:paraId="291ABE84" w14:textId="77777777" w:rsidTr="003706B1">
        <w:trPr>
          <w:cantSplit/>
          <w:trHeight w:val="1284"/>
          <w:jc w:val="center"/>
        </w:trPr>
        <w:tc>
          <w:tcPr>
            <w:tcW w:w="5289" w:type="dxa"/>
            <w:shd w:val="clear" w:color="auto" w:fill="auto"/>
            <w:noWrap/>
            <w:vAlign w:val="bottom"/>
            <w:hideMark/>
          </w:tcPr>
          <w:p w14:paraId="042D90D3" w14:textId="69781D78" w:rsidR="00CB4D8C" w:rsidRPr="003C55B6" w:rsidRDefault="00647224" w:rsidP="003C55B6">
            <w:pPr>
              <w:pStyle w:val="Tablecell"/>
              <w:keepLines/>
              <w:rPr>
                <w:sz w:val="20"/>
              </w:rPr>
            </w:pPr>
            <w:r w:rsidRPr="003C55B6">
              <w:rPr>
                <w:sz w:val="20"/>
              </w:rPr>
              <w:t>b.</w:t>
            </w:r>
            <w:r w:rsidR="00370A8C" w:rsidRPr="003C55B6">
              <w:rPr>
                <w:sz w:val="20"/>
              </w:rPr>
              <w:t xml:space="preserve"> </w:t>
            </w:r>
            <w:r w:rsidR="00B01E4A" w:rsidRPr="003C55B6">
              <w:rPr>
                <w:sz w:val="20"/>
              </w:rPr>
              <w:t>A thorough explanation by qualified expert supporting producer/industry's claim that a temporary adjustment to the minimum PCRC for type of container, PCRC product, or PCRC product category is needed.</w:t>
            </w:r>
          </w:p>
        </w:tc>
        <w:tc>
          <w:tcPr>
            <w:tcW w:w="2420" w:type="dxa"/>
            <w:shd w:val="clear" w:color="auto" w:fill="auto"/>
            <w:noWrap/>
            <w:vAlign w:val="center"/>
            <w:hideMark/>
          </w:tcPr>
          <w:p w14:paraId="66E9BAA1" w14:textId="6B1431F8" w:rsidR="00CB4D8C" w:rsidRPr="003C55B6" w:rsidRDefault="00B01E4A" w:rsidP="007838D3">
            <w:pPr>
              <w:pStyle w:val="Tablecell"/>
              <w:keepLines/>
              <w:jc w:val="center"/>
              <w:rPr>
                <w:b/>
                <w:bCs/>
                <w:sz w:val="20"/>
              </w:rPr>
            </w:pPr>
            <w:r w:rsidRPr="003C55B6">
              <w:rPr>
                <w:b/>
                <w:bCs/>
                <w:sz w:val="20"/>
              </w:rPr>
              <w:t>40.</w:t>
            </w:r>
            <w:r w:rsidR="00CB4D8C" w:rsidRPr="003C55B6">
              <w:rPr>
                <w:b/>
                <w:bCs/>
                <w:sz w:val="20"/>
              </w:rPr>
              <w:t>00</w:t>
            </w:r>
          </w:p>
        </w:tc>
        <w:tc>
          <w:tcPr>
            <w:tcW w:w="1149" w:type="dxa"/>
            <w:shd w:val="clear" w:color="auto" w:fill="auto"/>
            <w:noWrap/>
            <w:vAlign w:val="center"/>
            <w:hideMark/>
          </w:tcPr>
          <w:p w14:paraId="16C400D4" w14:textId="7562602E" w:rsidR="00CB4D8C" w:rsidRPr="003C55B6" w:rsidRDefault="00CB4D8C" w:rsidP="007838D3">
            <w:pPr>
              <w:pStyle w:val="Tablecell"/>
              <w:keepLines/>
              <w:jc w:val="center"/>
              <w:rPr>
                <w:b/>
                <w:bCs/>
                <w:sz w:val="20"/>
              </w:rPr>
            </w:pPr>
            <w:r w:rsidRPr="003C55B6">
              <w:rPr>
                <w:b/>
                <w:bCs/>
                <w:sz w:val="20"/>
              </w:rPr>
              <w:t>$61.25</w:t>
            </w:r>
          </w:p>
        </w:tc>
        <w:tc>
          <w:tcPr>
            <w:tcW w:w="2406" w:type="dxa"/>
            <w:gridSpan w:val="2"/>
            <w:vAlign w:val="center"/>
          </w:tcPr>
          <w:p w14:paraId="78607FFB" w14:textId="5D6A53CF" w:rsidR="00CB4D8C" w:rsidRPr="003C55B6" w:rsidRDefault="00CB4D8C" w:rsidP="007838D3">
            <w:pPr>
              <w:pStyle w:val="Tablecell"/>
              <w:keepLines/>
              <w:jc w:val="center"/>
              <w:rPr>
                <w:b/>
                <w:bCs/>
                <w:sz w:val="20"/>
              </w:rPr>
            </w:pPr>
            <w:r w:rsidRPr="003C55B6">
              <w:rPr>
                <w:b/>
                <w:bCs/>
                <w:sz w:val="20"/>
              </w:rPr>
              <w:t>$</w:t>
            </w:r>
            <w:r w:rsidR="00B01E4A" w:rsidRPr="003C55B6">
              <w:rPr>
                <w:b/>
                <w:bCs/>
                <w:sz w:val="20"/>
              </w:rPr>
              <w:t>2,450</w:t>
            </w:r>
            <w:r w:rsidRPr="003C55B6">
              <w:rPr>
                <w:b/>
                <w:bCs/>
                <w:sz w:val="20"/>
              </w:rPr>
              <w:t>.</w:t>
            </w:r>
            <w:r w:rsidR="000F08BC" w:rsidRPr="003C55B6">
              <w:rPr>
                <w:b/>
                <w:bCs/>
                <w:sz w:val="20"/>
              </w:rPr>
              <w:t>00</w:t>
            </w:r>
          </w:p>
        </w:tc>
      </w:tr>
      <w:tr w:rsidR="00370A8C" w:rsidRPr="003C55B6" w14:paraId="5B8287EC" w14:textId="77777777" w:rsidTr="003706B1">
        <w:trPr>
          <w:cantSplit/>
          <w:trHeight w:val="2151"/>
          <w:jc w:val="center"/>
        </w:trPr>
        <w:tc>
          <w:tcPr>
            <w:tcW w:w="5289" w:type="dxa"/>
            <w:shd w:val="clear" w:color="auto" w:fill="auto"/>
            <w:noWrap/>
            <w:vAlign w:val="center"/>
          </w:tcPr>
          <w:p w14:paraId="39003B5B" w14:textId="03BCDAD0" w:rsidR="00370A8C" w:rsidRPr="003C55B6" w:rsidRDefault="00370A8C" w:rsidP="003C55B6">
            <w:pPr>
              <w:pStyle w:val="Tablecell"/>
              <w:keepLines/>
              <w:rPr>
                <w:sz w:val="20"/>
              </w:rPr>
            </w:pPr>
            <w:r w:rsidRPr="003C55B6">
              <w:rPr>
                <w:sz w:val="20"/>
              </w:rPr>
              <w:t>c.</w:t>
            </w:r>
            <w:r w:rsidR="00DF07FB" w:rsidRPr="003C55B6">
              <w:rPr>
                <w:sz w:val="20"/>
              </w:rPr>
              <w:t xml:space="preserve"> Supporting documentation including changes in market conditions, recycling collection rates, product quality or shelf life issues, capacity of recycling and processing infrastructure, domestic and global PCRC bale availability, transportation barriers, public health emergencies, work stoppages, catastrophic events, and/or other relevant factors.</w:t>
            </w:r>
          </w:p>
        </w:tc>
        <w:tc>
          <w:tcPr>
            <w:tcW w:w="2420" w:type="dxa"/>
            <w:shd w:val="clear" w:color="auto" w:fill="auto"/>
            <w:noWrap/>
            <w:vAlign w:val="center"/>
          </w:tcPr>
          <w:p w14:paraId="58F1F21E" w14:textId="0A5FB3AC" w:rsidR="00370A8C" w:rsidRPr="003C55B6" w:rsidRDefault="00E81E64" w:rsidP="007838D3">
            <w:pPr>
              <w:pStyle w:val="Tablecell"/>
              <w:keepLines/>
              <w:jc w:val="center"/>
              <w:rPr>
                <w:b/>
                <w:bCs/>
                <w:sz w:val="20"/>
              </w:rPr>
            </w:pPr>
            <w:r w:rsidRPr="003C55B6">
              <w:rPr>
                <w:b/>
                <w:bCs/>
                <w:sz w:val="20"/>
              </w:rPr>
              <w:t>20.00</w:t>
            </w:r>
          </w:p>
        </w:tc>
        <w:tc>
          <w:tcPr>
            <w:tcW w:w="1149" w:type="dxa"/>
            <w:shd w:val="clear" w:color="auto" w:fill="auto"/>
            <w:noWrap/>
            <w:vAlign w:val="center"/>
          </w:tcPr>
          <w:p w14:paraId="54E23D7E" w14:textId="2E3E947A" w:rsidR="00370A8C" w:rsidRPr="003C55B6" w:rsidRDefault="00E81E64" w:rsidP="007838D3">
            <w:pPr>
              <w:pStyle w:val="Tablecell"/>
              <w:keepLines/>
              <w:jc w:val="center"/>
              <w:rPr>
                <w:b/>
                <w:bCs/>
                <w:sz w:val="20"/>
              </w:rPr>
            </w:pPr>
            <w:r w:rsidRPr="003C55B6">
              <w:rPr>
                <w:b/>
                <w:bCs/>
                <w:sz w:val="20"/>
              </w:rPr>
              <w:t>$61.25</w:t>
            </w:r>
          </w:p>
        </w:tc>
        <w:tc>
          <w:tcPr>
            <w:tcW w:w="2406" w:type="dxa"/>
            <w:gridSpan w:val="2"/>
            <w:vAlign w:val="center"/>
          </w:tcPr>
          <w:p w14:paraId="065DE763" w14:textId="4974E1E1" w:rsidR="00370A8C" w:rsidRPr="003C55B6" w:rsidRDefault="000F08BC" w:rsidP="007838D3">
            <w:pPr>
              <w:pStyle w:val="Tablecell"/>
              <w:keepLines/>
              <w:jc w:val="center"/>
              <w:rPr>
                <w:b/>
                <w:bCs/>
                <w:sz w:val="20"/>
              </w:rPr>
            </w:pPr>
            <w:r w:rsidRPr="003C55B6">
              <w:rPr>
                <w:b/>
                <w:bCs/>
                <w:sz w:val="20"/>
              </w:rPr>
              <w:t>1</w:t>
            </w:r>
            <w:r w:rsidR="005814A7" w:rsidRPr="003C55B6">
              <w:rPr>
                <w:b/>
                <w:bCs/>
                <w:sz w:val="20"/>
              </w:rPr>
              <w:t>,</w:t>
            </w:r>
            <w:r w:rsidRPr="003C55B6">
              <w:rPr>
                <w:b/>
                <w:bCs/>
                <w:sz w:val="20"/>
              </w:rPr>
              <w:t>225.00</w:t>
            </w:r>
          </w:p>
        </w:tc>
      </w:tr>
      <w:tr w:rsidR="00370A8C" w:rsidRPr="003C55B6" w14:paraId="2BDAA426" w14:textId="77777777" w:rsidTr="003706B1">
        <w:trPr>
          <w:cantSplit/>
          <w:trHeight w:val="821"/>
          <w:jc w:val="center"/>
        </w:trPr>
        <w:tc>
          <w:tcPr>
            <w:tcW w:w="5289" w:type="dxa"/>
            <w:shd w:val="clear" w:color="auto" w:fill="auto"/>
            <w:noWrap/>
            <w:vAlign w:val="center"/>
          </w:tcPr>
          <w:p w14:paraId="419AFDEC" w14:textId="08EFDBFF" w:rsidR="00370A8C" w:rsidRPr="003C55B6" w:rsidRDefault="0090321D" w:rsidP="003C55B6">
            <w:pPr>
              <w:pStyle w:val="Tablecell"/>
              <w:keepLines/>
              <w:rPr>
                <w:sz w:val="20"/>
              </w:rPr>
            </w:pPr>
            <w:r w:rsidRPr="003C55B6">
              <w:rPr>
                <w:sz w:val="20"/>
              </w:rPr>
              <w:t xml:space="preserve">d. </w:t>
            </w:r>
            <w:r w:rsidR="004D2ED1" w:rsidRPr="003C55B6">
              <w:rPr>
                <w:sz w:val="20"/>
              </w:rPr>
              <w:t xml:space="preserve">Progress made by the producers in </w:t>
            </w:r>
            <w:r w:rsidR="005814A7" w:rsidRPr="003C55B6">
              <w:rPr>
                <w:sz w:val="20"/>
              </w:rPr>
              <w:t>achieving</w:t>
            </w:r>
            <w:r w:rsidR="004D2ED1" w:rsidRPr="003C55B6">
              <w:rPr>
                <w:sz w:val="20"/>
              </w:rPr>
              <w:t xml:space="preserve"> PCRC requirements </w:t>
            </w:r>
          </w:p>
        </w:tc>
        <w:tc>
          <w:tcPr>
            <w:tcW w:w="2420" w:type="dxa"/>
            <w:shd w:val="clear" w:color="auto" w:fill="auto"/>
            <w:noWrap/>
            <w:vAlign w:val="center"/>
          </w:tcPr>
          <w:p w14:paraId="720C2B96" w14:textId="4C2562A8" w:rsidR="00370A8C" w:rsidRPr="003C55B6" w:rsidRDefault="005814A7" w:rsidP="007838D3">
            <w:pPr>
              <w:pStyle w:val="Tablecell"/>
              <w:keepLines/>
              <w:jc w:val="center"/>
              <w:rPr>
                <w:b/>
                <w:bCs/>
                <w:sz w:val="20"/>
              </w:rPr>
            </w:pPr>
            <w:r w:rsidRPr="003C55B6">
              <w:rPr>
                <w:b/>
                <w:bCs/>
                <w:sz w:val="20"/>
              </w:rPr>
              <w:t>2</w:t>
            </w:r>
            <w:r w:rsidR="00E81E64" w:rsidRPr="003C55B6">
              <w:rPr>
                <w:b/>
                <w:bCs/>
                <w:sz w:val="20"/>
              </w:rPr>
              <w:t>0.00</w:t>
            </w:r>
          </w:p>
        </w:tc>
        <w:tc>
          <w:tcPr>
            <w:tcW w:w="1149" w:type="dxa"/>
            <w:shd w:val="clear" w:color="auto" w:fill="auto"/>
            <w:noWrap/>
            <w:vAlign w:val="center"/>
          </w:tcPr>
          <w:p w14:paraId="57F10610" w14:textId="7D34A30A" w:rsidR="00370A8C" w:rsidRPr="003C55B6" w:rsidRDefault="00E81E64" w:rsidP="007838D3">
            <w:pPr>
              <w:pStyle w:val="Tablecell"/>
              <w:keepLines/>
              <w:jc w:val="center"/>
              <w:rPr>
                <w:b/>
                <w:bCs/>
                <w:sz w:val="20"/>
              </w:rPr>
            </w:pPr>
            <w:r w:rsidRPr="003C55B6">
              <w:rPr>
                <w:b/>
                <w:bCs/>
                <w:sz w:val="20"/>
              </w:rPr>
              <w:t>$61.25</w:t>
            </w:r>
          </w:p>
        </w:tc>
        <w:tc>
          <w:tcPr>
            <w:tcW w:w="2406" w:type="dxa"/>
            <w:gridSpan w:val="2"/>
            <w:vAlign w:val="center"/>
          </w:tcPr>
          <w:p w14:paraId="5482754B" w14:textId="10E0901B" w:rsidR="00370A8C" w:rsidRPr="003C55B6" w:rsidRDefault="000F08BC" w:rsidP="007838D3">
            <w:pPr>
              <w:pStyle w:val="Tablecell"/>
              <w:keepLines/>
              <w:jc w:val="center"/>
              <w:rPr>
                <w:b/>
                <w:bCs/>
                <w:sz w:val="20"/>
              </w:rPr>
            </w:pPr>
            <w:r w:rsidRPr="003C55B6">
              <w:rPr>
                <w:b/>
                <w:bCs/>
                <w:sz w:val="20"/>
              </w:rPr>
              <w:t>$</w:t>
            </w:r>
            <w:r w:rsidR="005814A7" w:rsidRPr="003C55B6">
              <w:rPr>
                <w:b/>
                <w:bCs/>
                <w:sz w:val="20"/>
              </w:rPr>
              <w:t>1,225</w:t>
            </w:r>
            <w:r w:rsidRPr="003C55B6">
              <w:rPr>
                <w:b/>
                <w:bCs/>
                <w:sz w:val="20"/>
              </w:rPr>
              <w:t>.00</w:t>
            </w:r>
          </w:p>
        </w:tc>
      </w:tr>
      <w:tr w:rsidR="006A18EC" w:rsidRPr="003C55B6" w14:paraId="1D264E16" w14:textId="77777777" w:rsidTr="003706B1">
        <w:trPr>
          <w:cantSplit/>
          <w:trHeight w:val="1284"/>
          <w:jc w:val="center"/>
        </w:trPr>
        <w:tc>
          <w:tcPr>
            <w:tcW w:w="5289" w:type="dxa"/>
            <w:shd w:val="clear" w:color="auto" w:fill="auto"/>
            <w:noWrap/>
            <w:vAlign w:val="center"/>
            <w:hideMark/>
          </w:tcPr>
          <w:p w14:paraId="020B8B06" w14:textId="49EF88AB" w:rsidR="00CB4D8C" w:rsidRPr="003C55B6" w:rsidRDefault="00C07728" w:rsidP="003C55B6">
            <w:pPr>
              <w:pStyle w:val="Tablecell"/>
              <w:keepLines/>
              <w:rPr>
                <w:sz w:val="20"/>
              </w:rPr>
            </w:pPr>
            <w:r w:rsidRPr="003C55B6">
              <w:rPr>
                <w:sz w:val="20"/>
              </w:rPr>
              <w:t>e</w:t>
            </w:r>
            <w:r w:rsidR="00647224" w:rsidRPr="003C55B6">
              <w:rPr>
                <w:sz w:val="20"/>
              </w:rPr>
              <w:t xml:space="preserve">. </w:t>
            </w:r>
            <w:r w:rsidR="00842D11" w:rsidRPr="003C55B6">
              <w:rPr>
                <w:sz w:val="20"/>
              </w:rPr>
              <w:t>Estimate time period that the identified factors impacting PCRC minimum feasibility are expected to extend; and any additional information necessary and relevant to support the basis for the request</w:t>
            </w:r>
            <w:r w:rsidR="00816B3A" w:rsidRPr="003C55B6">
              <w:rPr>
                <w:sz w:val="20"/>
              </w:rPr>
              <w:t>.</w:t>
            </w:r>
          </w:p>
        </w:tc>
        <w:tc>
          <w:tcPr>
            <w:tcW w:w="2420" w:type="dxa"/>
            <w:shd w:val="clear" w:color="auto" w:fill="auto"/>
            <w:noWrap/>
            <w:vAlign w:val="center"/>
            <w:hideMark/>
          </w:tcPr>
          <w:p w14:paraId="49B2543F" w14:textId="0E40ADC8" w:rsidR="00CB4D8C" w:rsidRPr="003C55B6" w:rsidRDefault="00842D11" w:rsidP="007838D3">
            <w:pPr>
              <w:pStyle w:val="Tablecell"/>
              <w:keepLines/>
              <w:jc w:val="center"/>
              <w:rPr>
                <w:b/>
                <w:bCs/>
                <w:sz w:val="20"/>
              </w:rPr>
            </w:pPr>
            <w:r w:rsidRPr="003C55B6">
              <w:rPr>
                <w:b/>
                <w:bCs/>
                <w:sz w:val="20"/>
              </w:rPr>
              <w:t>2</w:t>
            </w:r>
            <w:r w:rsidR="00BA01CE" w:rsidRPr="003C55B6">
              <w:rPr>
                <w:b/>
                <w:bCs/>
                <w:sz w:val="20"/>
              </w:rPr>
              <w:t>0</w:t>
            </w:r>
            <w:r w:rsidR="00CB4D8C" w:rsidRPr="003C55B6">
              <w:rPr>
                <w:b/>
                <w:bCs/>
                <w:sz w:val="20"/>
              </w:rPr>
              <w:t>.00</w:t>
            </w:r>
          </w:p>
        </w:tc>
        <w:tc>
          <w:tcPr>
            <w:tcW w:w="1149" w:type="dxa"/>
            <w:shd w:val="clear" w:color="auto" w:fill="auto"/>
            <w:noWrap/>
            <w:vAlign w:val="center"/>
            <w:hideMark/>
          </w:tcPr>
          <w:p w14:paraId="756A6307" w14:textId="05CC7B15" w:rsidR="00CB4D8C" w:rsidRPr="003C55B6" w:rsidRDefault="00CB4D8C" w:rsidP="007838D3">
            <w:pPr>
              <w:pStyle w:val="Tablecell"/>
              <w:keepLines/>
              <w:jc w:val="center"/>
              <w:rPr>
                <w:b/>
                <w:bCs/>
                <w:sz w:val="20"/>
              </w:rPr>
            </w:pPr>
            <w:r w:rsidRPr="003C55B6">
              <w:rPr>
                <w:b/>
                <w:bCs/>
                <w:sz w:val="20"/>
              </w:rPr>
              <w:t>$61.25</w:t>
            </w:r>
          </w:p>
        </w:tc>
        <w:tc>
          <w:tcPr>
            <w:tcW w:w="2406" w:type="dxa"/>
            <w:gridSpan w:val="2"/>
            <w:vAlign w:val="center"/>
          </w:tcPr>
          <w:p w14:paraId="0D66004D" w14:textId="0D046EB5" w:rsidR="00CB4D8C" w:rsidRPr="003C55B6" w:rsidRDefault="00CB4D8C" w:rsidP="007838D3">
            <w:pPr>
              <w:pStyle w:val="Tablecell"/>
              <w:keepLines/>
              <w:jc w:val="center"/>
              <w:rPr>
                <w:b/>
                <w:bCs/>
                <w:sz w:val="20"/>
              </w:rPr>
            </w:pPr>
            <w:r w:rsidRPr="003C55B6">
              <w:rPr>
                <w:b/>
                <w:bCs/>
                <w:sz w:val="20"/>
              </w:rPr>
              <w:t>$</w:t>
            </w:r>
            <w:r w:rsidR="005E7764" w:rsidRPr="003C55B6">
              <w:rPr>
                <w:b/>
                <w:bCs/>
                <w:sz w:val="20"/>
              </w:rPr>
              <w:t>1,225</w:t>
            </w:r>
            <w:r w:rsidRPr="003C55B6">
              <w:rPr>
                <w:b/>
                <w:bCs/>
                <w:sz w:val="20"/>
              </w:rPr>
              <w:t>.</w:t>
            </w:r>
            <w:r w:rsidR="00570722" w:rsidRPr="003C55B6">
              <w:rPr>
                <w:b/>
                <w:bCs/>
                <w:sz w:val="20"/>
              </w:rPr>
              <w:t>00</w:t>
            </w:r>
          </w:p>
        </w:tc>
      </w:tr>
      <w:tr w:rsidR="006A18EC" w:rsidRPr="003C55B6" w14:paraId="2EBB51B3" w14:textId="77777777" w:rsidTr="003706B1">
        <w:trPr>
          <w:cantSplit/>
          <w:trHeight w:val="403"/>
          <w:jc w:val="center"/>
        </w:trPr>
        <w:tc>
          <w:tcPr>
            <w:tcW w:w="5289" w:type="dxa"/>
            <w:shd w:val="clear" w:color="auto" w:fill="auto"/>
            <w:noWrap/>
            <w:vAlign w:val="center"/>
            <w:hideMark/>
          </w:tcPr>
          <w:p w14:paraId="618E59BD" w14:textId="0DC96B40" w:rsidR="00CB4D8C" w:rsidRPr="003C55B6" w:rsidRDefault="00C07728" w:rsidP="003C55B6">
            <w:pPr>
              <w:pStyle w:val="Tablecell"/>
              <w:keepLines/>
              <w:rPr>
                <w:sz w:val="20"/>
              </w:rPr>
            </w:pPr>
            <w:r w:rsidRPr="003C55B6">
              <w:rPr>
                <w:sz w:val="20"/>
              </w:rPr>
              <w:t>f</w:t>
            </w:r>
            <w:r w:rsidR="00647224" w:rsidRPr="003C55B6">
              <w:rPr>
                <w:sz w:val="20"/>
              </w:rPr>
              <w:t xml:space="preserve">. </w:t>
            </w:r>
            <w:r w:rsidR="00CB4D8C" w:rsidRPr="003C55B6">
              <w:rPr>
                <w:sz w:val="20"/>
              </w:rPr>
              <w:t>Submit written request</w:t>
            </w:r>
            <w:r w:rsidR="006E6856" w:rsidRPr="003C55B6">
              <w:rPr>
                <w:sz w:val="20"/>
              </w:rPr>
              <w:t>.</w:t>
            </w:r>
          </w:p>
        </w:tc>
        <w:tc>
          <w:tcPr>
            <w:tcW w:w="2420" w:type="dxa"/>
            <w:shd w:val="clear" w:color="auto" w:fill="auto"/>
            <w:noWrap/>
            <w:vAlign w:val="center"/>
            <w:hideMark/>
          </w:tcPr>
          <w:p w14:paraId="2D1586E5" w14:textId="03243C03" w:rsidR="00CB4D8C" w:rsidRPr="003C55B6" w:rsidRDefault="005E7764" w:rsidP="003C55B6">
            <w:pPr>
              <w:pStyle w:val="Tablecell"/>
              <w:keepLines/>
              <w:jc w:val="center"/>
              <w:rPr>
                <w:b/>
                <w:bCs/>
                <w:sz w:val="20"/>
              </w:rPr>
            </w:pPr>
            <w:r w:rsidRPr="003C55B6">
              <w:rPr>
                <w:b/>
                <w:bCs/>
                <w:sz w:val="20"/>
              </w:rPr>
              <w:t>2</w:t>
            </w:r>
            <w:r w:rsidR="00CB4D8C" w:rsidRPr="003C55B6">
              <w:rPr>
                <w:b/>
                <w:bCs/>
                <w:sz w:val="20"/>
              </w:rPr>
              <w:t>.00</w:t>
            </w:r>
          </w:p>
        </w:tc>
        <w:tc>
          <w:tcPr>
            <w:tcW w:w="1149" w:type="dxa"/>
            <w:shd w:val="clear" w:color="auto" w:fill="auto"/>
            <w:noWrap/>
            <w:vAlign w:val="center"/>
            <w:hideMark/>
          </w:tcPr>
          <w:p w14:paraId="2DE4D3DD" w14:textId="77777777" w:rsidR="00CB4D8C" w:rsidRPr="003C55B6" w:rsidRDefault="00CB4D8C" w:rsidP="003C55B6">
            <w:pPr>
              <w:pStyle w:val="Tablecell"/>
              <w:keepLines/>
              <w:jc w:val="center"/>
              <w:rPr>
                <w:b/>
                <w:bCs/>
                <w:sz w:val="20"/>
              </w:rPr>
            </w:pPr>
            <w:r w:rsidRPr="003C55B6">
              <w:rPr>
                <w:b/>
                <w:bCs/>
                <w:sz w:val="20"/>
              </w:rPr>
              <w:t>$61.25</w:t>
            </w:r>
          </w:p>
        </w:tc>
        <w:tc>
          <w:tcPr>
            <w:tcW w:w="2406" w:type="dxa"/>
            <w:gridSpan w:val="2"/>
            <w:vAlign w:val="center"/>
          </w:tcPr>
          <w:p w14:paraId="3EA08281" w14:textId="5EEA8F3C" w:rsidR="00CB4D8C" w:rsidRPr="003C55B6" w:rsidRDefault="005E7764" w:rsidP="003C55B6">
            <w:pPr>
              <w:pStyle w:val="Tablecell"/>
              <w:keepLines/>
              <w:jc w:val="center"/>
              <w:rPr>
                <w:b/>
                <w:bCs/>
                <w:sz w:val="20"/>
              </w:rPr>
            </w:pPr>
            <w:r w:rsidRPr="003C55B6">
              <w:rPr>
                <w:b/>
                <w:bCs/>
                <w:sz w:val="20"/>
              </w:rPr>
              <w:t>122.50</w:t>
            </w:r>
          </w:p>
        </w:tc>
      </w:tr>
      <w:tr w:rsidR="006A18EC" w:rsidRPr="003C55B6" w14:paraId="4D75D75E" w14:textId="77777777" w:rsidTr="003706B1">
        <w:trPr>
          <w:cantSplit/>
          <w:trHeight w:val="403"/>
          <w:jc w:val="center"/>
        </w:trPr>
        <w:tc>
          <w:tcPr>
            <w:tcW w:w="5289" w:type="dxa"/>
            <w:shd w:val="clear" w:color="auto" w:fill="auto"/>
            <w:noWrap/>
            <w:vAlign w:val="center"/>
            <w:hideMark/>
          </w:tcPr>
          <w:p w14:paraId="633A1AC4" w14:textId="6AA25520" w:rsidR="00CB4D8C" w:rsidRPr="003C55B6" w:rsidRDefault="00AC6A43" w:rsidP="003C55B6">
            <w:pPr>
              <w:pStyle w:val="Tablecell"/>
              <w:keepLines/>
              <w:rPr>
                <w:sz w:val="20"/>
              </w:rPr>
            </w:pPr>
            <w:r w:rsidRPr="003C55B6">
              <w:rPr>
                <w:sz w:val="20"/>
              </w:rPr>
              <w:t>Total</w:t>
            </w:r>
          </w:p>
        </w:tc>
        <w:tc>
          <w:tcPr>
            <w:tcW w:w="2420" w:type="dxa"/>
            <w:shd w:val="clear" w:color="auto" w:fill="auto"/>
            <w:noWrap/>
            <w:vAlign w:val="center"/>
            <w:hideMark/>
          </w:tcPr>
          <w:p w14:paraId="4721A9C5" w14:textId="2C65A7C5" w:rsidR="00CB4D8C" w:rsidRPr="003C55B6" w:rsidRDefault="00DA2DFC" w:rsidP="003C55B6">
            <w:pPr>
              <w:pStyle w:val="Tablecell"/>
              <w:keepLines/>
              <w:jc w:val="center"/>
              <w:rPr>
                <w:b/>
                <w:bCs/>
                <w:sz w:val="20"/>
              </w:rPr>
            </w:pPr>
            <w:r w:rsidRPr="003C55B6">
              <w:rPr>
                <w:b/>
                <w:bCs/>
                <w:sz w:val="20"/>
              </w:rPr>
              <w:t>103.00</w:t>
            </w:r>
          </w:p>
        </w:tc>
        <w:tc>
          <w:tcPr>
            <w:tcW w:w="1455" w:type="dxa"/>
            <w:gridSpan w:val="2"/>
            <w:shd w:val="clear" w:color="auto" w:fill="auto"/>
            <w:noWrap/>
            <w:vAlign w:val="center"/>
            <w:hideMark/>
          </w:tcPr>
          <w:p w14:paraId="717AB8DD" w14:textId="01C74747" w:rsidR="00CB4D8C" w:rsidRPr="003C55B6" w:rsidRDefault="00B47B07" w:rsidP="003C55B6">
            <w:pPr>
              <w:pStyle w:val="Tablecell"/>
              <w:keepLines/>
              <w:jc w:val="center"/>
              <w:rPr>
                <w:b/>
                <w:bCs/>
                <w:sz w:val="20"/>
              </w:rPr>
            </w:pPr>
            <w:r w:rsidRPr="003C55B6">
              <w:rPr>
                <w:b/>
                <w:bCs/>
                <w:sz w:val="20"/>
              </w:rPr>
              <w:t>N</w:t>
            </w:r>
            <w:r w:rsidR="00AC6A43" w:rsidRPr="003C55B6">
              <w:rPr>
                <w:b/>
                <w:bCs/>
                <w:sz w:val="20"/>
              </w:rPr>
              <w:t>/</w:t>
            </w:r>
            <w:r w:rsidRPr="003C55B6">
              <w:rPr>
                <w:b/>
                <w:bCs/>
                <w:sz w:val="20"/>
              </w:rPr>
              <w:t>A</w:t>
            </w:r>
          </w:p>
        </w:tc>
        <w:tc>
          <w:tcPr>
            <w:tcW w:w="2100" w:type="dxa"/>
            <w:vAlign w:val="center"/>
          </w:tcPr>
          <w:p w14:paraId="0C12EF5F" w14:textId="062F8F5A" w:rsidR="00CB4D8C" w:rsidRPr="003C55B6" w:rsidRDefault="00CB4D8C" w:rsidP="003C55B6">
            <w:pPr>
              <w:pStyle w:val="Tablecell"/>
              <w:keepLines/>
              <w:jc w:val="center"/>
              <w:rPr>
                <w:b/>
                <w:bCs/>
                <w:sz w:val="20"/>
              </w:rPr>
            </w:pPr>
            <w:r w:rsidRPr="003C55B6">
              <w:rPr>
                <w:b/>
                <w:bCs/>
                <w:sz w:val="20"/>
              </w:rPr>
              <w:t>$</w:t>
            </w:r>
            <w:r w:rsidR="00373D2F" w:rsidRPr="003C55B6">
              <w:rPr>
                <w:b/>
                <w:bCs/>
                <w:sz w:val="20"/>
              </w:rPr>
              <w:t>6,308</w:t>
            </w:r>
            <w:r w:rsidR="008A32E9" w:rsidRPr="003C55B6">
              <w:rPr>
                <w:b/>
                <w:bCs/>
                <w:sz w:val="20"/>
              </w:rPr>
              <w:t>.</w:t>
            </w:r>
            <w:r w:rsidR="00373D2F" w:rsidRPr="003C55B6">
              <w:rPr>
                <w:b/>
                <w:bCs/>
                <w:sz w:val="20"/>
              </w:rPr>
              <w:t>75</w:t>
            </w:r>
          </w:p>
        </w:tc>
      </w:tr>
    </w:tbl>
    <w:p w14:paraId="1724ABF8" w14:textId="0AF41B68" w:rsidR="00992406" w:rsidRPr="00695748" w:rsidRDefault="007E7B54" w:rsidP="001942BE">
      <w:pPr>
        <w:pStyle w:val="Paragraph"/>
        <w:spacing w:before="240"/>
        <w:rPr>
          <w:sz w:val="23"/>
          <w:szCs w:val="23"/>
        </w:rPr>
      </w:pPr>
      <w:r w:rsidRPr="00695748">
        <w:rPr>
          <w:sz w:val="23"/>
          <w:szCs w:val="23"/>
        </w:rPr>
        <w:t xml:space="preserve">The nature of actual adjustment requests is likely to vary by circumstance and producer or industry needs. As compared to the baseline, it is also difficult to fully discern between baseline </w:t>
      </w:r>
      <w:r w:rsidRPr="00695748">
        <w:rPr>
          <w:sz w:val="23"/>
          <w:szCs w:val="23"/>
        </w:rPr>
        <w:lastRenderedPageBreak/>
        <w:t xml:space="preserve">requirements for adjustment requests and the requirements in the proposed rule. The proposed rule clarifies the requirements set out in the baseline law. </w:t>
      </w:r>
    </w:p>
    <w:p w14:paraId="76D0576A" w14:textId="1360116C" w:rsidR="00992406" w:rsidRPr="00695748" w:rsidRDefault="00BB3C19" w:rsidP="001942BE">
      <w:pPr>
        <w:pStyle w:val="Paragraph"/>
        <w:spacing w:before="240"/>
        <w:rPr>
          <w:sz w:val="23"/>
          <w:szCs w:val="23"/>
        </w:rPr>
      </w:pPr>
      <w:r w:rsidRPr="00695748">
        <w:rPr>
          <w:sz w:val="23"/>
          <w:szCs w:val="23"/>
        </w:rPr>
        <w:t xml:space="preserve">We estimate </w:t>
      </w:r>
      <w:r w:rsidR="007E7B54" w:rsidRPr="00695748">
        <w:rPr>
          <w:sz w:val="23"/>
          <w:szCs w:val="23"/>
        </w:rPr>
        <w:t>a</w:t>
      </w:r>
      <w:r w:rsidRPr="00695748">
        <w:rPr>
          <w:sz w:val="23"/>
          <w:szCs w:val="23"/>
        </w:rPr>
        <w:t xml:space="preserve"> total annual cost of </w:t>
      </w:r>
      <w:r w:rsidR="00233167">
        <w:rPr>
          <w:sz w:val="23"/>
          <w:szCs w:val="23"/>
        </w:rPr>
        <w:t xml:space="preserve">approximately </w:t>
      </w:r>
      <w:r w:rsidRPr="00695748">
        <w:rPr>
          <w:sz w:val="23"/>
          <w:szCs w:val="23"/>
        </w:rPr>
        <w:t>$</w:t>
      </w:r>
      <w:r w:rsidR="00233167">
        <w:rPr>
          <w:sz w:val="23"/>
          <w:szCs w:val="23"/>
        </w:rPr>
        <w:t>6,309</w:t>
      </w:r>
      <w:r w:rsidRPr="00695748">
        <w:rPr>
          <w:sz w:val="23"/>
          <w:szCs w:val="23"/>
        </w:rPr>
        <w:t xml:space="preserve"> for submitting adjustment request </w:t>
      </w:r>
      <w:r w:rsidR="007E7B54" w:rsidRPr="00695748">
        <w:rPr>
          <w:sz w:val="23"/>
          <w:szCs w:val="23"/>
        </w:rPr>
        <w:t xml:space="preserve">(submitted </w:t>
      </w:r>
      <w:r w:rsidRPr="00695748">
        <w:rPr>
          <w:sz w:val="23"/>
          <w:szCs w:val="23"/>
        </w:rPr>
        <w:t>by</w:t>
      </w:r>
      <w:r w:rsidR="007E7B54" w:rsidRPr="00695748">
        <w:rPr>
          <w:sz w:val="23"/>
          <w:szCs w:val="23"/>
        </w:rPr>
        <w:t xml:space="preserve"> an</w:t>
      </w:r>
      <w:r w:rsidRPr="00695748">
        <w:rPr>
          <w:sz w:val="23"/>
          <w:szCs w:val="23"/>
        </w:rPr>
        <w:t xml:space="preserve"> industry</w:t>
      </w:r>
      <w:r w:rsidR="007E7B54" w:rsidRPr="00695748">
        <w:rPr>
          <w:sz w:val="23"/>
          <w:szCs w:val="23"/>
        </w:rPr>
        <w:t xml:space="preserve"> group)</w:t>
      </w:r>
      <w:r w:rsidRPr="00695748">
        <w:rPr>
          <w:sz w:val="23"/>
          <w:szCs w:val="23"/>
        </w:rPr>
        <w:t xml:space="preserve">, with </w:t>
      </w:r>
      <w:r w:rsidR="007E7B54" w:rsidRPr="00695748">
        <w:rPr>
          <w:sz w:val="23"/>
          <w:szCs w:val="23"/>
        </w:rPr>
        <w:t xml:space="preserve">an </w:t>
      </w:r>
      <w:r w:rsidRPr="00695748">
        <w:rPr>
          <w:sz w:val="23"/>
          <w:szCs w:val="23"/>
        </w:rPr>
        <w:t xml:space="preserve">average annual cost of </w:t>
      </w:r>
      <w:r w:rsidR="006D5FFE">
        <w:rPr>
          <w:sz w:val="23"/>
          <w:szCs w:val="23"/>
        </w:rPr>
        <w:t>approximately</w:t>
      </w:r>
      <w:r w:rsidRPr="00695748">
        <w:rPr>
          <w:sz w:val="23"/>
          <w:szCs w:val="23"/>
        </w:rPr>
        <w:t xml:space="preserve"> $</w:t>
      </w:r>
      <w:r w:rsidR="00233167">
        <w:rPr>
          <w:sz w:val="23"/>
          <w:szCs w:val="23"/>
        </w:rPr>
        <w:t>25</w:t>
      </w:r>
      <w:r w:rsidRPr="00695748">
        <w:rPr>
          <w:sz w:val="23"/>
          <w:szCs w:val="23"/>
        </w:rPr>
        <w:t xml:space="preserve"> to $</w:t>
      </w:r>
      <w:r w:rsidR="00233167">
        <w:rPr>
          <w:sz w:val="23"/>
          <w:szCs w:val="23"/>
        </w:rPr>
        <w:t>54</w:t>
      </w:r>
      <w:r w:rsidRPr="00695748">
        <w:rPr>
          <w:sz w:val="23"/>
          <w:szCs w:val="23"/>
        </w:rPr>
        <w:t xml:space="preserve"> for a single producer. </w:t>
      </w:r>
      <w:r w:rsidR="009560C4" w:rsidRPr="00695748">
        <w:rPr>
          <w:sz w:val="23"/>
          <w:szCs w:val="23"/>
        </w:rPr>
        <w:t>However,</w:t>
      </w:r>
      <w:r w:rsidR="00745FAA" w:rsidRPr="00695748">
        <w:rPr>
          <w:sz w:val="23"/>
          <w:szCs w:val="23"/>
        </w:rPr>
        <w:t xml:space="preserve"> </w:t>
      </w:r>
      <w:r w:rsidR="00992406" w:rsidRPr="00695748">
        <w:rPr>
          <w:sz w:val="23"/>
          <w:szCs w:val="23"/>
        </w:rPr>
        <w:t>producer</w:t>
      </w:r>
      <w:r w:rsidR="003D7006" w:rsidRPr="00695748">
        <w:rPr>
          <w:sz w:val="23"/>
          <w:szCs w:val="23"/>
        </w:rPr>
        <w:t>s</w:t>
      </w:r>
      <w:r w:rsidR="00992406" w:rsidRPr="00695748">
        <w:rPr>
          <w:sz w:val="23"/>
          <w:szCs w:val="23"/>
        </w:rPr>
        <w:t xml:space="preserve"> </w:t>
      </w:r>
      <w:r w:rsidR="007E7B54" w:rsidRPr="00695748">
        <w:rPr>
          <w:sz w:val="23"/>
          <w:szCs w:val="23"/>
        </w:rPr>
        <w:t>may ultimately</w:t>
      </w:r>
      <w:r w:rsidR="009560C4" w:rsidRPr="00695748">
        <w:rPr>
          <w:sz w:val="23"/>
          <w:szCs w:val="23"/>
        </w:rPr>
        <w:t xml:space="preserve"> </w:t>
      </w:r>
      <w:r w:rsidR="00992406" w:rsidRPr="00695748">
        <w:rPr>
          <w:sz w:val="23"/>
          <w:szCs w:val="23"/>
        </w:rPr>
        <w:t xml:space="preserve">submit one </w:t>
      </w:r>
      <w:r w:rsidR="00076B85" w:rsidRPr="00695748">
        <w:rPr>
          <w:sz w:val="23"/>
          <w:szCs w:val="23"/>
        </w:rPr>
        <w:t>element</w:t>
      </w:r>
      <w:r w:rsidR="007E7B54" w:rsidRPr="00695748">
        <w:rPr>
          <w:sz w:val="23"/>
          <w:szCs w:val="23"/>
        </w:rPr>
        <w:t xml:space="preserve"> of the activities listed in the above table</w:t>
      </w:r>
      <w:r w:rsidR="00076B85" w:rsidRPr="00695748">
        <w:rPr>
          <w:sz w:val="23"/>
          <w:szCs w:val="23"/>
        </w:rPr>
        <w:t>,</w:t>
      </w:r>
      <w:r w:rsidR="00992406" w:rsidRPr="00695748">
        <w:rPr>
          <w:sz w:val="23"/>
          <w:szCs w:val="23"/>
        </w:rPr>
        <w:t xml:space="preserve"> or a subset of the</w:t>
      </w:r>
      <w:r w:rsidR="007E7B54" w:rsidRPr="00695748">
        <w:rPr>
          <w:sz w:val="23"/>
          <w:szCs w:val="23"/>
        </w:rPr>
        <w:t>se</w:t>
      </w:r>
      <w:r w:rsidR="00992406" w:rsidRPr="00695748">
        <w:rPr>
          <w:sz w:val="23"/>
          <w:szCs w:val="23"/>
        </w:rPr>
        <w:t xml:space="preserve"> </w:t>
      </w:r>
      <w:r w:rsidR="00745FAA" w:rsidRPr="00695748">
        <w:rPr>
          <w:sz w:val="23"/>
          <w:szCs w:val="23"/>
        </w:rPr>
        <w:t>research activities (b-</w:t>
      </w:r>
      <w:r w:rsidR="00E2126E">
        <w:rPr>
          <w:sz w:val="23"/>
          <w:szCs w:val="23"/>
        </w:rPr>
        <w:t>e</w:t>
      </w:r>
      <w:r w:rsidR="00745FAA" w:rsidRPr="00695748">
        <w:rPr>
          <w:sz w:val="23"/>
          <w:szCs w:val="23"/>
        </w:rPr>
        <w:t xml:space="preserve"> in</w:t>
      </w:r>
      <w:r w:rsidR="007E7B54" w:rsidRPr="00695748">
        <w:rPr>
          <w:sz w:val="23"/>
          <w:szCs w:val="23"/>
        </w:rPr>
        <w:t xml:space="preserve"> the</w:t>
      </w:r>
      <w:r w:rsidR="00745FAA" w:rsidRPr="00695748">
        <w:rPr>
          <w:sz w:val="23"/>
          <w:szCs w:val="23"/>
        </w:rPr>
        <w:t xml:space="preserve"> table </w:t>
      </w:r>
      <w:r w:rsidR="00992406" w:rsidRPr="00695748">
        <w:rPr>
          <w:sz w:val="23"/>
          <w:szCs w:val="23"/>
        </w:rPr>
        <w:t>above</w:t>
      </w:r>
      <w:r w:rsidR="007E7B54" w:rsidRPr="00695748">
        <w:rPr>
          <w:sz w:val="23"/>
          <w:szCs w:val="23"/>
        </w:rPr>
        <w:t>), depending on the nature for their reason for submitting an adjustment request. This means our estimates are likely to be overestimates of actual costs of adjustment requests.</w:t>
      </w:r>
    </w:p>
    <w:p w14:paraId="5AC21F41" w14:textId="5301E574" w:rsidR="00CB4D8C" w:rsidRDefault="00DC2224" w:rsidP="001942BE">
      <w:pPr>
        <w:pStyle w:val="Paragraph"/>
        <w:spacing w:before="240"/>
      </w:pPr>
      <w:r w:rsidRPr="00695748">
        <w:rPr>
          <w:sz w:val="23"/>
          <w:szCs w:val="23"/>
        </w:rPr>
        <w:t>We</w:t>
      </w:r>
      <w:r w:rsidR="00F2001E" w:rsidRPr="00695748">
        <w:rPr>
          <w:sz w:val="23"/>
          <w:szCs w:val="23"/>
        </w:rPr>
        <w:t xml:space="preserve"> estimate</w:t>
      </w:r>
      <w:r w:rsidR="00977F14" w:rsidRPr="00695748">
        <w:rPr>
          <w:sz w:val="23"/>
          <w:szCs w:val="23"/>
        </w:rPr>
        <w:t xml:space="preserve"> </w:t>
      </w:r>
      <w:r w:rsidRPr="00695748">
        <w:rPr>
          <w:sz w:val="23"/>
          <w:szCs w:val="23"/>
        </w:rPr>
        <w:t xml:space="preserve">the </w:t>
      </w:r>
      <w:r w:rsidR="00953FDC" w:rsidRPr="00695748">
        <w:rPr>
          <w:sz w:val="23"/>
          <w:szCs w:val="23"/>
        </w:rPr>
        <w:t>20-year</w:t>
      </w:r>
      <w:r w:rsidR="00977F14" w:rsidRPr="00695748">
        <w:rPr>
          <w:sz w:val="23"/>
          <w:szCs w:val="23"/>
        </w:rPr>
        <w:t xml:space="preserve"> </w:t>
      </w:r>
      <w:r w:rsidR="003A2D6D" w:rsidRPr="00695748">
        <w:rPr>
          <w:sz w:val="23"/>
          <w:szCs w:val="23"/>
        </w:rPr>
        <w:t>present value</w:t>
      </w:r>
      <w:r w:rsidR="00977F14" w:rsidRPr="00695748">
        <w:rPr>
          <w:sz w:val="23"/>
          <w:szCs w:val="23"/>
        </w:rPr>
        <w:t xml:space="preserve"> </w:t>
      </w:r>
      <w:r w:rsidR="008A0D84" w:rsidRPr="00695748">
        <w:rPr>
          <w:sz w:val="23"/>
          <w:szCs w:val="23"/>
        </w:rPr>
        <w:t xml:space="preserve">of adjustment request </w:t>
      </w:r>
      <w:r w:rsidR="00953FDC" w:rsidRPr="00695748">
        <w:rPr>
          <w:sz w:val="23"/>
          <w:szCs w:val="23"/>
        </w:rPr>
        <w:t xml:space="preserve">costs </w:t>
      </w:r>
      <w:r w:rsidR="005D3B31" w:rsidRPr="00695748">
        <w:rPr>
          <w:sz w:val="23"/>
          <w:szCs w:val="23"/>
        </w:rPr>
        <w:t xml:space="preserve">for </w:t>
      </w:r>
      <w:r w:rsidR="00186137" w:rsidRPr="00695748">
        <w:rPr>
          <w:sz w:val="23"/>
          <w:szCs w:val="23"/>
        </w:rPr>
        <w:t>industries with producers of covered products,</w:t>
      </w:r>
      <w:r w:rsidR="005D3B31" w:rsidRPr="00695748">
        <w:rPr>
          <w:sz w:val="23"/>
          <w:szCs w:val="23"/>
        </w:rPr>
        <w:t xml:space="preserve"> </w:t>
      </w:r>
      <w:r w:rsidR="00953FDC" w:rsidRPr="00695748">
        <w:rPr>
          <w:sz w:val="23"/>
          <w:szCs w:val="23"/>
        </w:rPr>
        <w:t>across</w:t>
      </w:r>
      <w:r w:rsidRPr="00695748">
        <w:rPr>
          <w:sz w:val="23"/>
          <w:szCs w:val="23"/>
        </w:rPr>
        <w:t xml:space="preserve"> all product categories</w:t>
      </w:r>
      <w:r w:rsidR="00186137" w:rsidRPr="00695748">
        <w:rPr>
          <w:sz w:val="23"/>
          <w:szCs w:val="23"/>
        </w:rPr>
        <w:t>,</w:t>
      </w:r>
      <w:r w:rsidR="00835881" w:rsidRPr="00695748">
        <w:rPr>
          <w:sz w:val="23"/>
          <w:szCs w:val="23"/>
        </w:rPr>
        <w:t xml:space="preserve"> </w:t>
      </w:r>
      <w:r w:rsidR="00953FDC" w:rsidRPr="00695748">
        <w:rPr>
          <w:sz w:val="23"/>
          <w:szCs w:val="23"/>
        </w:rPr>
        <w:t xml:space="preserve">as </w:t>
      </w:r>
      <w:r w:rsidR="00E322AC" w:rsidRPr="00695748">
        <w:rPr>
          <w:sz w:val="23"/>
          <w:szCs w:val="23"/>
        </w:rPr>
        <w:t xml:space="preserve">about </w:t>
      </w:r>
      <w:r w:rsidR="00953FDC" w:rsidRPr="00695748">
        <w:rPr>
          <w:sz w:val="23"/>
          <w:szCs w:val="23"/>
        </w:rPr>
        <w:t>$</w:t>
      </w:r>
      <w:r w:rsidR="00551C14">
        <w:rPr>
          <w:sz w:val="23"/>
          <w:szCs w:val="23"/>
        </w:rPr>
        <w:t>116,140</w:t>
      </w:r>
      <w:r w:rsidR="00F2001E" w:rsidRPr="00695748">
        <w:rPr>
          <w:sz w:val="23"/>
          <w:szCs w:val="23"/>
        </w:rPr>
        <w:t xml:space="preserve">. </w:t>
      </w:r>
      <w:r w:rsidR="000D7228" w:rsidRPr="00695748">
        <w:rPr>
          <w:sz w:val="23"/>
          <w:szCs w:val="23"/>
        </w:rPr>
        <w:t>Based on this w</w:t>
      </w:r>
      <w:r w:rsidR="005D3B31" w:rsidRPr="00695748">
        <w:t xml:space="preserve">e estimated the </w:t>
      </w:r>
      <w:r w:rsidR="000D7228" w:rsidRPr="00695748">
        <w:rPr>
          <w:sz w:val="23"/>
          <w:szCs w:val="23"/>
        </w:rPr>
        <w:t>20-year present value</w:t>
      </w:r>
      <w:r w:rsidR="00316974" w:rsidRPr="00695748">
        <w:rPr>
          <w:sz w:val="23"/>
          <w:szCs w:val="23"/>
        </w:rPr>
        <w:t xml:space="preserve"> </w:t>
      </w:r>
      <w:r w:rsidR="000D7228" w:rsidRPr="00695748">
        <w:rPr>
          <w:sz w:val="23"/>
          <w:szCs w:val="23"/>
        </w:rPr>
        <w:t xml:space="preserve">adjustment request costs </w:t>
      </w:r>
      <w:r w:rsidR="00695748" w:rsidRPr="00695748">
        <w:rPr>
          <w:sz w:val="23"/>
          <w:szCs w:val="23"/>
        </w:rPr>
        <w:t xml:space="preserve">per producer </w:t>
      </w:r>
      <w:r w:rsidR="000D7228" w:rsidRPr="00695748">
        <w:rPr>
          <w:sz w:val="23"/>
          <w:szCs w:val="23"/>
        </w:rPr>
        <w:t xml:space="preserve">of </w:t>
      </w:r>
      <w:r w:rsidR="002C0204" w:rsidRPr="00695748">
        <w:rPr>
          <w:sz w:val="23"/>
          <w:szCs w:val="23"/>
        </w:rPr>
        <w:t xml:space="preserve">about </w:t>
      </w:r>
      <w:r w:rsidR="000D7228" w:rsidRPr="00695748">
        <w:rPr>
          <w:sz w:val="23"/>
          <w:szCs w:val="23"/>
        </w:rPr>
        <w:t>$</w:t>
      </w:r>
      <w:r w:rsidR="00365856">
        <w:rPr>
          <w:sz w:val="23"/>
          <w:szCs w:val="23"/>
        </w:rPr>
        <w:t>457</w:t>
      </w:r>
      <w:r w:rsidR="000D7228" w:rsidRPr="00695748">
        <w:rPr>
          <w:sz w:val="23"/>
          <w:szCs w:val="23"/>
        </w:rPr>
        <w:t xml:space="preserve"> (low) to $</w:t>
      </w:r>
      <w:r w:rsidR="00365856">
        <w:rPr>
          <w:sz w:val="23"/>
          <w:szCs w:val="23"/>
        </w:rPr>
        <w:t>960</w:t>
      </w:r>
      <w:r w:rsidR="000D7228" w:rsidRPr="00695748">
        <w:rPr>
          <w:sz w:val="23"/>
          <w:szCs w:val="23"/>
        </w:rPr>
        <w:t xml:space="preserve"> (high)</w:t>
      </w:r>
      <w:r w:rsidR="00AA4CB5" w:rsidRPr="00695748">
        <w:rPr>
          <w:sz w:val="23"/>
          <w:szCs w:val="23"/>
        </w:rPr>
        <w:t xml:space="preserve"> </w:t>
      </w:r>
      <w:r w:rsidR="00FB4065" w:rsidRPr="00695748">
        <w:rPr>
          <w:sz w:val="23"/>
          <w:szCs w:val="23"/>
        </w:rPr>
        <w:t>on average.</w:t>
      </w:r>
    </w:p>
    <w:p w14:paraId="57047D7D" w14:textId="0EA5C521" w:rsidR="00225BBF" w:rsidRPr="001B300B" w:rsidRDefault="00225BBF" w:rsidP="00225BBF">
      <w:pPr>
        <w:pStyle w:val="RMSectionXXX"/>
      </w:pPr>
      <w:bookmarkStart w:id="54" w:name="_Toc132187807"/>
      <w:r w:rsidRPr="003975FB">
        <w:t xml:space="preserve">3.2.6 </w:t>
      </w:r>
      <w:r w:rsidR="00AA2BD1" w:rsidRPr="00AA2BD1">
        <w:t>Limit timing for providing necessary audit documentation.</w:t>
      </w:r>
      <w:bookmarkEnd w:id="54"/>
    </w:p>
    <w:p w14:paraId="31DE7C4B" w14:textId="7B72556D" w:rsidR="006A75DA" w:rsidRDefault="006A75DA" w:rsidP="00376C3F">
      <w:pPr>
        <w:pStyle w:val="Paragraph"/>
        <w:widowControl w:val="0"/>
      </w:pPr>
      <w:r>
        <w:t xml:space="preserve">This section of the proposed rule would facilitate producers </w:t>
      </w:r>
      <w:r w:rsidR="004044C7">
        <w:t>providing</w:t>
      </w:r>
      <w:r>
        <w:t xml:space="preserve"> audit documents with enough information for Ecology to efficiently verify compliance status</w:t>
      </w:r>
      <w:r w:rsidR="000A5877">
        <w:t xml:space="preserve"> without delays (within 30 days, compared to no time limit under the baseline)</w:t>
      </w:r>
      <w:r>
        <w:t xml:space="preserve">. Producers could incur costs associated with provision of the </w:t>
      </w:r>
      <w:r w:rsidR="00FF32A4">
        <w:t>needed</w:t>
      </w:r>
      <w:r>
        <w:t xml:space="preserve"> documentation </w:t>
      </w:r>
      <w:r w:rsidR="000A5877">
        <w:t>within the time limit, relative to when they might submit it under the baseline. We note that the proposed rule does not add requirements regarding what information must be provided during audits, just that it must be provided by the time limit. If producers were to provide documentation within 30 days under the baseline, regardless, this section of the proposed rule would not have any impacts.</w:t>
      </w:r>
      <w:r w:rsidR="00CA3FDB">
        <w:rPr>
          <w:rStyle w:val="FootnoteReference"/>
        </w:rPr>
        <w:footnoteReference w:id="20"/>
      </w:r>
    </w:p>
    <w:p w14:paraId="2CE7E574" w14:textId="75ECD532" w:rsidR="003975FB" w:rsidRDefault="003975FB" w:rsidP="00376C3F">
      <w:pPr>
        <w:pStyle w:val="Paragraph"/>
        <w:widowControl w:val="0"/>
      </w:pPr>
      <w:r w:rsidRPr="006006A0">
        <w:t xml:space="preserve">We could not confidently assess how frequently this </w:t>
      </w:r>
      <w:r>
        <w:t>element of the proposed rule would result in</w:t>
      </w:r>
      <w:r w:rsidDel="00E06EB8">
        <w:t xml:space="preserve"> </w:t>
      </w:r>
      <w:r w:rsidR="000A5877">
        <w:t>avoided delays in</w:t>
      </w:r>
      <w:r>
        <w:t xml:space="preserve"> provision of </w:t>
      </w:r>
      <w:r w:rsidR="000A5877">
        <w:t xml:space="preserve">audit </w:t>
      </w:r>
      <w:r>
        <w:t>information,</w:t>
      </w:r>
      <w:r w:rsidRPr="006006A0">
        <w:t xml:space="preserve"> or the degree</w:t>
      </w:r>
      <w:r>
        <w:t xml:space="preserve"> to which </w:t>
      </w:r>
      <w:r w:rsidR="000A5877">
        <w:t>delays</w:t>
      </w:r>
      <w:r>
        <w:t xml:space="preserve"> would </w:t>
      </w:r>
      <w:r w:rsidR="000A5877">
        <w:t>be reduced</w:t>
      </w:r>
      <w:r>
        <w:t xml:space="preserve">. We note, however, these would not be significant additional costs, as compared to the baseline, but rather opportunity costs of </w:t>
      </w:r>
      <w:r w:rsidR="000A5877">
        <w:t>equivalent</w:t>
      </w:r>
      <w:r>
        <w:t xml:space="preserve"> expenditures at different times. The table below illustrates the opportunity costs associated with spending a dollar at various times.</w:t>
      </w:r>
      <w:r w:rsidR="00C16C6F">
        <w:rPr>
          <w:rStyle w:val="FootnoteReference"/>
        </w:rPr>
        <w:footnoteReference w:id="21"/>
      </w:r>
    </w:p>
    <w:p w14:paraId="575A55FA" w14:textId="79E5B3F3" w:rsidR="003975FB" w:rsidRDefault="00C63872" w:rsidP="00C63872">
      <w:pPr>
        <w:pStyle w:val="Caption"/>
      </w:pPr>
      <w:bookmarkStart w:id="55" w:name="_Toc133303732"/>
      <w:r w:rsidRPr="00F85994">
        <w:t xml:space="preserve">Table </w:t>
      </w:r>
      <w:fldSimple w:instr=" SEQ Table \* ARABIC ">
        <w:r w:rsidR="00726B91">
          <w:rPr>
            <w:noProof/>
          </w:rPr>
          <w:t>13</w:t>
        </w:r>
      </w:fldSimple>
      <w:r w:rsidR="00566E34" w:rsidRPr="00F85994">
        <w:t>.</w:t>
      </w:r>
      <w:r>
        <w:t xml:space="preserve"> </w:t>
      </w:r>
      <w:r w:rsidR="002773AB">
        <w:t>Costs associated with spending a dollar at various times</w:t>
      </w:r>
      <w:r w:rsidR="00431152">
        <w:t>.</w:t>
      </w:r>
      <w:bookmarkEnd w:id="55"/>
    </w:p>
    <w:tbl>
      <w:tblPr>
        <w:tblW w:w="0" w:type="auto"/>
        <w:jc w:val="center"/>
        <w:tblBorders>
          <w:insideH w:val="single" w:sz="4" w:space="0" w:color="auto"/>
        </w:tblBorders>
        <w:tblLook w:val="04A0" w:firstRow="1" w:lastRow="0" w:firstColumn="1" w:lastColumn="0" w:noHBand="0" w:noVBand="1"/>
        <w:tblCaption w:val="relative real cost of a dollar spent at different times"/>
      </w:tblPr>
      <w:tblGrid>
        <w:gridCol w:w="901"/>
        <w:gridCol w:w="1598"/>
        <w:gridCol w:w="1219"/>
      </w:tblGrid>
      <w:tr w:rsidR="003975FB" w:rsidRPr="003E5320" w14:paraId="1F12F11A" w14:textId="77777777" w:rsidTr="003C55B6">
        <w:trPr>
          <w:cantSplit/>
          <w:tblHeader/>
          <w:jc w:val="center"/>
        </w:trPr>
        <w:tc>
          <w:tcPr>
            <w:tcW w:w="0" w:type="auto"/>
            <w:shd w:val="clear" w:color="auto" w:fill="auto"/>
            <w:noWrap/>
            <w:vAlign w:val="center"/>
            <w:hideMark/>
          </w:tcPr>
          <w:p w14:paraId="3FA1328F" w14:textId="77777777" w:rsidR="003975FB" w:rsidRDefault="003975FB" w:rsidP="00376C3F">
            <w:pPr>
              <w:pStyle w:val="Tablecell"/>
              <w:keepNext w:val="0"/>
              <w:widowControl w:val="0"/>
              <w:jc w:val="center"/>
            </w:pPr>
            <w:r w:rsidRPr="003E5320">
              <w:t>Delay</w:t>
            </w:r>
          </w:p>
          <w:p w14:paraId="261D7084" w14:textId="77777777" w:rsidR="003975FB" w:rsidRPr="003E5320" w:rsidRDefault="003975FB" w:rsidP="00376C3F">
            <w:pPr>
              <w:pStyle w:val="Tablecell"/>
              <w:keepNext w:val="0"/>
              <w:widowControl w:val="0"/>
              <w:jc w:val="center"/>
            </w:pPr>
            <w:r w:rsidRPr="003E5320">
              <w:t>(years)</w:t>
            </w:r>
          </w:p>
        </w:tc>
        <w:tc>
          <w:tcPr>
            <w:tcW w:w="0" w:type="auto"/>
            <w:shd w:val="clear" w:color="auto" w:fill="auto"/>
            <w:noWrap/>
            <w:vAlign w:val="center"/>
            <w:hideMark/>
          </w:tcPr>
          <w:p w14:paraId="52724641" w14:textId="77777777" w:rsidR="003975FB" w:rsidRPr="003E5320" w:rsidRDefault="003975FB" w:rsidP="00376C3F">
            <w:pPr>
              <w:pStyle w:val="Tablecell"/>
              <w:keepNext w:val="0"/>
              <w:widowControl w:val="0"/>
              <w:jc w:val="center"/>
            </w:pPr>
            <w:r w:rsidRPr="003E5320">
              <w:t>Present Value</w:t>
            </w:r>
          </w:p>
        </w:tc>
        <w:tc>
          <w:tcPr>
            <w:tcW w:w="0" w:type="auto"/>
            <w:shd w:val="clear" w:color="auto" w:fill="auto"/>
            <w:noWrap/>
            <w:vAlign w:val="center"/>
            <w:hideMark/>
          </w:tcPr>
          <w:p w14:paraId="04FDFE57" w14:textId="77777777" w:rsidR="003975FB" w:rsidRPr="003E5320" w:rsidRDefault="003975FB" w:rsidP="00376C3F">
            <w:pPr>
              <w:pStyle w:val="Tablecell"/>
              <w:keepNext w:val="0"/>
              <w:widowControl w:val="0"/>
              <w:jc w:val="center"/>
            </w:pPr>
            <w:r w:rsidRPr="003E5320">
              <w:t>Difference</w:t>
            </w:r>
          </w:p>
        </w:tc>
      </w:tr>
      <w:tr w:rsidR="003975FB" w:rsidRPr="003E5320" w14:paraId="536D5D48" w14:textId="77777777" w:rsidTr="003C55B6">
        <w:trPr>
          <w:cantSplit/>
          <w:jc w:val="center"/>
        </w:trPr>
        <w:tc>
          <w:tcPr>
            <w:tcW w:w="0" w:type="auto"/>
            <w:shd w:val="clear" w:color="auto" w:fill="auto"/>
            <w:noWrap/>
            <w:vAlign w:val="center"/>
            <w:hideMark/>
          </w:tcPr>
          <w:p w14:paraId="34B82D57" w14:textId="77777777" w:rsidR="003975FB" w:rsidRPr="003E5320" w:rsidRDefault="003975FB" w:rsidP="00376C3F">
            <w:pPr>
              <w:pStyle w:val="Tablecell"/>
              <w:keepNext w:val="0"/>
              <w:widowControl w:val="0"/>
              <w:jc w:val="center"/>
            </w:pPr>
            <w:r>
              <w:t>0</w:t>
            </w:r>
          </w:p>
        </w:tc>
        <w:tc>
          <w:tcPr>
            <w:tcW w:w="0" w:type="auto"/>
            <w:shd w:val="clear" w:color="auto" w:fill="auto"/>
            <w:noWrap/>
            <w:vAlign w:val="center"/>
            <w:hideMark/>
          </w:tcPr>
          <w:p w14:paraId="18B0339B" w14:textId="77777777" w:rsidR="003975FB" w:rsidRPr="003E5320" w:rsidRDefault="003975FB" w:rsidP="00376C3F">
            <w:pPr>
              <w:pStyle w:val="Tablecell"/>
              <w:keepNext w:val="0"/>
              <w:widowControl w:val="0"/>
              <w:jc w:val="right"/>
              <w:rPr>
                <w:b/>
                <w:bCs/>
              </w:rPr>
            </w:pPr>
            <w:r w:rsidRPr="003E5320">
              <w:rPr>
                <w:b/>
                <w:bCs/>
              </w:rPr>
              <w:t xml:space="preserve">$1.00 </w:t>
            </w:r>
          </w:p>
        </w:tc>
        <w:tc>
          <w:tcPr>
            <w:tcW w:w="0" w:type="auto"/>
            <w:shd w:val="clear" w:color="auto" w:fill="auto"/>
            <w:noWrap/>
            <w:vAlign w:val="center"/>
            <w:hideMark/>
          </w:tcPr>
          <w:p w14:paraId="3AB88259" w14:textId="77777777" w:rsidR="003975FB" w:rsidRPr="003E5320" w:rsidRDefault="003975FB" w:rsidP="00376C3F">
            <w:pPr>
              <w:pStyle w:val="Tablecell"/>
              <w:keepNext w:val="0"/>
              <w:widowControl w:val="0"/>
              <w:jc w:val="right"/>
              <w:rPr>
                <w:b/>
                <w:bCs/>
              </w:rPr>
            </w:pPr>
            <w:r w:rsidRPr="003E5320">
              <w:rPr>
                <w:b/>
                <w:bCs/>
              </w:rPr>
              <w:t xml:space="preserve">$0.00 </w:t>
            </w:r>
          </w:p>
        </w:tc>
      </w:tr>
      <w:tr w:rsidR="003975FB" w:rsidRPr="003E5320" w14:paraId="49CEFD27" w14:textId="77777777" w:rsidTr="003C55B6">
        <w:trPr>
          <w:cantSplit/>
          <w:jc w:val="center"/>
        </w:trPr>
        <w:tc>
          <w:tcPr>
            <w:tcW w:w="0" w:type="auto"/>
            <w:shd w:val="clear" w:color="auto" w:fill="auto"/>
            <w:noWrap/>
            <w:vAlign w:val="center"/>
            <w:hideMark/>
          </w:tcPr>
          <w:p w14:paraId="25A081E7" w14:textId="77777777" w:rsidR="003975FB" w:rsidRPr="003E5320" w:rsidRDefault="003975FB" w:rsidP="00376C3F">
            <w:pPr>
              <w:pStyle w:val="Tablecell"/>
              <w:keepNext w:val="0"/>
              <w:widowControl w:val="0"/>
              <w:jc w:val="center"/>
            </w:pPr>
            <w:r>
              <w:t>1</w:t>
            </w:r>
          </w:p>
        </w:tc>
        <w:tc>
          <w:tcPr>
            <w:tcW w:w="0" w:type="auto"/>
            <w:shd w:val="clear" w:color="auto" w:fill="auto"/>
            <w:noWrap/>
            <w:vAlign w:val="center"/>
            <w:hideMark/>
          </w:tcPr>
          <w:p w14:paraId="19A4403B" w14:textId="77777777" w:rsidR="003975FB" w:rsidRPr="003E5320" w:rsidRDefault="003975FB" w:rsidP="00376C3F">
            <w:pPr>
              <w:pStyle w:val="Tablecell"/>
              <w:keepNext w:val="0"/>
              <w:widowControl w:val="0"/>
              <w:jc w:val="right"/>
              <w:rPr>
                <w:b/>
                <w:bCs/>
              </w:rPr>
            </w:pPr>
            <w:r w:rsidRPr="003E5320">
              <w:rPr>
                <w:b/>
                <w:bCs/>
              </w:rPr>
              <w:t xml:space="preserve">$0.99 </w:t>
            </w:r>
          </w:p>
        </w:tc>
        <w:tc>
          <w:tcPr>
            <w:tcW w:w="0" w:type="auto"/>
            <w:shd w:val="clear" w:color="auto" w:fill="auto"/>
            <w:noWrap/>
            <w:vAlign w:val="center"/>
            <w:hideMark/>
          </w:tcPr>
          <w:p w14:paraId="4D40CB95" w14:textId="77777777" w:rsidR="003975FB" w:rsidRPr="003E5320" w:rsidRDefault="003975FB" w:rsidP="00376C3F">
            <w:pPr>
              <w:pStyle w:val="Tablecell"/>
              <w:keepNext w:val="0"/>
              <w:widowControl w:val="0"/>
              <w:jc w:val="right"/>
              <w:rPr>
                <w:b/>
                <w:bCs/>
              </w:rPr>
            </w:pPr>
            <w:r w:rsidRPr="003E5320">
              <w:rPr>
                <w:b/>
                <w:bCs/>
              </w:rPr>
              <w:t>$0.0</w:t>
            </w:r>
            <w:r>
              <w:rPr>
                <w:b/>
                <w:bCs/>
              </w:rPr>
              <w:t>1</w:t>
            </w:r>
            <w:r w:rsidRPr="003E5320">
              <w:rPr>
                <w:b/>
                <w:bCs/>
              </w:rPr>
              <w:t xml:space="preserve"> </w:t>
            </w:r>
          </w:p>
        </w:tc>
      </w:tr>
      <w:tr w:rsidR="003975FB" w:rsidRPr="003E5320" w14:paraId="165144DF" w14:textId="77777777" w:rsidTr="003C55B6">
        <w:trPr>
          <w:cantSplit/>
          <w:jc w:val="center"/>
        </w:trPr>
        <w:tc>
          <w:tcPr>
            <w:tcW w:w="0" w:type="auto"/>
            <w:shd w:val="clear" w:color="auto" w:fill="auto"/>
            <w:noWrap/>
            <w:vAlign w:val="center"/>
            <w:hideMark/>
          </w:tcPr>
          <w:p w14:paraId="24D29BD5" w14:textId="77777777" w:rsidR="003975FB" w:rsidRPr="003E5320" w:rsidRDefault="003975FB" w:rsidP="00376C3F">
            <w:pPr>
              <w:pStyle w:val="Tablecell"/>
              <w:keepNext w:val="0"/>
              <w:widowControl w:val="0"/>
              <w:jc w:val="center"/>
            </w:pPr>
            <w:r>
              <w:t>2</w:t>
            </w:r>
          </w:p>
        </w:tc>
        <w:tc>
          <w:tcPr>
            <w:tcW w:w="0" w:type="auto"/>
            <w:shd w:val="clear" w:color="auto" w:fill="auto"/>
            <w:noWrap/>
            <w:vAlign w:val="center"/>
            <w:hideMark/>
          </w:tcPr>
          <w:p w14:paraId="3EB10BFA" w14:textId="77777777" w:rsidR="003975FB" w:rsidRPr="003E5320" w:rsidRDefault="003975FB" w:rsidP="00376C3F">
            <w:pPr>
              <w:pStyle w:val="Tablecell"/>
              <w:keepNext w:val="0"/>
              <w:widowControl w:val="0"/>
              <w:jc w:val="right"/>
              <w:rPr>
                <w:b/>
                <w:bCs/>
              </w:rPr>
            </w:pPr>
            <w:r w:rsidRPr="003E5320">
              <w:rPr>
                <w:b/>
                <w:bCs/>
              </w:rPr>
              <w:t xml:space="preserve">$0.98 </w:t>
            </w:r>
          </w:p>
        </w:tc>
        <w:tc>
          <w:tcPr>
            <w:tcW w:w="0" w:type="auto"/>
            <w:shd w:val="clear" w:color="auto" w:fill="auto"/>
            <w:noWrap/>
            <w:vAlign w:val="center"/>
            <w:hideMark/>
          </w:tcPr>
          <w:p w14:paraId="2925483E" w14:textId="77777777" w:rsidR="003975FB" w:rsidRPr="003E5320" w:rsidRDefault="003975FB" w:rsidP="00376C3F">
            <w:pPr>
              <w:pStyle w:val="Tablecell"/>
              <w:keepNext w:val="0"/>
              <w:widowControl w:val="0"/>
              <w:jc w:val="right"/>
              <w:rPr>
                <w:b/>
                <w:bCs/>
              </w:rPr>
            </w:pPr>
            <w:r w:rsidRPr="003E5320">
              <w:rPr>
                <w:b/>
                <w:bCs/>
              </w:rPr>
              <w:t>$0.0</w:t>
            </w:r>
            <w:r>
              <w:rPr>
                <w:b/>
                <w:bCs/>
              </w:rPr>
              <w:t>2</w:t>
            </w:r>
            <w:r w:rsidRPr="003E5320">
              <w:rPr>
                <w:b/>
                <w:bCs/>
              </w:rPr>
              <w:t xml:space="preserve"> </w:t>
            </w:r>
          </w:p>
        </w:tc>
      </w:tr>
      <w:tr w:rsidR="003975FB" w:rsidRPr="003E5320" w14:paraId="69B8F0B9" w14:textId="77777777" w:rsidTr="003C55B6">
        <w:trPr>
          <w:cantSplit/>
          <w:jc w:val="center"/>
        </w:trPr>
        <w:tc>
          <w:tcPr>
            <w:tcW w:w="0" w:type="auto"/>
            <w:shd w:val="clear" w:color="auto" w:fill="auto"/>
            <w:noWrap/>
            <w:vAlign w:val="center"/>
            <w:hideMark/>
          </w:tcPr>
          <w:p w14:paraId="46CBEA64" w14:textId="77777777" w:rsidR="003975FB" w:rsidRPr="003E5320" w:rsidRDefault="003975FB" w:rsidP="00376C3F">
            <w:pPr>
              <w:pStyle w:val="Tablecell"/>
              <w:keepNext w:val="0"/>
              <w:widowControl w:val="0"/>
              <w:jc w:val="center"/>
            </w:pPr>
            <w:r>
              <w:lastRenderedPageBreak/>
              <w:t>3</w:t>
            </w:r>
          </w:p>
        </w:tc>
        <w:tc>
          <w:tcPr>
            <w:tcW w:w="0" w:type="auto"/>
            <w:shd w:val="clear" w:color="auto" w:fill="auto"/>
            <w:noWrap/>
            <w:vAlign w:val="center"/>
            <w:hideMark/>
          </w:tcPr>
          <w:p w14:paraId="17EBCDD4" w14:textId="77777777" w:rsidR="003975FB" w:rsidRPr="003E5320" w:rsidRDefault="003975FB" w:rsidP="00376C3F">
            <w:pPr>
              <w:pStyle w:val="Tablecell"/>
              <w:keepNext w:val="0"/>
              <w:widowControl w:val="0"/>
              <w:jc w:val="right"/>
              <w:rPr>
                <w:b/>
                <w:bCs/>
              </w:rPr>
            </w:pPr>
            <w:r w:rsidRPr="003E5320">
              <w:rPr>
                <w:b/>
                <w:bCs/>
              </w:rPr>
              <w:t xml:space="preserve">$0.97 </w:t>
            </w:r>
          </w:p>
        </w:tc>
        <w:tc>
          <w:tcPr>
            <w:tcW w:w="0" w:type="auto"/>
            <w:shd w:val="clear" w:color="auto" w:fill="auto"/>
            <w:noWrap/>
            <w:vAlign w:val="center"/>
            <w:hideMark/>
          </w:tcPr>
          <w:p w14:paraId="4C440D24" w14:textId="77777777" w:rsidR="003975FB" w:rsidRPr="003E5320" w:rsidRDefault="003975FB" w:rsidP="00376C3F">
            <w:pPr>
              <w:pStyle w:val="Tablecell"/>
              <w:keepNext w:val="0"/>
              <w:widowControl w:val="0"/>
              <w:jc w:val="right"/>
              <w:rPr>
                <w:b/>
                <w:bCs/>
              </w:rPr>
            </w:pPr>
            <w:r w:rsidRPr="003E5320">
              <w:rPr>
                <w:b/>
                <w:bCs/>
              </w:rPr>
              <w:t>$0.0</w:t>
            </w:r>
            <w:r>
              <w:rPr>
                <w:b/>
                <w:bCs/>
              </w:rPr>
              <w:t>3</w:t>
            </w:r>
            <w:r w:rsidRPr="003E5320">
              <w:rPr>
                <w:b/>
                <w:bCs/>
              </w:rPr>
              <w:t xml:space="preserve"> </w:t>
            </w:r>
          </w:p>
        </w:tc>
      </w:tr>
      <w:tr w:rsidR="003975FB" w:rsidRPr="003E5320" w14:paraId="5AA85F00" w14:textId="77777777" w:rsidTr="003C55B6">
        <w:trPr>
          <w:cantSplit/>
          <w:jc w:val="center"/>
        </w:trPr>
        <w:tc>
          <w:tcPr>
            <w:tcW w:w="0" w:type="auto"/>
            <w:shd w:val="clear" w:color="auto" w:fill="auto"/>
            <w:noWrap/>
            <w:vAlign w:val="center"/>
            <w:hideMark/>
          </w:tcPr>
          <w:p w14:paraId="76F7D075" w14:textId="77777777" w:rsidR="003975FB" w:rsidRPr="003E5320" w:rsidRDefault="003975FB" w:rsidP="00376C3F">
            <w:pPr>
              <w:pStyle w:val="Tablecell"/>
              <w:keepNext w:val="0"/>
              <w:widowControl w:val="0"/>
              <w:jc w:val="center"/>
            </w:pPr>
            <w:r>
              <w:t>4</w:t>
            </w:r>
          </w:p>
        </w:tc>
        <w:tc>
          <w:tcPr>
            <w:tcW w:w="0" w:type="auto"/>
            <w:shd w:val="clear" w:color="auto" w:fill="auto"/>
            <w:noWrap/>
            <w:vAlign w:val="center"/>
            <w:hideMark/>
          </w:tcPr>
          <w:p w14:paraId="1C04FDE2" w14:textId="77777777" w:rsidR="003975FB" w:rsidRPr="003E5320" w:rsidRDefault="003975FB" w:rsidP="00376C3F">
            <w:pPr>
              <w:pStyle w:val="Tablecell"/>
              <w:keepNext w:val="0"/>
              <w:widowControl w:val="0"/>
              <w:jc w:val="right"/>
              <w:rPr>
                <w:b/>
                <w:bCs/>
              </w:rPr>
            </w:pPr>
            <w:r w:rsidRPr="003E5320">
              <w:rPr>
                <w:b/>
                <w:bCs/>
              </w:rPr>
              <w:t xml:space="preserve">$0.96 </w:t>
            </w:r>
          </w:p>
        </w:tc>
        <w:tc>
          <w:tcPr>
            <w:tcW w:w="0" w:type="auto"/>
            <w:shd w:val="clear" w:color="auto" w:fill="auto"/>
            <w:noWrap/>
            <w:vAlign w:val="center"/>
            <w:hideMark/>
          </w:tcPr>
          <w:p w14:paraId="068C97CE" w14:textId="77777777" w:rsidR="003975FB" w:rsidRPr="003E5320" w:rsidRDefault="003975FB" w:rsidP="00376C3F">
            <w:pPr>
              <w:pStyle w:val="Tablecell"/>
              <w:keepNext w:val="0"/>
              <w:widowControl w:val="0"/>
              <w:jc w:val="right"/>
              <w:rPr>
                <w:b/>
                <w:bCs/>
              </w:rPr>
            </w:pPr>
            <w:r w:rsidRPr="003E5320">
              <w:rPr>
                <w:b/>
                <w:bCs/>
              </w:rPr>
              <w:t>$0.0</w:t>
            </w:r>
            <w:r>
              <w:rPr>
                <w:b/>
                <w:bCs/>
              </w:rPr>
              <w:t>4</w:t>
            </w:r>
            <w:r w:rsidRPr="003E5320">
              <w:rPr>
                <w:b/>
                <w:bCs/>
              </w:rPr>
              <w:t xml:space="preserve"> </w:t>
            </w:r>
          </w:p>
        </w:tc>
      </w:tr>
    </w:tbl>
    <w:p w14:paraId="50D48AFF" w14:textId="0F11D7CC" w:rsidR="00225BBF" w:rsidRPr="001B300B" w:rsidRDefault="00225BBF" w:rsidP="00225BBF">
      <w:pPr>
        <w:pStyle w:val="RMSectionXXX"/>
      </w:pPr>
      <w:bookmarkStart w:id="56" w:name="_Toc132187808"/>
      <w:r w:rsidRPr="00D52995">
        <w:t>3.2.7 Specifying procedures for warnings and penalties for noncompliance</w:t>
      </w:r>
      <w:bookmarkEnd w:id="56"/>
    </w:p>
    <w:p w14:paraId="6A56B1D8" w14:textId="2E6B1965" w:rsidR="006A75DA" w:rsidRDefault="006A75DA" w:rsidP="006A75DA">
      <w:pPr>
        <w:pStyle w:val="Paragraph"/>
      </w:pPr>
      <w:r>
        <w:t>We expect this section of the proposed rule to result in benefits of clear expectations of how many notices Ecology will send before taking further enforcement action. As a result, it potentially affects the timing of when producers incur the costs of coming into compliance</w:t>
      </w:r>
      <w:r w:rsidR="00953BAB">
        <w:t>.</w:t>
      </w:r>
    </w:p>
    <w:p w14:paraId="5F06116C" w14:textId="2573197B" w:rsidR="00953BAB" w:rsidRDefault="00953BAB" w:rsidP="00953BAB">
      <w:pPr>
        <w:pStyle w:val="Paragraph"/>
      </w:pPr>
      <w:r w:rsidRPr="006006A0">
        <w:t xml:space="preserve">We could not confidently assess how frequently </w:t>
      </w:r>
      <w:r w:rsidR="00D52995">
        <w:t xml:space="preserve">noncompliance would occur and result in multiple warnings and/or penalties, </w:t>
      </w:r>
      <w:r w:rsidRPr="006006A0">
        <w:t>or the degree</w:t>
      </w:r>
      <w:r>
        <w:t xml:space="preserve"> </w:t>
      </w:r>
      <w:r w:rsidR="00D52995">
        <w:t>of noncompliance (and associated costs of coming into compliance)</w:t>
      </w:r>
      <w:r>
        <w:t>. We note, however, these would not be significant additional costs, as compared to the baseline, but rather opportunity costs of expenditures at different times</w:t>
      </w:r>
      <w:r w:rsidR="00D52995">
        <w:t>, as producers would be expected to comply under the baseline regardless of the proposed rule</w:t>
      </w:r>
      <w:r>
        <w:t>. The table above (Section 3.2.6) illustrates the opportunity costs associated with spending a dollar at various times.</w:t>
      </w:r>
      <w:r>
        <w:rPr>
          <w:rStyle w:val="FootnoteReference"/>
        </w:rPr>
        <w:footnoteReference w:id="22"/>
      </w:r>
    </w:p>
    <w:p w14:paraId="6A6752FE" w14:textId="77777777" w:rsidR="00087615" w:rsidRDefault="00087615" w:rsidP="003B1C00">
      <w:pPr>
        <w:pStyle w:val="Paragraph"/>
      </w:pPr>
    </w:p>
    <w:p w14:paraId="18E7CB0B" w14:textId="77777777" w:rsidR="00087615" w:rsidRDefault="00087615" w:rsidP="003B1C00">
      <w:pPr>
        <w:pStyle w:val="Paragraph"/>
        <w:sectPr w:rsidR="00087615">
          <w:pgSz w:w="12240" w:h="15840"/>
          <w:pgMar w:top="1440" w:right="1440" w:bottom="1440" w:left="1440" w:header="720" w:footer="720" w:gutter="0"/>
          <w:cols w:space="720"/>
        </w:sectPr>
      </w:pPr>
    </w:p>
    <w:p w14:paraId="0F6526A3" w14:textId="049F922F" w:rsidR="00087615" w:rsidRDefault="00087615" w:rsidP="008B4521">
      <w:pPr>
        <w:pStyle w:val="RMChaptertitle"/>
      </w:pPr>
      <w:bookmarkStart w:id="57" w:name="_Toc132187809"/>
      <w:r>
        <w:lastRenderedPageBreak/>
        <w:t>Chapter 4: Likely Benefits of the Proposed Rule</w:t>
      </w:r>
      <w:bookmarkEnd w:id="57"/>
      <w:r>
        <w:t xml:space="preserve"> </w:t>
      </w:r>
    </w:p>
    <w:p w14:paraId="3687F330" w14:textId="77777777" w:rsidR="00087615" w:rsidRDefault="00087615" w:rsidP="00257276">
      <w:pPr>
        <w:pStyle w:val="RMHeading3"/>
      </w:pPr>
      <w:r w:rsidRPr="005B020E">
        <w:t>4.1 Introduction</w:t>
      </w:r>
    </w:p>
    <w:p w14:paraId="18894637" w14:textId="407BFA5A" w:rsidR="00087615" w:rsidRDefault="00087615" w:rsidP="003B1C00">
      <w:pPr>
        <w:pStyle w:val="Paragraph"/>
      </w:pPr>
      <w:r>
        <w:t>We analyzed the likely benefits associated with the proposed rule, as compared to the baseline. The proposed rule and the baseline are discussed in detail in Chapter 2 of this document.</w:t>
      </w:r>
    </w:p>
    <w:p w14:paraId="65577449" w14:textId="77777777" w:rsidR="00087615" w:rsidRDefault="00087615" w:rsidP="00257276">
      <w:pPr>
        <w:pStyle w:val="RMHeading3"/>
      </w:pPr>
      <w:r>
        <w:t>4.2 Benefits analysis</w:t>
      </w:r>
    </w:p>
    <w:p w14:paraId="65607867" w14:textId="77777777" w:rsidR="007525A3" w:rsidRDefault="007525A3" w:rsidP="007525A3">
      <w:pPr>
        <w:pStyle w:val="Paragraph"/>
      </w:pPr>
      <w:r w:rsidRPr="003F76E1">
        <w:t xml:space="preserve">The proposed rule </w:t>
      </w:r>
      <w:r>
        <w:t xml:space="preserve">would </w:t>
      </w:r>
      <w:r w:rsidRPr="003F76E1">
        <w:t xml:space="preserve">establish the processes </w:t>
      </w:r>
      <w:r>
        <w:t xml:space="preserve">Ecology and producers of covered products would follow to ensure </w:t>
      </w:r>
      <w:r w:rsidRPr="003F76E1">
        <w:t>compliance</w:t>
      </w:r>
      <w:r>
        <w:t xml:space="preserve"> with the law</w:t>
      </w:r>
      <w:r w:rsidRPr="003F76E1">
        <w:t xml:space="preserve">, </w:t>
      </w:r>
      <w:r>
        <w:t>including calculation of</w:t>
      </w:r>
      <w:r w:rsidRPr="003F76E1">
        <w:t xml:space="preserve"> annual fees. </w:t>
      </w:r>
      <w:r>
        <w:t>The proposed rule would specifically:</w:t>
      </w:r>
    </w:p>
    <w:p w14:paraId="40F805AC" w14:textId="77777777" w:rsidR="007525A3" w:rsidRPr="00600796" w:rsidRDefault="007525A3" w:rsidP="007525A3">
      <w:pPr>
        <w:pStyle w:val="ListParagraph"/>
        <w:numPr>
          <w:ilvl w:val="0"/>
          <w:numId w:val="7"/>
        </w:numPr>
        <w:spacing w:after="160" w:line="252" w:lineRule="auto"/>
        <w:contextualSpacing/>
        <w:rPr>
          <w:rFonts w:eastAsia="Times New Roman"/>
          <w:sz w:val="22"/>
        </w:rPr>
      </w:pPr>
      <w:r w:rsidRPr="00600796">
        <w:rPr>
          <w:rFonts w:eastAsia="Times New Roman"/>
        </w:rPr>
        <w:t xml:space="preserve">Add or clarify definitions needed </w:t>
      </w:r>
      <w:r>
        <w:rPr>
          <w:rFonts w:eastAsia="Times New Roman"/>
        </w:rPr>
        <w:t>to comply with</w:t>
      </w:r>
      <w:r w:rsidRPr="00600796">
        <w:rPr>
          <w:rFonts w:eastAsia="Times New Roman"/>
        </w:rPr>
        <w:t xml:space="preserve"> the </w:t>
      </w:r>
      <w:r>
        <w:rPr>
          <w:rFonts w:eastAsia="Times New Roman"/>
        </w:rPr>
        <w:t>law</w:t>
      </w:r>
      <w:r w:rsidRPr="00600796">
        <w:rPr>
          <w:rFonts w:eastAsia="Times New Roman"/>
        </w:rPr>
        <w:t>.</w:t>
      </w:r>
    </w:p>
    <w:p w14:paraId="05FE73CD" w14:textId="77777777" w:rsidR="007525A3" w:rsidRPr="00600796" w:rsidRDefault="007525A3" w:rsidP="007525A3">
      <w:pPr>
        <w:pStyle w:val="ListParagraph"/>
        <w:numPr>
          <w:ilvl w:val="0"/>
          <w:numId w:val="7"/>
        </w:numPr>
        <w:spacing w:after="160" w:line="252" w:lineRule="auto"/>
        <w:contextualSpacing/>
        <w:rPr>
          <w:rFonts w:eastAsia="Times New Roman"/>
        </w:rPr>
      </w:pPr>
      <w:r w:rsidRPr="00600796">
        <w:rPr>
          <w:rFonts w:eastAsia="Times New Roman"/>
        </w:rPr>
        <w:t>Set requirements for registration and reporting.</w:t>
      </w:r>
    </w:p>
    <w:p w14:paraId="0DAD2A8F" w14:textId="77777777" w:rsidR="007525A3" w:rsidRDefault="007525A3" w:rsidP="007525A3">
      <w:pPr>
        <w:pStyle w:val="ListParagraph"/>
        <w:numPr>
          <w:ilvl w:val="0"/>
          <w:numId w:val="7"/>
        </w:numPr>
        <w:spacing w:after="160" w:line="252" w:lineRule="auto"/>
        <w:contextualSpacing/>
        <w:rPr>
          <w:rFonts w:eastAsia="Times New Roman"/>
        </w:rPr>
      </w:pPr>
      <w:r w:rsidRPr="00600796">
        <w:rPr>
          <w:rFonts w:eastAsia="Times New Roman"/>
        </w:rPr>
        <w:t xml:space="preserve">Establish </w:t>
      </w:r>
      <w:r>
        <w:rPr>
          <w:rFonts w:eastAsia="Times New Roman"/>
        </w:rPr>
        <w:t xml:space="preserve">a process to ensure </w:t>
      </w:r>
      <w:r w:rsidRPr="00600796">
        <w:rPr>
          <w:rFonts w:eastAsia="Times New Roman"/>
        </w:rPr>
        <w:t xml:space="preserve">fee allocation methods </w:t>
      </w:r>
      <w:r>
        <w:rPr>
          <w:rFonts w:eastAsia="Times New Roman"/>
        </w:rPr>
        <w:t>are equitable.</w:t>
      </w:r>
    </w:p>
    <w:p w14:paraId="4746746F" w14:textId="77777777" w:rsidR="007525A3" w:rsidRPr="00600796" w:rsidRDefault="007525A3" w:rsidP="007525A3">
      <w:pPr>
        <w:pStyle w:val="ListParagraph"/>
        <w:numPr>
          <w:ilvl w:val="0"/>
          <w:numId w:val="7"/>
        </w:numPr>
        <w:spacing w:after="160" w:line="252" w:lineRule="auto"/>
        <w:contextualSpacing/>
        <w:rPr>
          <w:rFonts w:eastAsia="Times New Roman"/>
        </w:rPr>
      </w:pPr>
      <w:r>
        <w:rPr>
          <w:rFonts w:eastAsia="Times New Roman"/>
        </w:rPr>
        <w:t xml:space="preserve">Establish the annual producer fee </w:t>
      </w:r>
      <w:r w:rsidRPr="00600796">
        <w:rPr>
          <w:rFonts w:eastAsia="Times New Roman"/>
        </w:rPr>
        <w:t>billing proc</w:t>
      </w:r>
      <w:r>
        <w:rPr>
          <w:rFonts w:eastAsia="Times New Roman"/>
        </w:rPr>
        <w:t>ess</w:t>
      </w:r>
      <w:r w:rsidRPr="00600796">
        <w:rPr>
          <w:rFonts w:eastAsia="Times New Roman"/>
        </w:rPr>
        <w:t>.</w:t>
      </w:r>
    </w:p>
    <w:p w14:paraId="74EDA0E9" w14:textId="77777777" w:rsidR="007525A3" w:rsidRPr="00600796" w:rsidRDefault="007525A3" w:rsidP="007525A3">
      <w:pPr>
        <w:pStyle w:val="ListParagraph"/>
        <w:numPr>
          <w:ilvl w:val="0"/>
          <w:numId w:val="7"/>
        </w:numPr>
        <w:spacing w:after="160" w:line="252" w:lineRule="auto"/>
        <w:contextualSpacing/>
        <w:rPr>
          <w:rFonts w:eastAsia="Times New Roman"/>
        </w:rPr>
      </w:pPr>
      <w:r>
        <w:rPr>
          <w:rFonts w:eastAsia="Times New Roman"/>
        </w:rPr>
        <w:t>Clarify</w:t>
      </w:r>
      <w:r w:rsidRPr="00600796">
        <w:rPr>
          <w:rFonts w:eastAsia="Times New Roman"/>
        </w:rPr>
        <w:t xml:space="preserve"> requirements for PCRC weight calculations.</w:t>
      </w:r>
    </w:p>
    <w:p w14:paraId="5B42FBA3" w14:textId="77777777" w:rsidR="007525A3" w:rsidRPr="00600796" w:rsidRDefault="007525A3" w:rsidP="007525A3">
      <w:pPr>
        <w:pStyle w:val="ListParagraph"/>
        <w:numPr>
          <w:ilvl w:val="0"/>
          <w:numId w:val="7"/>
        </w:numPr>
        <w:spacing w:after="160" w:line="252" w:lineRule="auto"/>
        <w:contextualSpacing/>
        <w:rPr>
          <w:rFonts w:eastAsia="Times New Roman"/>
        </w:rPr>
      </w:pPr>
      <w:r>
        <w:rPr>
          <w:rFonts w:eastAsia="Times New Roman"/>
        </w:rPr>
        <w:t>Clarify</w:t>
      </w:r>
      <w:r w:rsidRPr="00600796">
        <w:rPr>
          <w:rFonts w:eastAsia="Times New Roman"/>
        </w:rPr>
        <w:t xml:space="preserve"> requirements for temporary exclusion requests.</w:t>
      </w:r>
    </w:p>
    <w:p w14:paraId="33BC72C2" w14:textId="77777777" w:rsidR="007525A3" w:rsidRDefault="007525A3" w:rsidP="007525A3">
      <w:pPr>
        <w:pStyle w:val="ListParagraph"/>
        <w:numPr>
          <w:ilvl w:val="0"/>
          <w:numId w:val="7"/>
        </w:numPr>
        <w:spacing w:after="160" w:line="252" w:lineRule="auto"/>
        <w:contextualSpacing/>
        <w:rPr>
          <w:rFonts w:eastAsia="Times New Roman"/>
        </w:rPr>
      </w:pPr>
      <w:r w:rsidRPr="00EA2055">
        <w:rPr>
          <w:rFonts w:eastAsia="Times New Roman"/>
        </w:rPr>
        <w:t>Limit timing for providing necessary audit documentation.</w:t>
      </w:r>
    </w:p>
    <w:p w14:paraId="1CD6DED2" w14:textId="5F8B4E72" w:rsidR="004F5493" w:rsidRPr="00600796" w:rsidRDefault="007525A3" w:rsidP="007525A3">
      <w:pPr>
        <w:pStyle w:val="ListParagraph"/>
        <w:numPr>
          <w:ilvl w:val="0"/>
          <w:numId w:val="7"/>
        </w:numPr>
        <w:spacing w:after="160" w:line="252" w:lineRule="auto"/>
        <w:contextualSpacing/>
        <w:rPr>
          <w:rFonts w:eastAsia="Times New Roman"/>
        </w:rPr>
      </w:pPr>
      <w:r>
        <w:rPr>
          <w:rFonts w:eastAsia="Times New Roman"/>
        </w:rPr>
        <w:t xml:space="preserve">Detail the process </w:t>
      </w:r>
      <w:r w:rsidRPr="00600796">
        <w:rPr>
          <w:rFonts w:eastAsia="Times New Roman"/>
        </w:rPr>
        <w:t>for warnings and penalties for noncompliance.</w:t>
      </w:r>
    </w:p>
    <w:p w14:paraId="482450E2" w14:textId="4AEB9C70" w:rsidR="006A75DA" w:rsidRDefault="006A75DA" w:rsidP="006A75DA">
      <w:pPr>
        <w:pStyle w:val="RMSectionXXX"/>
      </w:pPr>
      <w:bookmarkStart w:id="58" w:name="_Toc132187810"/>
      <w:r>
        <w:t>4.2</w:t>
      </w:r>
      <w:r w:rsidRPr="00600796">
        <w:t>.1 Add</w:t>
      </w:r>
      <w:r>
        <w:t>ing</w:t>
      </w:r>
      <w:r w:rsidRPr="00600796">
        <w:t xml:space="preserve"> or Clarify</w:t>
      </w:r>
      <w:r>
        <w:t>ing</w:t>
      </w:r>
      <w:r w:rsidRPr="00600796">
        <w:t xml:space="preserve"> Definitions Necessary for Implementation of the Rule</w:t>
      </w:r>
      <w:bookmarkEnd w:id="58"/>
    </w:p>
    <w:p w14:paraId="6CD7644B" w14:textId="77777777" w:rsidR="0027784F" w:rsidRDefault="0027784F" w:rsidP="0027784F">
      <w:pPr>
        <w:pStyle w:val="Paragraph"/>
      </w:pPr>
      <w:r>
        <w:t xml:space="preserve">We don’t expect the proposed definitions to result in significant impacts in the aggregate. The proposed definition of a producer provides more clarity on the scope of producers relative to the baseline interpretation: </w:t>
      </w:r>
    </w:p>
    <w:p w14:paraId="1E2F835D" w14:textId="77777777" w:rsidR="0027784F" w:rsidRDefault="0027784F" w:rsidP="00897DFF">
      <w:pPr>
        <w:pStyle w:val="ListParagraph"/>
      </w:pPr>
      <w:r>
        <w:t>Producer: This definition would shift compliance burden to brand owners of products manufactured by other entities. Overall compliance burden would be the same, but redistributed to different parties, including retailers that are brand owners. Associated costs and/or benefits are reflected in estimates that are based on the number and types of producers. Affected industries, as well as output and employment impacts of costs distributed across them are discussed in Chapter 7.</w:t>
      </w:r>
    </w:p>
    <w:p w14:paraId="1FCF52D7" w14:textId="77777777" w:rsidR="0027784F" w:rsidRDefault="0027784F" w:rsidP="0027784F">
      <w:pPr>
        <w:pStyle w:val="Paragraph"/>
      </w:pPr>
      <w:r>
        <w:t>The proposed definition of a household cleaning product provides more clarity on the scope of covered products depending on baseline interpretation:</w:t>
      </w:r>
    </w:p>
    <w:p w14:paraId="6FA9C397" w14:textId="77777777" w:rsidR="0027784F" w:rsidRDefault="0027784F" w:rsidP="00897DFF">
      <w:pPr>
        <w:pStyle w:val="ListParagraph"/>
      </w:pPr>
      <w:r>
        <w:t>Household cleaning product: The baseline includes “household cleaning product” as a subset of its definition of “household cleaning and personal care product” but does not offer any specificity. The proposed definition would clarify what is meant by “household" in this context, and would potentially expand the coverage of the program, depending on the interpretation of the baseline statutory language. Associated costs and/or benefits are reflected in estimates that are based on the number and types of producers.</w:t>
      </w:r>
    </w:p>
    <w:p w14:paraId="49EAF055" w14:textId="5EC16E9E" w:rsidR="008640ED" w:rsidRDefault="0027784F" w:rsidP="0027784F">
      <w:pPr>
        <w:pStyle w:val="Paragraph"/>
      </w:pPr>
      <w:r>
        <w:lastRenderedPageBreak/>
        <w:t>The impact of these proposed definitions depends on the context of how they are used in the rest of the rule, and their resulting costs and/or benefits (see sections below). Other proposed definitions would add or clarify technical terms needed to implement the proposed rule.</w:t>
      </w:r>
    </w:p>
    <w:p w14:paraId="10309FD8" w14:textId="7BF9207B" w:rsidR="006A75DA" w:rsidRPr="00600796" w:rsidRDefault="006A75DA" w:rsidP="006A75DA">
      <w:pPr>
        <w:pStyle w:val="RMSectionXXX"/>
      </w:pPr>
      <w:bookmarkStart w:id="59" w:name="_Toc132187811"/>
      <w:r w:rsidRPr="002D606E">
        <w:t>4.2.2 Setting requirements for registration</w:t>
      </w:r>
      <w:r w:rsidR="000F1EC8">
        <w:t>,</w:t>
      </w:r>
      <w:r w:rsidRPr="002D606E" w:rsidDel="000F1EC8">
        <w:t xml:space="preserve"> </w:t>
      </w:r>
      <w:r w:rsidRPr="002D606E">
        <w:t>reporting</w:t>
      </w:r>
      <w:r w:rsidR="000F1EC8">
        <w:t>, and de minimis notifications</w:t>
      </w:r>
      <w:bookmarkEnd w:id="59"/>
    </w:p>
    <w:p w14:paraId="3470D7CB" w14:textId="5CE9D73A" w:rsidR="006A75DA" w:rsidRDefault="006A75DA" w:rsidP="006A75DA">
      <w:pPr>
        <w:pStyle w:val="Paragraph"/>
      </w:pPr>
      <w:r>
        <w:t xml:space="preserve">We expect this section of the proposed rule to result in benefits of </w:t>
      </w:r>
      <w:r w:rsidR="004012F9">
        <w:t xml:space="preserve">having </w:t>
      </w:r>
      <w:r>
        <w:t xml:space="preserve">full information about producers to facilitate accurate data and any needed interactions </w:t>
      </w:r>
      <w:r w:rsidR="00DC0361">
        <w:t xml:space="preserve">between Ecology and the producers </w:t>
      </w:r>
      <w:r>
        <w:t xml:space="preserve">related to implementation and enforcement. </w:t>
      </w:r>
      <w:r w:rsidR="00DC0361">
        <w:t xml:space="preserve">The certification of reports would result in benefits </w:t>
      </w:r>
      <w:r w:rsidR="00271E00">
        <w:t xml:space="preserve">of </w:t>
      </w:r>
      <w:r w:rsidR="00DC0361">
        <w:t xml:space="preserve">assuring </w:t>
      </w:r>
      <w:r>
        <w:t xml:space="preserve">the data reported is </w:t>
      </w:r>
      <w:r w:rsidR="00F44F34">
        <w:t>accurate</w:t>
      </w:r>
      <w:r>
        <w:t xml:space="preserve"> and reliable for achieving the goals of the authorizing statute.</w:t>
      </w:r>
    </w:p>
    <w:p w14:paraId="79FA03AD" w14:textId="2FF5F10D" w:rsidR="000A138D" w:rsidRDefault="000A138D" w:rsidP="006A75DA">
      <w:pPr>
        <w:pStyle w:val="Paragraph"/>
      </w:pPr>
      <w:r>
        <w:t xml:space="preserve">While we cannot confidently assume the frequency and nature of inaccurate or unreliable data reporting under the baseline, we note that avoiding rework or repeated interactions would result in avoided costs of labor. </w:t>
      </w:r>
      <w:r w:rsidR="00BC755B">
        <w:t>The size of these avoided costs would depend</w:t>
      </w:r>
      <w:r>
        <w:t xml:space="preserve"> on the degree or direction of any inaccuracy, </w:t>
      </w:r>
      <w:r w:rsidR="00BC755B">
        <w:t>and how much follow up is necessary to correct it.</w:t>
      </w:r>
    </w:p>
    <w:p w14:paraId="092D5345" w14:textId="61FAA8F1" w:rsidR="00BC755B" w:rsidRDefault="00BC755B" w:rsidP="006A75DA">
      <w:pPr>
        <w:pStyle w:val="Paragraph"/>
      </w:pPr>
      <w:r>
        <w:t>Similarly, we note that the benefit of confidence and timeliness in achieving the goals and objectives of the statute contributes to:</w:t>
      </w:r>
    </w:p>
    <w:p w14:paraId="74CF4941" w14:textId="1F29430E" w:rsidR="00BC755B" w:rsidRDefault="00BC755B" w:rsidP="00897DFF">
      <w:pPr>
        <w:pStyle w:val="ListParagraph"/>
      </w:pPr>
      <w:r>
        <w:t>Meeting statutory PCRC requirements.</w:t>
      </w:r>
    </w:p>
    <w:p w14:paraId="0CFE32B3" w14:textId="636F28D2" w:rsidR="00BC755B" w:rsidRDefault="00BC755B" w:rsidP="00897DFF">
      <w:pPr>
        <w:pStyle w:val="ListParagraph"/>
      </w:pPr>
      <w:r>
        <w:t>Reduced demand for virgin plastic for covered products.</w:t>
      </w:r>
    </w:p>
    <w:p w14:paraId="3A7DEB36" w14:textId="04C8C06D" w:rsidR="00BC755B" w:rsidRDefault="00BC755B" w:rsidP="00897DFF">
      <w:pPr>
        <w:pStyle w:val="ListParagraph"/>
      </w:pPr>
      <w:r>
        <w:t>Incentives for increased plastic recovery and movement toward a cyclical plastics economy.</w:t>
      </w:r>
    </w:p>
    <w:p w14:paraId="2A8B94E4" w14:textId="007DF0E8" w:rsidR="00DC0361" w:rsidRPr="00271E00" w:rsidRDefault="00DC0361" w:rsidP="006A75DA">
      <w:pPr>
        <w:pStyle w:val="Paragraph"/>
        <w:rPr>
          <w:b/>
        </w:rPr>
      </w:pPr>
      <w:r w:rsidRPr="00271E00">
        <w:rPr>
          <w:b/>
        </w:rPr>
        <w:t>Annual registration and reporting</w:t>
      </w:r>
    </w:p>
    <w:p w14:paraId="5698F98E" w14:textId="0D70DD76" w:rsidR="0037790E" w:rsidRDefault="006F4BD6" w:rsidP="006A75DA">
      <w:pPr>
        <w:pStyle w:val="Paragraph"/>
      </w:pPr>
      <w:r>
        <w:t xml:space="preserve">The regular </w:t>
      </w:r>
      <w:r w:rsidR="005A395C">
        <w:t>and complete</w:t>
      </w:r>
      <w:r w:rsidR="00DC0361">
        <w:t xml:space="preserve"> producer</w:t>
      </w:r>
      <w:r w:rsidR="005A395C">
        <w:t xml:space="preserve"> </w:t>
      </w:r>
      <w:r w:rsidR="00545930">
        <w:t xml:space="preserve">information </w:t>
      </w:r>
      <w:r>
        <w:t>update</w:t>
      </w:r>
      <w:r w:rsidR="00DC0361">
        <w:t>s</w:t>
      </w:r>
      <w:r w:rsidR="00013757">
        <w:t xml:space="preserve"> </w:t>
      </w:r>
      <w:r>
        <w:t xml:space="preserve">during annual reporting and registration </w:t>
      </w:r>
      <w:r w:rsidR="00DC0361">
        <w:t xml:space="preserve">would help </w:t>
      </w:r>
      <w:r w:rsidR="008F6B7B">
        <w:t>Ecolog</w:t>
      </w:r>
      <w:r w:rsidR="005A395C">
        <w:t xml:space="preserve">y </w:t>
      </w:r>
      <w:r w:rsidR="00DC0361">
        <w:t>identify where</w:t>
      </w:r>
      <w:r w:rsidR="00D05A96">
        <w:t xml:space="preserve"> changes</w:t>
      </w:r>
      <w:r w:rsidR="00DC0361">
        <w:t xml:space="preserve"> may be needed</w:t>
      </w:r>
      <w:r w:rsidR="00D05A96">
        <w:t xml:space="preserve"> </w:t>
      </w:r>
      <w:r w:rsidR="00586AAC">
        <w:t>(for changes in</w:t>
      </w:r>
      <w:r w:rsidR="00E31473">
        <w:t xml:space="preserve"> de </w:t>
      </w:r>
      <w:r w:rsidR="00A52963">
        <w:t>minimis</w:t>
      </w:r>
      <w:r w:rsidR="00586AAC">
        <w:t xml:space="preserve"> status, contact address, etc.) </w:t>
      </w:r>
      <w:r w:rsidR="00D05A96">
        <w:t xml:space="preserve">and </w:t>
      </w:r>
      <w:r w:rsidR="00DC0361">
        <w:t xml:space="preserve">support decisions to make those </w:t>
      </w:r>
      <w:r w:rsidR="00A874F4" w:rsidDel="00DC0361">
        <w:t>changes</w:t>
      </w:r>
      <w:r w:rsidR="00602C81">
        <w:t xml:space="preserve"> </w:t>
      </w:r>
      <w:r w:rsidR="00A874F4">
        <w:t>if necessary</w:t>
      </w:r>
      <w:r w:rsidR="006D71EF">
        <w:t>.</w:t>
      </w:r>
      <w:r w:rsidR="007D0B8B">
        <w:t xml:space="preserve"> </w:t>
      </w:r>
      <w:r w:rsidR="00076B85">
        <w:t>In addition, registration and reporting would increase</w:t>
      </w:r>
      <w:r w:rsidR="0037790E">
        <w:t xml:space="preserve"> the specificity of the information provided and </w:t>
      </w:r>
      <w:r w:rsidR="00B74503">
        <w:t>help</w:t>
      </w:r>
      <w:r w:rsidR="0037790E">
        <w:t xml:space="preserve"> Ecology communicate with producer</w:t>
      </w:r>
      <w:r w:rsidR="00C84A01">
        <w:t>s</w:t>
      </w:r>
      <w:r w:rsidR="0037790E">
        <w:t xml:space="preserve"> as needed.</w:t>
      </w:r>
    </w:p>
    <w:p w14:paraId="1E43633C" w14:textId="698F4298" w:rsidR="00B7580B" w:rsidRDefault="0037790E" w:rsidP="006A75DA">
      <w:pPr>
        <w:pStyle w:val="Paragraph"/>
      </w:pPr>
      <w:r>
        <w:t xml:space="preserve">This additional specificity in reporting would also prevent duplicate reporting, through unique identifiers such as Tax Identification Numbers (TINs). </w:t>
      </w:r>
      <w:r w:rsidR="002B5AE9">
        <w:t>This would</w:t>
      </w:r>
      <w:r>
        <w:t xml:space="preserve"> in turn reduce the need for additional Ecology effort evaluating and resolving duplicate reports, ultimately reducing program costs</w:t>
      </w:r>
      <w:r w:rsidR="00C84A01">
        <w:t>, eliminating duplicate producer registrations,</w:t>
      </w:r>
      <w:r>
        <w:t xml:space="preserve"> and resulting </w:t>
      </w:r>
      <w:r w:rsidR="00C84A01">
        <w:t xml:space="preserve">in lower </w:t>
      </w:r>
      <w:r>
        <w:t>producer fees.</w:t>
      </w:r>
    </w:p>
    <w:p w14:paraId="0A2C9AF7" w14:textId="77777777" w:rsidR="00271E00" w:rsidRPr="00271E00" w:rsidRDefault="00271E00" w:rsidP="00271E00">
      <w:pPr>
        <w:pStyle w:val="Paragraph"/>
        <w:rPr>
          <w:b/>
        </w:rPr>
      </w:pPr>
      <w:r w:rsidRPr="00271E00">
        <w:rPr>
          <w:b/>
        </w:rPr>
        <w:t>De minimis notifications</w:t>
      </w:r>
    </w:p>
    <w:p w14:paraId="6C41A203" w14:textId="2A7C412D" w:rsidR="00271E00" w:rsidRDefault="00271E00" w:rsidP="00271E00">
      <w:pPr>
        <w:pStyle w:val="Paragraph"/>
      </w:pPr>
      <w:r>
        <w:t xml:space="preserve">The </w:t>
      </w:r>
      <w:r w:rsidR="00A52963">
        <w:t>de minimis</w:t>
      </w:r>
      <w:r>
        <w:t xml:space="preserve"> status verification and reporting identifies those producers eligible for exemption simplifying identifying producers required to comply with authorizing statute.</w:t>
      </w:r>
      <w:r w:rsidR="00B7580B" w:rsidRPr="00B7580B">
        <w:t xml:space="preserve"> </w:t>
      </w:r>
      <w:r w:rsidR="00B7580B">
        <w:t>De minimis producer notifications reduce the chance of de minimis producers being pursued for non-compliance.</w:t>
      </w:r>
    </w:p>
    <w:p w14:paraId="1C662413" w14:textId="526FB11A" w:rsidR="00DC0361" w:rsidRPr="00271E00" w:rsidRDefault="000F1EC8" w:rsidP="006E7D88">
      <w:pPr>
        <w:pStyle w:val="Paragraph"/>
        <w:keepNext/>
        <w:keepLines/>
        <w:rPr>
          <w:b/>
        </w:rPr>
      </w:pPr>
      <w:r w:rsidRPr="00271E00">
        <w:rPr>
          <w:b/>
        </w:rPr>
        <w:lastRenderedPageBreak/>
        <w:t>Confidence in the</w:t>
      </w:r>
      <w:r w:rsidR="00DC0361" w:rsidRPr="00271E00">
        <w:rPr>
          <w:b/>
        </w:rPr>
        <w:t xml:space="preserve"> fee allocations</w:t>
      </w:r>
    </w:p>
    <w:p w14:paraId="18887A56" w14:textId="4EBC9FF8" w:rsidR="00AB2021" w:rsidRDefault="00A33E35" w:rsidP="006E7D88">
      <w:pPr>
        <w:pStyle w:val="Paragraph"/>
        <w:keepNext/>
        <w:keepLines/>
      </w:pPr>
      <w:r>
        <w:t>Annual registration and reporting</w:t>
      </w:r>
      <w:r w:rsidR="00112397">
        <w:t xml:space="preserve"> provides confidence </w:t>
      </w:r>
      <w:r w:rsidR="00817CD0">
        <w:t xml:space="preserve">that </w:t>
      </w:r>
      <w:r w:rsidR="00112397">
        <w:t xml:space="preserve">producers </w:t>
      </w:r>
      <w:r>
        <w:t xml:space="preserve">are held accountable for compliance and </w:t>
      </w:r>
      <w:r w:rsidR="00112397">
        <w:t xml:space="preserve">that the fees are </w:t>
      </w:r>
      <w:r w:rsidR="008E2C46">
        <w:t>allocated</w:t>
      </w:r>
      <w:r w:rsidR="001A5AD6">
        <w:t xml:space="preserve"> equitably</w:t>
      </w:r>
      <w:r w:rsidR="00112397">
        <w:t xml:space="preserve">, since they can view a list of registered producers, including de minimis producers who notified </w:t>
      </w:r>
      <w:r w:rsidR="002B5AE9">
        <w:t>Ecology</w:t>
      </w:r>
      <w:r w:rsidR="003F07C3">
        <w:t xml:space="preserve"> of their status during</w:t>
      </w:r>
      <w:r w:rsidR="00112397">
        <w:t xml:space="preserve"> registration.</w:t>
      </w:r>
    </w:p>
    <w:p w14:paraId="60A250CA" w14:textId="6E1C1F6D" w:rsidR="00BF6A82" w:rsidRDefault="003F07C3" w:rsidP="006A75DA">
      <w:pPr>
        <w:pStyle w:val="Paragraph"/>
      </w:pPr>
      <w:r w:rsidRPr="003F07C3">
        <w:t>We note also that accurate and confident information ensured during reporting would result in accurate and equitable fee distribution, as it would reduce the need for corrections or future adjustments to fees invoiced to producers.</w:t>
      </w:r>
    </w:p>
    <w:p w14:paraId="681354AB" w14:textId="67253EA6" w:rsidR="006A75DA" w:rsidRPr="00DF6FF4" w:rsidRDefault="006A75DA" w:rsidP="006A75DA">
      <w:pPr>
        <w:pStyle w:val="RMSectionXXX"/>
      </w:pPr>
      <w:bookmarkStart w:id="60" w:name="_Toc132187812"/>
      <w:r w:rsidRPr="00BA6144">
        <w:t>4.2.3 Establishing fee allocation methods and billing procedures</w:t>
      </w:r>
      <w:bookmarkEnd w:id="60"/>
    </w:p>
    <w:p w14:paraId="48A420BA" w14:textId="64945E16" w:rsidR="006A75DA" w:rsidRDefault="006A75DA" w:rsidP="006A75DA">
      <w:pPr>
        <w:pStyle w:val="Paragraph"/>
      </w:pPr>
      <w:r>
        <w:t xml:space="preserve">This section of the proposed rule would establish the methods and procedures required for rule implementation regarding fee calculation, allocation, billing adjustments, and </w:t>
      </w:r>
      <w:r w:rsidR="00DC0361">
        <w:t xml:space="preserve">setting payment </w:t>
      </w:r>
      <w:r>
        <w:t>due date</w:t>
      </w:r>
      <w:r w:rsidR="00DC0361">
        <w:t>s.</w:t>
      </w:r>
      <w:r w:rsidDel="00DC0361">
        <w:t xml:space="preserve"> </w:t>
      </w:r>
      <w:r w:rsidR="00013757">
        <w:t>T</w:t>
      </w:r>
      <w:r w:rsidR="00DC0361">
        <w:t>he expected benefits would</w:t>
      </w:r>
      <w:r>
        <w:t xml:space="preserve"> </w:t>
      </w:r>
      <w:r w:rsidR="00013757">
        <w:t>be</w:t>
      </w:r>
      <w:r w:rsidDel="00DC0361">
        <w:t xml:space="preserve"> </w:t>
      </w:r>
      <w:r>
        <w:t xml:space="preserve">meeting the statutory requirement to fully fund program costs, and the </w:t>
      </w:r>
      <w:r w:rsidR="007628DF">
        <w:t xml:space="preserve">equitable </w:t>
      </w:r>
      <w:r w:rsidR="0029450F">
        <w:t>and transparent</w:t>
      </w:r>
      <w:r w:rsidR="007628DF">
        <w:t xml:space="preserve"> distribution of fees</w:t>
      </w:r>
      <w:r w:rsidR="005756D4">
        <w:t xml:space="preserve"> among producers</w:t>
      </w:r>
      <w:r w:rsidR="00EA52C7">
        <w:t xml:space="preserve"> based on the calculations required in the proposed rule</w:t>
      </w:r>
      <w:r>
        <w:t>.</w:t>
      </w:r>
    </w:p>
    <w:p w14:paraId="6756F934" w14:textId="448C58E7" w:rsidR="00BA6144" w:rsidRPr="00183824" w:rsidRDefault="005F6C76" w:rsidP="005F6C76">
      <w:pPr>
        <w:pStyle w:val="Paragraph"/>
      </w:pPr>
      <w:r>
        <w:t xml:space="preserve">Overall, the proposed rule </w:t>
      </w:r>
      <w:r w:rsidR="00F97DAF">
        <w:t xml:space="preserve">implements the statutorily required </w:t>
      </w:r>
      <w:r>
        <w:t xml:space="preserve">fee program that has </w:t>
      </w:r>
      <w:r w:rsidR="00FE35F4">
        <w:t>an</w:t>
      </w:r>
      <w:r>
        <w:t xml:space="preserve"> equitable distribution of fees, reflecting the </w:t>
      </w:r>
      <w:r w:rsidR="00F97DAF" w:rsidRPr="00004946">
        <w:t>projected</w:t>
      </w:r>
      <w:r w:rsidR="00F97DAF">
        <w:t xml:space="preserve"> </w:t>
      </w:r>
      <w:r>
        <w:t xml:space="preserve">workload </w:t>
      </w:r>
      <w:r w:rsidR="00F97DAF">
        <w:t xml:space="preserve">for </w:t>
      </w:r>
      <w:r w:rsidR="00D00981">
        <w:t xml:space="preserve">administration and </w:t>
      </w:r>
      <w:r w:rsidR="00F97DAF">
        <w:t>oversight of PCRC requirements</w:t>
      </w:r>
      <w:r>
        <w:t xml:space="preserve">. This means </w:t>
      </w:r>
      <w:r w:rsidR="00FE35F4">
        <w:t xml:space="preserve">producers would be less likely to underpay relative to their share of costs of </w:t>
      </w:r>
      <w:r w:rsidR="00F97DAF">
        <w:t>agency oversight of producer compliance</w:t>
      </w:r>
      <w:r w:rsidR="00FE35F4">
        <w:t>, while also being less likely to overpay and subsidize w</w:t>
      </w:r>
      <w:r w:rsidR="00FE35F4" w:rsidRPr="00183824">
        <w:t>ork associated with oversight workload necessary for other producers.</w:t>
      </w:r>
    </w:p>
    <w:p w14:paraId="164D250C" w14:textId="717F430A" w:rsidR="00084508" w:rsidRPr="008B50BC" w:rsidRDefault="009556F7" w:rsidP="005F6C76">
      <w:pPr>
        <w:pStyle w:val="Paragraph"/>
      </w:pPr>
      <w:r w:rsidRPr="00183824">
        <w:t xml:space="preserve">See </w:t>
      </w:r>
      <w:r w:rsidR="004F2984" w:rsidRPr="00183824">
        <w:t xml:space="preserve">tables </w:t>
      </w:r>
      <w:r w:rsidR="000E5BDE">
        <w:t>6 – 8 in Chapter 3 for det</w:t>
      </w:r>
      <w:r w:rsidR="004C5503">
        <w:t xml:space="preserve">ails on benefits (cost-savings) for producers that would otherwise likely pay more </w:t>
      </w:r>
      <w:r w:rsidR="00183824">
        <w:t>in fees than reflects their associated administrative and oversight workload.</w:t>
      </w:r>
    </w:p>
    <w:p w14:paraId="5B885C08" w14:textId="52E74941" w:rsidR="006A75DA" w:rsidRPr="0021162F" w:rsidRDefault="006A75DA" w:rsidP="006A75DA">
      <w:pPr>
        <w:pStyle w:val="RMSectionXXX"/>
      </w:pPr>
      <w:bookmarkStart w:id="61" w:name="_Toc132187813"/>
      <w:r w:rsidRPr="00BA6144">
        <w:t>4.2.4 Adding specific requirements for PCRC weight calculations</w:t>
      </w:r>
      <w:bookmarkEnd w:id="61"/>
    </w:p>
    <w:p w14:paraId="193F7E4B" w14:textId="3E7846CB" w:rsidR="006A75DA" w:rsidRDefault="006A75DA" w:rsidP="006A75DA">
      <w:pPr>
        <w:pStyle w:val="Paragraph"/>
      </w:pPr>
      <w:r>
        <w:t xml:space="preserve">This section of the proposed rule would establish standard options for PCRC </w:t>
      </w:r>
      <w:r w:rsidR="0086549F">
        <w:t xml:space="preserve">resin </w:t>
      </w:r>
      <w:r>
        <w:t xml:space="preserve">weight and percentage calculation for reporting. We do not expect these additional specifications to result in </w:t>
      </w:r>
      <w:r w:rsidR="00BA6144">
        <w:t>benefits aside from potential time saved,</w:t>
      </w:r>
      <w:r>
        <w:t xml:space="preserve"> as compared to the baseline, as:</w:t>
      </w:r>
    </w:p>
    <w:p w14:paraId="33DCBF7D" w14:textId="77777777" w:rsidR="006A75DA" w:rsidRDefault="006A75DA" w:rsidP="00897DFF">
      <w:pPr>
        <w:pStyle w:val="ListParagraph"/>
      </w:pPr>
      <w:r>
        <w:t>The statute requires the reporting itself, with the implicit expectation that it be accurate.</w:t>
      </w:r>
    </w:p>
    <w:p w14:paraId="36AAF9C0" w14:textId="79BACE73" w:rsidR="006A75DA" w:rsidRDefault="006A75DA" w:rsidP="00897DFF">
      <w:pPr>
        <w:pStyle w:val="ListParagraph"/>
      </w:pPr>
      <w:bookmarkStart w:id="62" w:name="_Hlk130811113"/>
      <w:r>
        <w:t xml:space="preserve">The proposed rule facilitates compliance by specifying data sources that meet accuracy requirements, but also allow producers to use alternative sources </w:t>
      </w:r>
      <w:r w:rsidR="006529BB">
        <w:t xml:space="preserve">if </w:t>
      </w:r>
      <w:r>
        <w:t>they are accurate.</w:t>
      </w:r>
    </w:p>
    <w:bookmarkEnd w:id="62"/>
    <w:p w14:paraId="583BFE56" w14:textId="77777777" w:rsidR="006A75DA" w:rsidRPr="008B50BC" w:rsidRDefault="006A75DA" w:rsidP="006A75DA">
      <w:pPr>
        <w:pStyle w:val="Paragraph"/>
      </w:pPr>
      <w:r>
        <w:t>We do not expect this section of the proposed rule to result in benefits beyond reducing potential time it might take under the baseline for producers and Ecology to align data and expectations (which would result in additional interactions and potentially delay verification of compliance or identification of issues with compliance).</w:t>
      </w:r>
    </w:p>
    <w:p w14:paraId="1098FCF1" w14:textId="1BB905A2" w:rsidR="006A75DA" w:rsidRPr="001B300B" w:rsidRDefault="006A75DA" w:rsidP="006A75DA">
      <w:pPr>
        <w:pStyle w:val="RMSectionXXX"/>
      </w:pPr>
      <w:bookmarkStart w:id="63" w:name="_Toc132187814"/>
      <w:r w:rsidRPr="002D606E">
        <w:lastRenderedPageBreak/>
        <w:t>4.2.5 Establishing requirements for temporary exclusion and adjustment requests</w:t>
      </w:r>
      <w:bookmarkEnd w:id="63"/>
    </w:p>
    <w:p w14:paraId="321FDAFD" w14:textId="23A7E950" w:rsidR="00F46D27" w:rsidRDefault="006A75DA" w:rsidP="006A75DA">
      <w:pPr>
        <w:pStyle w:val="Paragraph"/>
      </w:pPr>
      <w:r>
        <w:t>We expect this section of the proposed rule to result in benefits of better balance between the compliance requirements and economic conditions</w:t>
      </w:r>
      <w:r w:rsidR="00CF2778">
        <w:t xml:space="preserve"> or federal laws</w:t>
      </w:r>
      <w:r>
        <w:t xml:space="preserve"> that may limit the ability of producers to comply with the rule. </w:t>
      </w:r>
      <w:r w:rsidR="00E97D2D">
        <w:t>In the absence of temporary exclusions and adjustment</w:t>
      </w:r>
      <w:r w:rsidR="00B66326">
        <w:t>s</w:t>
      </w:r>
      <w:r w:rsidR="00E97D2D">
        <w:t>, d</w:t>
      </w:r>
      <w:r>
        <w:t xml:space="preserve">ifficulty or inability to comply </w:t>
      </w:r>
      <w:r w:rsidR="00A83732">
        <w:t>(</w:t>
      </w:r>
      <w:r w:rsidR="0031471E">
        <w:t xml:space="preserve">e.g., a </w:t>
      </w:r>
      <w:r w:rsidR="00A83732">
        <w:t>shortage of postconsumer recycled resin</w:t>
      </w:r>
      <w:r w:rsidR="00A83732">
        <w:rPr>
          <w:rStyle w:val="FootnoteReference"/>
        </w:rPr>
        <w:footnoteReference w:id="23"/>
      </w:r>
      <w:r w:rsidR="00A83732">
        <w:t xml:space="preserve">) </w:t>
      </w:r>
      <w:r>
        <w:t>could result in upward pressure on prices of affected</w:t>
      </w:r>
      <w:r w:rsidR="0031471E">
        <w:t xml:space="preserve"> consumer</w:t>
      </w:r>
      <w:r>
        <w:t xml:space="preserve"> goods</w:t>
      </w:r>
      <w:r w:rsidR="0031471E">
        <w:t>,</w:t>
      </w:r>
      <w:r>
        <w:t xml:space="preserve"> or in shortages of those goods.</w:t>
      </w:r>
      <w:r w:rsidR="00E97D2D">
        <w:t xml:space="preserve"> </w:t>
      </w:r>
      <w:r w:rsidR="007C1B1F">
        <w:t xml:space="preserve">In </w:t>
      </w:r>
      <w:r w:rsidR="0031471E">
        <w:t>the event</w:t>
      </w:r>
      <w:r w:rsidR="007C1B1F">
        <w:t xml:space="preserve"> of </w:t>
      </w:r>
      <w:r w:rsidR="0031471E">
        <w:t xml:space="preserve">a PCR resin </w:t>
      </w:r>
      <w:r w:rsidR="007C1B1F">
        <w:t xml:space="preserve">shortage, the price of </w:t>
      </w:r>
      <w:r w:rsidR="0031471E">
        <w:t xml:space="preserve">PCR </w:t>
      </w:r>
      <w:r w:rsidR="007C1B1F">
        <w:t xml:space="preserve">resin would </w:t>
      </w:r>
      <w:r w:rsidR="0031471E">
        <w:t>increase, thus putting upward pressure on overall packaging costs and the prices of consumer products.</w:t>
      </w:r>
      <w:r w:rsidR="007C1B1F">
        <w:t xml:space="preserve"> </w:t>
      </w:r>
      <w:r w:rsidR="00F227BA">
        <w:t>Also</w:t>
      </w:r>
      <w:r w:rsidR="00D40B8D">
        <w:t>,</w:t>
      </w:r>
      <w:r w:rsidR="00F227BA">
        <w:t xml:space="preserve"> </w:t>
      </w:r>
      <w:r w:rsidR="00DD1795">
        <w:t>producer</w:t>
      </w:r>
      <w:r w:rsidR="008339EF">
        <w:t>s</w:t>
      </w:r>
      <w:r w:rsidR="00DD1795">
        <w:t xml:space="preserve"> </w:t>
      </w:r>
      <w:r w:rsidR="009F3A67">
        <w:t xml:space="preserve">would </w:t>
      </w:r>
      <w:r w:rsidR="008339EF">
        <w:t xml:space="preserve">face incentives to </w:t>
      </w:r>
      <w:r w:rsidR="009F3A67">
        <w:t>r</w:t>
      </w:r>
      <w:r w:rsidR="00F227BA">
        <w:t>educe their production of PCRC products</w:t>
      </w:r>
      <w:r w:rsidR="00A60184">
        <w:t>, shift to non-plastic packaging,</w:t>
      </w:r>
      <w:r w:rsidR="00F227BA">
        <w:t xml:space="preserve"> </w:t>
      </w:r>
      <w:r w:rsidR="00161039">
        <w:t>or shift supply to other markets</w:t>
      </w:r>
      <w:r w:rsidR="008339EF">
        <w:t xml:space="preserve"> without PCRC requirements,</w:t>
      </w:r>
      <w:r w:rsidR="00161039">
        <w:t xml:space="preserve"> which would result </w:t>
      </w:r>
      <w:r w:rsidR="008339EF">
        <w:t xml:space="preserve">in upward pressure on consumer product prices </w:t>
      </w:r>
      <w:r w:rsidR="009F3A67">
        <w:t>in Washington</w:t>
      </w:r>
      <w:r w:rsidR="00161039">
        <w:t xml:space="preserve">. </w:t>
      </w:r>
      <w:r w:rsidR="005513C4">
        <w:t>In such conditions, the exclusion and adjustment</w:t>
      </w:r>
      <w:r w:rsidR="008339EF">
        <w:t xml:space="preserve"> elements of the proposed rule</w:t>
      </w:r>
      <w:r w:rsidR="005513C4">
        <w:t xml:space="preserve"> would help to avoid possible </w:t>
      </w:r>
      <w:r w:rsidR="008339EF">
        <w:t>price increases or reduced availability to consumers</w:t>
      </w:r>
      <w:r w:rsidR="005513C4">
        <w:t xml:space="preserve">. </w:t>
      </w:r>
    </w:p>
    <w:p w14:paraId="582C58E8" w14:textId="63BF0496" w:rsidR="006A75DA" w:rsidRDefault="006A0908" w:rsidP="006A75DA">
      <w:pPr>
        <w:pStyle w:val="Paragraph"/>
      </w:pPr>
      <w:r>
        <w:t>The</w:t>
      </w:r>
      <w:r w:rsidR="007628DF">
        <w:t xml:space="preserve"> temporary exclusion and adjustment request process creates flexibility and a</w:t>
      </w:r>
      <w:r>
        <w:t xml:space="preserve"> balance between compliance requirement</w:t>
      </w:r>
      <w:r w:rsidR="007628DF">
        <w:t>s</w:t>
      </w:r>
      <w:r>
        <w:t xml:space="preserve"> and the producer’</w:t>
      </w:r>
      <w:r w:rsidR="001827BC">
        <w:t>s</w:t>
      </w:r>
      <w:r>
        <w:t xml:space="preserve"> compliance ability</w:t>
      </w:r>
      <w:r w:rsidR="007628DF">
        <w:t xml:space="preserve">. </w:t>
      </w:r>
      <w:r w:rsidR="007623BF">
        <w:t>This flexibility would provide producers with leniency where their noncompliance is due to factors not under their control (available recycled resin), thereby alleviating the producer from the penalty provisions in the law.</w:t>
      </w:r>
      <w:r w:rsidR="00F95844">
        <w:t xml:space="preserve"> This provides </w:t>
      </w:r>
      <w:r w:rsidR="00514881">
        <w:t>some time</w:t>
      </w:r>
      <w:r w:rsidR="005C3080">
        <w:t xml:space="preserve"> </w:t>
      </w:r>
      <w:r w:rsidR="00F95844">
        <w:t xml:space="preserve">for impacted industries to develop compliance </w:t>
      </w:r>
      <w:r w:rsidR="005C3080">
        <w:t>ability to adjust with a</w:t>
      </w:r>
      <w:r w:rsidR="00F95844">
        <w:t xml:space="preserve"> </w:t>
      </w:r>
      <w:r w:rsidR="00F95844" w:rsidRPr="00F95844">
        <w:t xml:space="preserve">need to source more recycled content to meet the new requirements </w:t>
      </w:r>
      <w:r w:rsidR="005C3080">
        <w:t xml:space="preserve">which </w:t>
      </w:r>
      <w:r w:rsidR="00F95844" w:rsidRPr="00F95844">
        <w:t>may also incentivize investments in improved recycling technologies that reduce contamination, result in cleaner recycled feedstock, and restore confidence in the recycling system</w:t>
      </w:r>
      <w:r w:rsidR="00F95844">
        <w:t>.</w:t>
      </w:r>
    </w:p>
    <w:p w14:paraId="385B8E54" w14:textId="2AB55ABA" w:rsidR="006A75DA" w:rsidRPr="001B300B" w:rsidRDefault="006A75DA" w:rsidP="006A75DA">
      <w:pPr>
        <w:pStyle w:val="RMSectionXXX"/>
      </w:pPr>
      <w:bookmarkStart w:id="64" w:name="_Toc132187815"/>
      <w:r w:rsidRPr="00092A2E">
        <w:t xml:space="preserve">4.2.6 </w:t>
      </w:r>
      <w:r w:rsidR="00AA2BD1" w:rsidRPr="00AA2BD1">
        <w:t>Limit timing for providing necessary audit documentation.</w:t>
      </w:r>
      <w:bookmarkEnd w:id="64"/>
    </w:p>
    <w:p w14:paraId="64C32AE4" w14:textId="0C46889C" w:rsidR="00092A2E" w:rsidRDefault="006A75DA" w:rsidP="006A75DA">
      <w:pPr>
        <w:pStyle w:val="Paragraph"/>
      </w:pPr>
      <w:r>
        <w:t xml:space="preserve">This section of the proposed rule would facilitate producers </w:t>
      </w:r>
      <w:r w:rsidR="004044C7">
        <w:t>providing</w:t>
      </w:r>
      <w:r>
        <w:t xml:space="preserve"> document</w:t>
      </w:r>
      <w:r w:rsidR="008E1BD3">
        <w:t>ation</w:t>
      </w:r>
      <w:r>
        <w:t xml:space="preserve"> </w:t>
      </w:r>
      <w:r w:rsidR="008E1BD3">
        <w:t>in a timely manner and avoiding potential delays</w:t>
      </w:r>
      <w:r>
        <w:t xml:space="preserve">. </w:t>
      </w:r>
      <w:r w:rsidR="00092A2E">
        <w:t>This improved efficiency (note that under the baseline law or under the proposed rule, all necessary documents would eventually be provided, though at different times) would reduce time costs associated with audits, and reduce potential resulting:</w:t>
      </w:r>
    </w:p>
    <w:p w14:paraId="3F82B23A" w14:textId="77777777" w:rsidR="00092A2E" w:rsidRDefault="00092A2E" w:rsidP="00897DFF">
      <w:pPr>
        <w:pStyle w:val="ListParagraph"/>
      </w:pPr>
      <w:r>
        <w:t>Delays to verification of compliance.</w:t>
      </w:r>
    </w:p>
    <w:p w14:paraId="2B700263" w14:textId="3934D31A" w:rsidR="006A75DA" w:rsidRDefault="00092A2E" w:rsidP="00897DFF">
      <w:pPr>
        <w:pStyle w:val="ListParagraph"/>
      </w:pPr>
      <w:r>
        <w:t xml:space="preserve">Impacts on business planning, marketing, or sales. </w:t>
      </w:r>
    </w:p>
    <w:p w14:paraId="03184997" w14:textId="2443B99C" w:rsidR="006A75DA" w:rsidRPr="001B300B" w:rsidRDefault="006A75DA" w:rsidP="006A75DA">
      <w:pPr>
        <w:pStyle w:val="RMSectionXXX"/>
      </w:pPr>
      <w:bookmarkStart w:id="65" w:name="_Toc132187816"/>
      <w:r w:rsidRPr="00412FF7">
        <w:t>4.2.7 Specifying procedures for warnings and penalties for noncompliance</w:t>
      </w:r>
      <w:bookmarkEnd w:id="65"/>
    </w:p>
    <w:p w14:paraId="55CBCD1E" w14:textId="302EA025" w:rsidR="006A75DA" w:rsidRDefault="006A75DA" w:rsidP="006A75DA">
      <w:pPr>
        <w:pStyle w:val="Paragraph"/>
        <w:sectPr w:rsidR="006A75DA">
          <w:pgSz w:w="12240" w:h="15840"/>
          <w:pgMar w:top="1440" w:right="1440" w:bottom="1440" w:left="1440" w:header="720" w:footer="720" w:gutter="0"/>
          <w:cols w:space="720"/>
        </w:sectPr>
      </w:pPr>
      <w:r>
        <w:t xml:space="preserve">We expect this section of the proposed rule to result in benefits of clear expectations of how many notices Ecology will send before taking further enforcement action. As a result, it potentially </w:t>
      </w:r>
      <w:r w:rsidR="00D96196">
        <w:t>results in</w:t>
      </w:r>
      <w:r>
        <w:t xml:space="preserve"> benefits of </w:t>
      </w:r>
      <w:r w:rsidR="00ED0BD8">
        <w:t xml:space="preserve">clearer communication and </w:t>
      </w:r>
      <w:r>
        <w:t>earlier compliance</w:t>
      </w:r>
      <w:r w:rsidR="00D96196">
        <w:t xml:space="preserve"> than under the baseline requirement for at least two warnings</w:t>
      </w:r>
      <w:r>
        <w:t>.</w:t>
      </w:r>
      <w:r w:rsidR="00D96196">
        <w:t xml:space="preserve"> </w:t>
      </w:r>
      <w:r w:rsidR="00412FF7">
        <w:t xml:space="preserve">Earlier compliance would improve the ability to meet the goals of the authorizing statute in </w:t>
      </w:r>
      <w:r w:rsidR="00B61B50">
        <w:t xml:space="preserve">increasing the use of recycled </w:t>
      </w:r>
      <w:r w:rsidR="00412FF7">
        <w:t xml:space="preserve">plastics in the </w:t>
      </w:r>
      <w:r w:rsidR="00B61B50">
        <w:t xml:space="preserve">supply </w:t>
      </w:r>
      <w:r w:rsidR="00B61B50">
        <w:lastRenderedPageBreak/>
        <w:t>chain</w:t>
      </w:r>
      <w:r w:rsidR="00412FF7">
        <w:t xml:space="preserve">, </w:t>
      </w:r>
      <w:r w:rsidR="00B61B50">
        <w:t>creating demand for recycled plastic resin</w:t>
      </w:r>
      <w:r w:rsidR="00412FF7">
        <w:t xml:space="preserve">, and supporting a circular plastics economy. In cases where external or market factors affect ability to comply, producers could also benefit from earlier identification of circumstances </w:t>
      </w:r>
      <w:r w:rsidR="00AE5542">
        <w:t>(first notice of noncompliance)</w:t>
      </w:r>
      <w:r w:rsidR="00412FF7">
        <w:t xml:space="preserve"> for which an exclusion or adjustment request could be appropriate</w:t>
      </w:r>
      <w:r>
        <w:t xml:space="preserve">. </w:t>
      </w:r>
    </w:p>
    <w:p w14:paraId="321710CE" w14:textId="1EA1A2D2" w:rsidR="00087615" w:rsidRDefault="00087615" w:rsidP="008B4521">
      <w:pPr>
        <w:pStyle w:val="RMChaptertitle"/>
      </w:pPr>
      <w:bookmarkStart w:id="66" w:name="_Toc132187817"/>
      <w:r>
        <w:lastRenderedPageBreak/>
        <w:t>Chapter 5: Cost-Benefit Comparison and Conclusions</w:t>
      </w:r>
      <w:bookmarkEnd w:id="66"/>
    </w:p>
    <w:p w14:paraId="39EC74F8" w14:textId="4338BD90" w:rsidR="00087615" w:rsidRDefault="00087615" w:rsidP="00257276">
      <w:pPr>
        <w:pStyle w:val="RMHeading3"/>
      </w:pPr>
      <w:r>
        <w:t xml:space="preserve">5.1 Summary of costs and benefits of the proposed rule </w:t>
      </w:r>
    </w:p>
    <w:p w14:paraId="3F502888" w14:textId="08EF0E08" w:rsidR="00087615" w:rsidRPr="00A0795D" w:rsidRDefault="00004946" w:rsidP="003B1C00">
      <w:pPr>
        <w:pStyle w:val="Paragraph"/>
        <w:rPr>
          <w:b/>
          <w:bCs/>
          <w:sz w:val="28"/>
          <w:szCs w:val="28"/>
        </w:rPr>
      </w:pPr>
      <w:r w:rsidRPr="00A0795D">
        <w:rPr>
          <w:b/>
          <w:bCs/>
          <w:sz w:val="28"/>
          <w:szCs w:val="28"/>
        </w:rPr>
        <w:t>Costs</w:t>
      </w:r>
    </w:p>
    <w:p w14:paraId="1687EC98" w14:textId="77777777" w:rsidR="00C84E71" w:rsidRDefault="00C84E71" w:rsidP="00C84E71">
      <w:pPr>
        <w:pStyle w:val="Caption"/>
        <w:rPr>
          <w:b/>
          <w:bCs/>
        </w:rPr>
      </w:pPr>
      <w:bookmarkStart w:id="67" w:name="_Toc133303733"/>
      <w:r w:rsidRPr="00320A63">
        <w:t xml:space="preserve">Table </w:t>
      </w:r>
      <w:fldSimple w:instr=" SEQ Table \* ARABIC ">
        <w:r w:rsidRPr="00320A63">
          <w:rPr>
            <w:noProof/>
          </w:rPr>
          <w:t>1</w:t>
        </w:r>
      </w:fldSimple>
      <w:r w:rsidRPr="00320A63">
        <w:t>. Cost summary.</w:t>
      </w:r>
      <w:bookmarkEnd w:id="67"/>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5"/>
        <w:gridCol w:w="2160"/>
        <w:gridCol w:w="1985"/>
        <w:gridCol w:w="2510"/>
      </w:tblGrid>
      <w:tr w:rsidR="00C84E71" w:rsidRPr="003C55B6" w14:paraId="5613FEA6" w14:textId="77777777" w:rsidTr="003C55B6">
        <w:trPr>
          <w:cantSplit/>
          <w:tblHeader/>
        </w:trPr>
        <w:tc>
          <w:tcPr>
            <w:tcW w:w="2695" w:type="dxa"/>
          </w:tcPr>
          <w:p w14:paraId="778C44DA" w14:textId="77777777" w:rsidR="00C84E71" w:rsidRPr="003C55B6" w:rsidRDefault="00C84E71" w:rsidP="003933BF">
            <w:pPr>
              <w:pStyle w:val="Tablecell"/>
              <w:jc w:val="center"/>
            </w:pPr>
            <w:r w:rsidRPr="003C55B6">
              <w:t>Type of cost</w:t>
            </w:r>
          </w:p>
        </w:tc>
        <w:tc>
          <w:tcPr>
            <w:tcW w:w="2160" w:type="dxa"/>
          </w:tcPr>
          <w:p w14:paraId="5B3A63E4" w14:textId="77777777" w:rsidR="00C84E71" w:rsidRPr="003C55B6" w:rsidRDefault="00C84E71" w:rsidP="003933BF">
            <w:pPr>
              <w:pStyle w:val="Tablecell"/>
              <w:jc w:val="center"/>
            </w:pPr>
            <w:r w:rsidRPr="003C55B6">
              <w:t>Range of estimated total annual costs</w:t>
            </w:r>
          </w:p>
        </w:tc>
        <w:tc>
          <w:tcPr>
            <w:tcW w:w="1985" w:type="dxa"/>
          </w:tcPr>
          <w:p w14:paraId="6A17160A" w14:textId="77777777" w:rsidR="00C84E71" w:rsidRPr="003C55B6" w:rsidRDefault="00C84E71" w:rsidP="003933BF">
            <w:pPr>
              <w:pStyle w:val="Tablecell"/>
              <w:jc w:val="center"/>
            </w:pPr>
            <w:r w:rsidRPr="003C55B6">
              <w:t>Average annual cost per producer</w:t>
            </w:r>
          </w:p>
        </w:tc>
        <w:tc>
          <w:tcPr>
            <w:tcW w:w="2510" w:type="dxa"/>
          </w:tcPr>
          <w:p w14:paraId="12B57346" w14:textId="77777777" w:rsidR="00C84E71" w:rsidRPr="003C55B6" w:rsidRDefault="00C84E71" w:rsidP="003933BF">
            <w:pPr>
              <w:pStyle w:val="Tablecell"/>
              <w:jc w:val="center"/>
            </w:pPr>
            <w:r w:rsidRPr="003C55B6">
              <w:t>Range of estimated cost over 20 years in present value</w:t>
            </w:r>
          </w:p>
        </w:tc>
      </w:tr>
      <w:tr w:rsidR="00C84E71" w:rsidRPr="003C55B6" w14:paraId="13901C2F" w14:textId="77777777" w:rsidTr="003C55B6">
        <w:trPr>
          <w:cantSplit/>
        </w:trPr>
        <w:tc>
          <w:tcPr>
            <w:tcW w:w="2695" w:type="dxa"/>
          </w:tcPr>
          <w:p w14:paraId="581D0550" w14:textId="77777777" w:rsidR="00C84E71" w:rsidRPr="003C55B6" w:rsidRDefault="00C84E71" w:rsidP="003933BF">
            <w:pPr>
              <w:pStyle w:val="Tablecell"/>
            </w:pPr>
            <w:r w:rsidRPr="003C55B6">
              <w:t>Registration and reporting</w:t>
            </w:r>
          </w:p>
        </w:tc>
        <w:tc>
          <w:tcPr>
            <w:tcW w:w="2160" w:type="dxa"/>
          </w:tcPr>
          <w:p w14:paraId="6C61B430" w14:textId="77777777" w:rsidR="00C84E71" w:rsidRPr="003C55B6" w:rsidRDefault="00C84E71" w:rsidP="003933BF">
            <w:pPr>
              <w:pStyle w:val="Tablecell"/>
              <w:jc w:val="center"/>
              <w:rPr>
                <w:b/>
                <w:bCs/>
              </w:rPr>
            </w:pPr>
            <w:r w:rsidRPr="003C55B6">
              <w:rPr>
                <w:b/>
                <w:bCs/>
              </w:rPr>
              <w:t>$14,823 – $31,115</w:t>
            </w:r>
          </w:p>
        </w:tc>
        <w:tc>
          <w:tcPr>
            <w:tcW w:w="1985" w:type="dxa"/>
          </w:tcPr>
          <w:p w14:paraId="7B4A8561" w14:textId="77777777" w:rsidR="00C84E71" w:rsidRPr="003C55B6" w:rsidRDefault="00C84E71" w:rsidP="003933BF">
            <w:pPr>
              <w:pStyle w:val="Tablecell"/>
              <w:jc w:val="center"/>
              <w:rPr>
                <w:b/>
                <w:bCs/>
              </w:rPr>
            </w:pPr>
            <w:r w:rsidRPr="003C55B6">
              <w:rPr>
                <w:b/>
                <w:bCs/>
              </w:rPr>
              <w:t>$123</w:t>
            </w:r>
          </w:p>
        </w:tc>
        <w:tc>
          <w:tcPr>
            <w:tcW w:w="2510" w:type="dxa"/>
          </w:tcPr>
          <w:p w14:paraId="74EBC276" w14:textId="77777777" w:rsidR="00C84E71" w:rsidRPr="003C55B6" w:rsidRDefault="00C84E71" w:rsidP="003933BF">
            <w:pPr>
              <w:pStyle w:val="Tablecell"/>
              <w:jc w:val="center"/>
              <w:rPr>
                <w:b/>
                <w:bCs/>
              </w:rPr>
            </w:pPr>
            <w:r w:rsidRPr="003C55B6">
              <w:rPr>
                <w:b/>
                <w:bCs/>
              </w:rPr>
              <w:t>$272,873 – $572,808</w:t>
            </w:r>
          </w:p>
        </w:tc>
      </w:tr>
      <w:tr w:rsidR="00C84E71" w:rsidRPr="003C55B6" w14:paraId="36231621" w14:textId="77777777" w:rsidTr="003C55B6">
        <w:trPr>
          <w:cantSplit/>
        </w:trPr>
        <w:tc>
          <w:tcPr>
            <w:tcW w:w="2695" w:type="dxa"/>
          </w:tcPr>
          <w:p w14:paraId="1A95FF88" w14:textId="77777777" w:rsidR="00C84E71" w:rsidRPr="003C55B6" w:rsidRDefault="00C84E71" w:rsidP="003933BF">
            <w:pPr>
              <w:pStyle w:val="Tablecell"/>
            </w:pPr>
            <w:r w:rsidRPr="003C55B6">
              <w:t>De minimis notifications</w:t>
            </w:r>
          </w:p>
        </w:tc>
        <w:tc>
          <w:tcPr>
            <w:tcW w:w="2160" w:type="dxa"/>
          </w:tcPr>
          <w:p w14:paraId="0778D0B0" w14:textId="77777777" w:rsidR="00C84E71" w:rsidRPr="003C55B6" w:rsidRDefault="00C84E71" w:rsidP="003933BF">
            <w:pPr>
              <w:pStyle w:val="Tablecell"/>
              <w:jc w:val="center"/>
              <w:rPr>
                <w:b/>
                <w:bCs/>
              </w:rPr>
            </w:pPr>
            <w:r w:rsidRPr="003C55B6">
              <w:rPr>
                <w:b/>
                <w:bCs/>
              </w:rPr>
              <w:t>$5,391 – $11,302</w:t>
            </w:r>
          </w:p>
        </w:tc>
        <w:tc>
          <w:tcPr>
            <w:tcW w:w="1985" w:type="dxa"/>
          </w:tcPr>
          <w:p w14:paraId="40EA9FF8" w14:textId="77777777" w:rsidR="00C84E71" w:rsidRPr="003C55B6" w:rsidRDefault="00C84E71" w:rsidP="003933BF">
            <w:pPr>
              <w:pStyle w:val="Tablecell"/>
              <w:jc w:val="center"/>
              <w:rPr>
                <w:b/>
                <w:bCs/>
              </w:rPr>
            </w:pPr>
            <w:r w:rsidRPr="003C55B6">
              <w:rPr>
                <w:b/>
                <w:bCs/>
              </w:rPr>
              <w:t>$31</w:t>
            </w:r>
          </w:p>
        </w:tc>
        <w:tc>
          <w:tcPr>
            <w:tcW w:w="2510" w:type="dxa"/>
          </w:tcPr>
          <w:p w14:paraId="0407B122" w14:textId="77777777" w:rsidR="00C84E71" w:rsidRPr="003C55B6" w:rsidRDefault="00C84E71" w:rsidP="003933BF">
            <w:pPr>
              <w:pStyle w:val="Tablecell"/>
              <w:jc w:val="center"/>
              <w:rPr>
                <w:b/>
                <w:bCs/>
              </w:rPr>
            </w:pPr>
            <w:r w:rsidRPr="003C55B6">
              <w:rPr>
                <w:b/>
                <w:bCs/>
              </w:rPr>
              <w:t>$99,243 – $208,072</w:t>
            </w:r>
          </w:p>
        </w:tc>
      </w:tr>
      <w:tr w:rsidR="00C84E71" w:rsidRPr="003C55B6" w14:paraId="75E728EE" w14:textId="77777777" w:rsidTr="003C55B6">
        <w:trPr>
          <w:cantSplit/>
        </w:trPr>
        <w:tc>
          <w:tcPr>
            <w:tcW w:w="2695" w:type="dxa"/>
          </w:tcPr>
          <w:p w14:paraId="7B14D357" w14:textId="77777777" w:rsidR="00C84E71" w:rsidRPr="003C55B6" w:rsidRDefault="00C84E71" w:rsidP="003933BF">
            <w:pPr>
              <w:pStyle w:val="Tablecell"/>
            </w:pPr>
            <w:r w:rsidRPr="003C55B6">
              <w:t>Fees</w:t>
            </w:r>
          </w:p>
        </w:tc>
        <w:tc>
          <w:tcPr>
            <w:tcW w:w="2160" w:type="dxa"/>
          </w:tcPr>
          <w:p w14:paraId="68FCAB43" w14:textId="77777777" w:rsidR="00C84E71" w:rsidRPr="003C55B6" w:rsidRDefault="00C84E71" w:rsidP="003933BF">
            <w:pPr>
              <w:pStyle w:val="Tablecell"/>
              <w:jc w:val="center"/>
              <w:rPr>
                <w:b/>
                <w:bCs/>
                <w:highlight w:val="green"/>
              </w:rPr>
            </w:pPr>
            <w:r w:rsidRPr="003C55B6">
              <w:rPr>
                <w:b/>
                <w:bCs/>
              </w:rPr>
              <w:t>Total fees the same as baseline ($578,000 – $664,944) allocated based on resin weight rather than equally</w:t>
            </w:r>
          </w:p>
        </w:tc>
        <w:tc>
          <w:tcPr>
            <w:tcW w:w="1985" w:type="dxa"/>
          </w:tcPr>
          <w:p w14:paraId="40431084" w14:textId="77777777" w:rsidR="00C84E71" w:rsidRPr="003C55B6" w:rsidRDefault="00C84E71" w:rsidP="003933BF">
            <w:pPr>
              <w:pStyle w:val="Tablecell"/>
              <w:jc w:val="center"/>
              <w:rPr>
                <w:b/>
                <w:bCs/>
              </w:rPr>
            </w:pPr>
            <w:r w:rsidRPr="003C55B6">
              <w:rPr>
                <w:b/>
                <w:bCs/>
              </w:rPr>
              <w:t>-$5,956 (cost-savings for smallest producers)</w:t>
            </w:r>
          </w:p>
          <w:p w14:paraId="67DD765C" w14:textId="77777777" w:rsidR="00C84E71" w:rsidRPr="003C55B6" w:rsidRDefault="00C84E71" w:rsidP="003933BF">
            <w:pPr>
              <w:pStyle w:val="Tablecell"/>
              <w:jc w:val="center"/>
              <w:rPr>
                <w:b/>
                <w:bCs/>
              </w:rPr>
            </w:pPr>
            <w:r w:rsidRPr="003C55B6">
              <w:rPr>
                <w:b/>
                <w:bCs/>
              </w:rPr>
              <w:t>–</w:t>
            </w:r>
          </w:p>
          <w:p w14:paraId="3612A288" w14:textId="77777777" w:rsidR="00C84E71" w:rsidRPr="003C55B6" w:rsidRDefault="00C84E71" w:rsidP="003933BF">
            <w:pPr>
              <w:pStyle w:val="Tablecell"/>
              <w:jc w:val="center"/>
              <w:rPr>
                <w:b/>
                <w:bCs/>
                <w:highlight w:val="green"/>
              </w:rPr>
            </w:pPr>
            <w:r w:rsidRPr="003C55B6">
              <w:rPr>
                <w:b/>
                <w:bCs/>
              </w:rPr>
              <w:t>$74,200 (cost increase for the largest producers)</w:t>
            </w:r>
          </w:p>
        </w:tc>
        <w:tc>
          <w:tcPr>
            <w:tcW w:w="2510" w:type="dxa"/>
          </w:tcPr>
          <w:p w14:paraId="03F1FF98" w14:textId="77777777" w:rsidR="00C84E71" w:rsidRPr="003C55B6" w:rsidRDefault="00C84E71" w:rsidP="003933BF">
            <w:pPr>
              <w:pStyle w:val="Tablecell"/>
              <w:jc w:val="center"/>
              <w:rPr>
                <w:b/>
                <w:bCs/>
              </w:rPr>
            </w:pPr>
            <w:r w:rsidRPr="003C55B6">
              <w:rPr>
                <w:b/>
                <w:bCs/>
              </w:rPr>
              <w:t>Total present value the same as baseline ($11.9 million) allocated based on resin weight rather than equally divided</w:t>
            </w:r>
          </w:p>
        </w:tc>
      </w:tr>
      <w:tr w:rsidR="00C84E71" w:rsidRPr="003C55B6" w14:paraId="1C8552DE" w14:textId="77777777" w:rsidTr="003C55B6">
        <w:trPr>
          <w:cantSplit/>
          <w:trHeight w:val="647"/>
        </w:trPr>
        <w:tc>
          <w:tcPr>
            <w:tcW w:w="2695" w:type="dxa"/>
          </w:tcPr>
          <w:p w14:paraId="401A33F0" w14:textId="77777777" w:rsidR="00C84E71" w:rsidRPr="003C55B6" w:rsidRDefault="00C84E71" w:rsidP="003933BF">
            <w:pPr>
              <w:pStyle w:val="Tablecell"/>
            </w:pPr>
            <w:r w:rsidRPr="003C55B6">
              <w:t>75% of producers request for exclusion.</w:t>
            </w:r>
          </w:p>
        </w:tc>
        <w:tc>
          <w:tcPr>
            <w:tcW w:w="2160" w:type="dxa"/>
          </w:tcPr>
          <w:p w14:paraId="4847533B" w14:textId="77777777" w:rsidR="00C84E71" w:rsidRPr="003C55B6" w:rsidRDefault="00C84E71" w:rsidP="003933BF">
            <w:pPr>
              <w:pStyle w:val="Tablecell"/>
              <w:jc w:val="center"/>
              <w:rPr>
                <w:b/>
                <w:bCs/>
              </w:rPr>
            </w:pPr>
            <w:r w:rsidRPr="003C55B6">
              <w:rPr>
                <w:b/>
                <w:bCs/>
              </w:rPr>
              <w:t>$22,019 – $45,838</w:t>
            </w:r>
          </w:p>
          <w:p w14:paraId="7350DE7D" w14:textId="77777777" w:rsidR="00C84E71" w:rsidRPr="003C55B6" w:rsidRDefault="00C84E71" w:rsidP="003933BF">
            <w:pPr>
              <w:pStyle w:val="Tablecell"/>
              <w:jc w:val="center"/>
              <w:rPr>
                <w:b/>
                <w:bCs/>
              </w:rPr>
            </w:pPr>
          </w:p>
        </w:tc>
        <w:tc>
          <w:tcPr>
            <w:tcW w:w="1985" w:type="dxa"/>
          </w:tcPr>
          <w:p w14:paraId="00745C5F" w14:textId="77777777" w:rsidR="00C84E71" w:rsidRPr="003C55B6" w:rsidRDefault="00C84E71" w:rsidP="003933BF">
            <w:pPr>
              <w:pStyle w:val="Tablecell"/>
              <w:jc w:val="center"/>
              <w:rPr>
                <w:rStyle w:val="ui-provider"/>
                <w:b/>
                <w:bCs/>
              </w:rPr>
            </w:pPr>
            <w:r w:rsidRPr="003C55B6">
              <w:rPr>
                <w:rStyle w:val="ui-provider"/>
                <w:b/>
                <w:bCs/>
              </w:rPr>
              <w:t>$245</w:t>
            </w:r>
          </w:p>
        </w:tc>
        <w:tc>
          <w:tcPr>
            <w:tcW w:w="2510" w:type="dxa"/>
          </w:tcPr>
          <w:p w14:paraId="0B085ED7" w14:textId="77777777" w:rsidR="00C84E71" w:rsidRPr="003C55B6" w:rsidRDefault="00C84E71" w:rsidP="003933BF">
            <w:pPr>
              <w:pStyle w:val="Tablecell"/>
              <w:jc w:val="center"/>
              <w:rPr>
                <w:b/>
                <w:bCs/>
              </w:rPr>
            </w:pPr>
            <w:r w:rsidRPr="003C55B6">
              <w:rPr>
                <w:rStyle w:val="ui-provider"/>
                <w:b/>
                <w:bCs/>
              </w:rPr>
              <w:t>$378,232</w:t>
            </w:r>
            <w:r w:rsidRPr="003C55B6">
              <w:rPr>
                <w:b/>
                <w:bCs/>
              </w:rPr>
              <w:t xml:space="preserve"> – </w:t>
            </w:r>
            <w:r w:rsidRPr="003C55B6">
              <w:rPr>
                <w:rStyle w:val="ui-provider"/>
                <w:b/>
                <w:bCs/>
              </w:rPr>
              <w:t>$778,663</w:t>
            </w:r>
          </w:p>
          <w:p w14:paraId="5B2B05AB" w14:textId="77777777" w:rsidR="00C84E71" w:rsidRPr="003C55B6" w:rsidRDefault="00C84E71" w:rsidP="003933BF">
            <w:pPr>
              <w:pStyle w:val="Tablecell"/>
              <w:jc w:val="center"/>
              <w:rPr>
                <w:b/>
                <w:bCs/>
              </w:rPr>
            </w:pPr>
          </w:p>
        </w:tc>
      </w:tr>
      <w:tr w:rsidR="00C84E71" w:rsidRPr="003C55B6" w14:paraId="6A78010F" w14:textId="77777777" w:rsidTr="003C55B6">
        <w:trPr>
          <w:cantSplit/>
        </w:trPr>
        <w:tc>
          <w:tcPr>
            <w:tcW w:w="2695" w:type="dxa"/>
          </w:tcPr>
          <w:p w14:paraId="41C8D36F" w14:textId="77777777" w:rsidR="00C84E71" w:rsidRPr="003C55B6" w:rsidRDefault="00C84E71" w:rsidP="003933BF">
            <w:pPr>
              <w:pStyle w:val="Tablecell"/>
            </w:pPr>
            <w:r w:rsidRPr="003C55B6">
              <w:t>50% of producers request for exclusion.</w:t>
            </w:r>
          </w:p>
        </w:tc>
        <w:tc>
          <w:tcPr>
            <w:tcW w:w="2160" w:type="dxa"/>
          </w:tcPr>
          <w:p w14:paraId="5064196C" w14:textId="77777777" w:rsidR="00C84E71" w:rsidRPr="003C55B6" w:rsidRDefault="00C84E71" w:rsidP="003933BF">
            <w:pPr>
              <w:pStyle w:val="Tablecell"/>
              <w:jc w:val="center"/>
              <w:rPr>
                <w:b/>
                <w:bCs/>
              </w:rPr>
            </w:pPr>
            <w:r w:rsidRPr="003C55B6">
              <w:rPr>
                <w:b/>
                <w:bCs/>
              </w:rPr>
              <w:t>$15,000 – $30,644</w:t>
            </w:r>
          </w:p>
        </w:tc>
        <w:tc>
          <w:tcPr>
            <w:tcW w:w="1985" w:type="dxa"/>
          </w:tcPr>
          <w:p w14:paraId="2B3024BE" w14:textId="77777777" w:rsidR="00C84E71" w:rsidRPr="003C55B6" w:rsidRDefault="00C84E71" w:rsidP="003933BF">
            <w:pPr>
              <w:pStyle w:val="Tablecell"/>
              <w:jc w:val="center"/>
              <w:rPr>
                <w:b/>
                <w:bCs/>
              </w:rPr>
            </w:pPr>
            <w:r w:rsidRPr="003C55B6">
              <w:rPr>
                <w:b/>
                <w:bCs/>
              </w:rPr>
              <w:t>$245</w:t>
            </w:r>
          </w:p>
        </w:tc>
        <w:tc>
          <w:tcPr>
            <w:tcW w:w="2510" w:type="dxa"/>
          </w:tcPr>
          <w:p w14:paraId="70FE6510" w14:textId="77777777" w:rsidR="00C84E71" w:rsidRPr="003C55B6" w:rsidRDefault="00C84E71" w:rsidP="003933BF">
            <w:pPr>
              <w:pStyle w:val="Tablecell"/>
              <w:jc w:val="center"/>
              <w:rPr>
                <w:b/>
                <w:bCs/>
              </w:rPr>
            </w:pPr>
            <w:r w:rsidRPr="003C55B6">
              <w:rPr>
                <w:b/>
                <w:bCs/>
              </w:rPr>
              <w:t>$252,154 – $519,109</w:t>
            </w:r>
          </w:p>
        </w:tc>
      </w:tr>
      <w:tr w:rsidR="00C84E71" w:rsidRPr="003C55B6" w14:paraId="785F4EDB" w14:textId="77777777" w:rsidTr="003C55B6">
        <w:trPr>
          <w:cantSplit/>
        </w:trPr>
        <w:tc>
          <w:tcPr>
            <w:tcW w:w="2695" w:type="dxa"/>
          </w:tcPr>
          <w:p w14:paraId="18CD8C2C" w14:textId="77777777" w:rsidR="00C84E71" w:rsidRPr="003C55B6" w:rsidRDefault="00C84E71" w:rsidP="003933BF">
            <w:pPr>
              <w:pStyle w:val="Tablecell"/>
            </w:pPr>
            <w:r w:rsidRPr="003C55B6">
              <w:t>25% of producers request for exclusion.</w:t>
            </w:r>
          </w:p>
        </w:tc>
        <w:tc>
          <w:tcPr>
            <w:tcW w:w="2160" w:type="dxa"/>
          </w:tcPr>
          <w:p w14:paraId="208720CB" w14:textId="77777777" w:rsidR="00C84E71" w:rsidRPr="003C55B6" w:rsidRDefault="00C84E71" w:rsidP="003933BF">
            <w:pPr>
              <w:pStyle w:val="Tablecell"/>
              <w:jc w:val="center"/>
              <w:rPr>
                <w:b/>
                <w:bCs/>
              </w:rPr>
            </w:pPr>
            <w:r w:rsidRPr="003C55B6">
              <w:rPr>
                <w:b/>
                <w:bCs/>
              </w:rPr>
              <w:t>$7,260 – $15,200</w:t>
            </w:r>
          </w:p>
        </w:tc>
        <w:tc>
          <w:tcPr>
            <w:tcW w:w="1985" w:type="dxa"/>
          </w:tcPr>
          <w:p w14:paraId="7B01D70C" w14:textId="77777777" w:rsidR="00C84E71" w:rsidRPr="003C55B6" w:rsidRDefault="00C84E71" w:rsidP="003933BF">
            <w:pPr>
              <w:pStyle w:val="Tablecell"/>
              <w:jc w:val="center"/>
              <w:rPr>
                <w:b/>
                <w:bCs/>
              </w:rPr>
            </w:pPr>
            <w:r w:rsidRPr="003C55B6">
              <w:rPr>
                <w:b/>
                <w:bCs/>
              </w:rPr>
              <w:t>$245</w:t>
            </w:r>
          </w:p>
        </w:tc>
        <w:tc>
          <w:tcPr>
            <w:tcW w:w="2510" w:type="dxa"/>
          </w:tcPr>
          <w:p w14:paraId="10A3D642" w14:textId="77777777" w:rsidR="00C84E71" w:rsidRPr="003C55B6" w:rsidRDefault="00C84E71" w:rsidP="003933BF">
            <w:pPr>
              <w:pStyle w:val="Tablecell"/>
              <w:jc w:val="center"/>
              <w:rPr>
                <w:b/>
                <w:bCs/>
              </w:rPr>
            </w:pPr>
            <w:r w:rsidRPr="003C55B6">
              <w:rPr>
                <w:b/>
                <w:bCs/>
              </w:rPr>
              <w:t>$126,077 – $214,998</w:t>
            </w:r>
          </w:p>
        </w:tc>
      </w:tr>
      <w:tr w:rsidR="00C84E71" w:rsidRPr="003C55B6" w14:paraId="6AEF4BEC" w14:textId="77777777" w:rsidTr="003C55B6">
        <w:trPr>
          <w:cantSplit/>
        </w:trPr>
        <w:tc>
          <w:tcPr>
            <w:tcW w:w="2695" w:type="dxa"/>
          </w:tcPr>
          <w:p w14:paraId="7B612031" w14:textId="77777777" w:rsidR="00C84E71" w:rsidRPr="003C55B6" w:rsidRDefault="00C84E71" w:rsidP="003933BF">
            <w:pPr>
              <w:pStyle w:val="Tablecell"/>
            </w:pPr>
            <w:r w:rsidRPr="003C55B6">
              <w:t>Adjustment requests</w:t>
            </w:r>
          </w:p>
        </w:tc>
        <w:tc>
          <w:tcPr>
            <w:tcW w:w="2160" w:type="dxa"/>
          </w:tcPr>
          <w:p w14:paraId="581CE2B9" w14:textId="77777777" w:rsidR="00C84E71" w:rsidRPr="003C55B6" w:rsidRDefault="00C84E71" w:rsidP="003933BF">
            <w:pPr>
              <w:pStyle w:val="Tablecell"/>
              <w:jc w:val="center"/>
              <w:rPr>
                <w:b/>
                <w:bCs/>
              </w:rPr>
            </w:pPr>
            <w:r w:rsidRPr="003C55B6">
              <w:rPr>
                <w:b/>
                <w:bCs/>
              </w:rPr>
              <w:t>Up to $6,309</w:t>
            </w:r>
          </w:p>
        </w:tc>
        <w:tc>
          <w:tcPr>
            <w:tcW w:w="1985" w:type="dxa"/>
          </w:tcPr>
          <w:p w14:paraId="6732B4D6" w14:textId="77777777" w:rsidR="00C84E71" w:rsidRPr="003C55B6" w:rsidRDefault="00C84E71" w:rsidP="003933BF">
            <w:pPr>
              <w:pStyle w:val="Tablecell"/>
              <w:jc w:val="center"/>
              <w:rPr>
                <w:b/>
                <w:bCs/>
              </w:rPr>
            </w:pPr>
            <w:r w:rsidRPr="003C55B6">
              <w:rPr>
                <w:b/>
                <w:bCs/>
              </w:rPr>
              <w:t>$25 – $52</w:t>
            </w:r>
          </w:p>
        </w:tc>
        <w:tc>
          <w:tcPr>
            <w:tcW w:w="2510" w:type="dxa"/>
          </w:tcPr>
          <w:p w14:paraId="1F506995" w14:textId="77777777" w:rsidR="00C84E71" w:rsidRPr="003C55B6" w:rsidRDefault="00C84E71" w:rsidP="003933BF">
            <w:pPr>
              <w:pStyle w:val="Tablecell"/>
              <w:jc w:val="center"/>
              <w:rPr>
                <w:b/>
                <w:bCs/>
              </w:rPr>
            </w:pPr>
            <w:r w:rsidRPr="003C55B6">
              <w:rPr>
                <w:b/>
                <w:bCs/>
              </w:rPr>
              <w:t>$116,140</w:t>
            </w:r>
          </w:p>
        </w:tc>
      </w:tr>
    </w:tbl>
    <w:p w14:paraId="175CEF34" w14:textId="784AD5DF" w:rsidR="00004946" w:rsidRPr="00A0795D" w:rsidRDefault="00004946" w:rsidP="005E48E8">
      <w:pPr>
        <w:pStyle w:val="Paragraph"/>
        <w:spacing w:before="240"/>
        <w:rPr>
          <w:b/>
          <w:bCs/>
          <w:sz w:val="28"/>
          <w:szCs w:val="28"/>
        </w:rPr>
      </w:pPr>
      <w:r w:rsidRPr="00A0795D">
        <w:rPr>
          <w:b/>
          <w:bCs/>
          <w:sz w:val="28"/>
          <w:szCs w:val="28"/>
        </w:rPr>
        <w:t>Benefits</w:t>
      </w:r>
    </w:p>
    <w:p w14:paraId="74C90772" w14:textId="77777777" w:rsidR="000965F6" w:rsidRPr="00A0795D" w:rsidRDefault="000965F6" w:rsidP="00A0795D">
      <w:pPr>
        <w:pStyle w:val="Paragraph"/>
        <w:rPr>
          <w:b/>
          <w:bCs/>
        </w:rPr>
      </w:pPr>
      <w:r w:rsidRPr="00A0795D">
        <w:rPr>
          <w:b/>
          <w:bCs/>
        </w:rPr>
        <w:t>Registration and reporting</w:t>
      </w:r>
    </w:p>
    <w:p w14:paraId="5F2F8677" w14:textId="77777777" w:rsidR="000965F6" w:rsidRDefault="000965F6" w:rsidP="00897DFF">
      <w:pPr>
        <w:pStyle w:val="ListParagraph"/>
      </w:pPr>
      <w:r>
        <w:t>Complete and accurate producer information through the annual reporting and registration process giving Ecology the ability to communicate with producers as needed.</w:t>
      </w:r>
    </w:p>
    <w:p w14:paraId="3D466C5B" w14:textId="77777777" w:rsidR="000965F6" w:rsidRDefault="000965F6" w:rsidP="00897DFF">
      <w:pPr>
        <w:pStyle w:val="ListParagraph"/>
      </w:pPr>
      <w:r>
        <w:t>Early identification of the producer information that may need to change (de minimis status, contact address, etc.) to inform decision making.</w:t>
      </w:r>
    </w:p>
    <w:p w14:paraId="51B7B2D4" w14:textId="77777777" w:rsidR="000965F6" w:rsidRDefault="000965F6" w:rsidP="00897DFF">
      <w:pPr>
        <w:pStyle w:val="ListParagraph"/>
      </w:pPr>
      <w:r>
        <w:t>Prevention of duplicate reporting, by assigning unique identifiers to all reporters. This could potentially reduce program costs and producer fees because we would not need to hire more staff to review and approve reports.</w:t>
      </w:r>
    </w:p>
    <w:p w14:paraId="0F544BB5" w14:textId="77777777" w:rsidR="000965F6" w:rsidRDefault="000965F6" w:rsidP="00897DFF">
      <w:pPr>
        <w:pStyle w:val="ListParagraph"/>
      </w:pPr>
      <w:r>
        <w:t>Data transparency and assurance of equitable fee distribution.</w:t>
      </w:r>
    </w:p>
    <w:p w14:paraId="2FE90651" w14:textId="77777777" w:rsidR="000965F6" w:rsidRPr="00A0795D" w:rsidRDefault="000965F6" w:rsidP="00A0795D">
      <w:pPr>
        <w:pStyle w:val="Paragraph"/>
        <w:rPr>
          <w:b/>
          <w:bCs/>
        </w:rPr>
      </w:pPr>
      <w:r w:rsidRPr="00A0795D">
        <w:rPr>
          <w:b/>
          <w:bCs/>
        </w:rPr>
        <w:t>De minimis notifications</w:t>
      </w:r>
    </w:p>
    <w:p w14:paraId="19A427AC" w14:textId="77777777" w:rsidR="000965F6" w:rsidRDefault="000965F6" w:rsidP="00B45A10">
      <w:pPr>
        <w:pStyle w:val="ListParagraph"/>
      </w:pPr>
      <w:r>
        <w:lastRenderedPageBreak/>
        <w:t>Simplified identification of producers required to comply with the authorizing law.</w:t>
      </w:r>
    </w:p>
    <w:p w14:paraId="4992A795" w14:textId="77777777" w:rsidR="000965F6" w:rsidRDefault="000965F6" w:rsidP="00B45A10">
      <w:pPr>
        <w:pStyle w:val="ListParagraph"/>
      </w:pPr>
      <w:r>
        <w:t>Reduced likelihood of pursuing de minimis producers for non-compliance.</w:t>
      </w:r>
    </w:p>
    <w:p w14:paraId="1A33DE84" w14:textId="77777777" w:rsidR="000965F6" w:rsidRDefault="000965F6" w:rsidP="00B45A10">
      <w:pPr>
        <w:pStyle w:val="ListParagraph"/>
      </w:pPr>
      <w:r>
        <w:t>Data transparency and assurance of equitable fee distribution</w:t>
      </w:r>
    </w:p>
    <w:p w14:paraId="52EC2A32" w14:textId="77777777" w:rsidR="000965F6" w:rsidRPr="00A0795D" w:rsidRDefault="000965F6" w:rsidP="00A0795D">
      <w:pPr>
        <w:pStyle w:val="Paragraph"/>
        <w:rPr>
          <w:b/>
          <w:bCs/>
        </w:rPr>
      </w:pPr>
      <w:r w:rsidRPr="00A0795D">
        <w:rPr>
          <w:b/>
          <w:bCs/>
        </w:rPr>
        <w:t>Fee allocations</w:t>
      </w:r>
    </w:p>
    <w:p w14:paraId="491B9B80" w14:textId="77777777" w:rsidR="000965F6" w:rsidRDefault="000965F6" w:rsidP="00B45A10">
      <w:pPr>
        <w:pStyle w:val="ListParagraph"/>
      </w:pPr>
      <w:r>
        <w:t>Producers are confident all producers are held accountable for compliance and the fees are equitably allocated.</w:t>
      </w:r>
    </w:p>
    <w:p w14:paraId="43296773" w14:textId="77777777" w:rsidR="000965F6" w:rsidRDefault="000965F6" w:rsidP="00B45A10">
      <w:pPr>
        <w:pStyle w:val="ListParagraph"/>
      </w:pPr>
      <w:r>
        <w:t xml:space="preserve">Quick, </w:t>
      </w:r>
      <w:r w:rsidRPr="003F07C3">
        <w:t>accurate</w:t>
      </w:r>
      <w:r>
        <w:t>,</w:t>
      </w:r>
      <w:r w:rsidRPr="003F07C3">
        <w:t xml:space="preserve"> and equitable fee distribution, </w:t>
      </w:r>
      <w:r>
        <w:t>by reducing the</w:t>
      </w:r>
      <w:r w:rsidRPr="003F07C3">
        <w:t xml:space="preserve"> need </w:t>
      </w:r>
      <w:r>
        <w:t xml:space="preserve">to </w:t>
      </w:r>
      <w:r w:rsidRPr="003F07C3">
        <w:t>correct</w:t>
      </w:r>
      <w:r>
        <w:t xml:space="preserve"> </w:t>
      </w:r>
      <w:r w:rsidRPr="003F07C3">
        <w:t xml:space="preserve">fees </w:t>
      </w:r>
      <w:r>
        <w:t xml:space="preserve">after producers receive their </w:t>
      </w:r>
      <w:r w:rsidRPr="003F07C3">
        <w:t>invoice.</w:t>
      </w:r>
    </w:p>
    <w:p w14:paraId="26727A79" w14:textId="77777777" w:rsidR="000965F6" w:rsidRDefault="000965F6" w:rsidP="00B45A10">
      <w:pPr>
        <w:pStyle w:val="ListParagraph"/>
      </w:pPr>
      <w:r>
        <w:t xml:space="preserve">Equitable distribution of fees, reflecting the </w:t>
      </w:r>
      <w:r w:rsidRPr="00004946">
        <w:t>projected</w:t>
      </w:r>
      <w:r>
        <w:t xml:space="preserve"> workload for oversight of PCRC requirements.</w:t>
      </w:r>
    </w:p>
    <w:p w14:paraId="10D149AE" w14:textId="77777777" w:rsidR="000965F6" w:rsidRPr="00A0795D" w:rsidRDefault="000965F6" w:rsidP="00A0795D">
      <w:pPr>
        <w:pStyle w:val="Paragraph"/>
        <w:rPr>
          <w:b/>
          <w:bCs/>
        </w:rPr>
      </w:pPr>
      <w:r w:rsidRPr="00A0795D">
        <w:rPr>
          <w:b/>
          <w:bCs/>
        </w:rPr>
        <w:t>Temporary exclusions and adjustments</w:t>
      </w:r>
    </w:p>
    <w:p w14:paraId="480443E5" w14:textId="77777777" w:rsidR="000965F6" w:rsidRPr="005A034E" w:rsidRDefault="000965F6" w:rsidP="000965F6">
      <w:pPr>
        <w:pStyle w:val="Paragraph"/>
      </w:pPr>
      <w:r>
        <w:t>While temporary exclusions and adjustments are established under the baseline, the proposed rule adds specificity to the process for each. This would facilitate the overall benefits of temporary exclusions and adjustments, including:</w:t>
      </w:r>
    </w:p>
    <w:p w14:paraId="66AD7E0F" w14:textId="77777777" w:rsidR="000965F6" w:rsidRDefault="000965F6" w:rsidP="00B45A10">
      <w:pPr>
        <w:pStyle w:val="ListParagraph"/>
      </w:pPr>
      <w:r>
        <w:t>Balance between the compliance requirements and economic conditions or federal laws that may limit the ability of producers to comply with the rule.</w:t>
      </w:r>
    </w:p>
    <w:p w14:paraId="28C9E56F" w14:textId="77777777" w:rsidR="000965F6" w:rsidRDefault="000965F6" w:rsidP="00B45A10">
      <w:pPr>
        <w:pStyle w:val="ListParagraph"/>
      </w:pPr>
      <w:r>
        <w:t>In the absence of temporary exclusions and adjustments, difficulty or inability to comply (e.g., a shortage of postconsumer recycled resin</w:t>
      </w:r>
      <w:r>
        <w:rPr>
          <w:rStyle w:val="FootnoteReference"/>
        </w:rPr>
        <w:footnoteReference w:id="24"/>
      </w:r>
      <w:r>
        <w:t>) could result in upward pressure on prices of affected consumer goods, or in shortages of those goods. We note that prices could also remain unaffected, due to internal business decisions and factors like maintaining market share in specific market segments.</w:t>
      </w:r>
      <w:r>
        <w:rPr>
          <w:rStyle w:val="FootnoteReference"/>
        </w:rPr>
        <w:footnoteReference w:id="25"/>
      </w:r>
    </w:p>
    <w:p w14:paraId="6473A0F3" w14:textId="77777777" w:rsidR="000965F6" w:rsidRDefault="000965F6" w:rsidP="00B45A10">
      <w:pPr>
        <w:pStyle w:val="ListParagraph"/>
      </w:pPr>
      <w:r>
        <w:t>Providing producers with leniency where their noncompliance is due to factors not under their control.</w:t>
      </w:r>
    </w:p>
    <w:p w14:paraId="42F26B03" w14:textId="77777777" w:rsidR="000965F6" w:rsidRDefault="000965F6" w:rsidP="00B45A10">
      <w:pPr>
        <w:pStyle w:val="ListParagraph"/>
      </w:pPr>
      <w:r>
        <w:t xml:space="preserve">Time for impacted industries to develop compliance ability to adjust with a </w:t>
      </w:r>
      <w:r w:rsidRPr="00F95844">
        <w:t xml:space="preserve">need to source more recycled content to meet the new requirements </w:t>
      </w:r>
      <w:r>
        <w:t xml:space="preserve">which </w:t>
      </w:r>
      <w:r w:rsidRPr="00F95844">
        <w:t>may also incentivize investments in improved recycling technologies that reduce contamination, result in cleaner recycled feedstock, and restore confidence in the recycling system</w:t>
      </w:r>
      <w:r>
        <w:t>.</w:t>
      </w:r>
    </w:p>
    <w:p w14:paraId="690018AC" w14:textId="77777777" w:rsidR="000965F6" w:rsidRPr="0033525B" w:rsidRDefault="000965F6" w:rsidP="000965F6">
      <w:pPr>
        <w:pStyle w:val="RMSectionXXX"/>
      </w:pPr>
      <w:bookmarkStart w:id="68" w:name="_Toc132187818"/>
      <w:r w:rsidRPr="0033525B">
        <w:t>Timing of audit documents</w:t>
      </w:r>
      <w:bookmarkEnd w:id="68"/>
    </w:p>
    <w:p w14:paraId="43BF5C5F" w14:textId="77777777" w:rsidR="000965F6" w:rsidRDefault="000965F6" w:rsidP="00B45A10">
      <w:pPr>
        <w:pStyle w:val="ListParagraph"/>
      </w:pPr>
      <w:r>
        <w:t xml:space="preserve">Clarity that facilitates producers providing documentation in a timely manner and avoiding potential delays. This improved efficiency (note that under the baseline law or under the proposed rule, all necessary documents would eventually be provided, </w:t>
      </w:r>
      <w:r>
        <w:lastRenderedPageBreak/>
        <w:t>though at different times) would reduce time costs associated with audits, and reduce minor potential impacts to business planning.</w:t>
      </w:r>
    </w:p>
    <w:p w14:paraId="1F4772D8" w14:textId="77777777" w:rsidR="000965F6" w:rsidRPr="0033525B" w:rsidRDefault="000965F6" w:rsidP="000965F6">
      <w:pPr>
        <w:pStyle w:val="RMSectionXXX"/>
      </w:pPr>
      <w:bookmarkStart w:id="69" w:name="_Toc132187819"/>
      <w:r w:rsidRPr="0033525B">
        <w:t>Noncompliance notifications</w:t>
      </w:r>
      <w:bookmarkEnd w:id="69"/>
    </w:p>
    <w:p w14:paraId="130D8324" w14:textId="77777777" w:rsidR="000965F6" w:rsidRDefault="000965F6" w:rsidP="00B45A10">
      <w:pPr>
        <w:pStyle w:val="ListParagraph"/>
      </w:pPr>
      <w:r>
        <w:t>Clarity about how many notices Ecology will send before taking further enforcement action.</w:t>
      </w:r>
    </w:p>
    <w:p w14:paraId="330A8499" w14:textId="086CB82D" w:rsidR="007C625A" w:rsidRDefault="000965F6" w:rsidP="00B45A10">
      <w:pPr>
        <w:pStyle w:val="ListParagraph"/>
      </w:pPr>
      <w:r>
        <w:t>Potential earlier compliance than under the baseline requirement for at least two warnings. Earlier compliance would improve the ability to meet the goals of the authorizing statute in increasing the use of recycled plastics in the supply chain, creating demand for recycled plastic resin, and supporting a circular plastics economy.</w:t>
      </w:r>
    </w:p>
    <w:p w14:paraId="012FCC77" w14:textId="77777777" w:rsidR="00087615" w:rsidRDefault="00087615" w:rsidP="00257276">
      <w:pPr>
        <w:pStyle w:val="RMHeading3"/>
      </w:pPr>
      <w:r>
        <w:t>5.2 Conclusion</w:t>
      </w:r>
    </w:p>
    <w:p w14:paraId="51DE07F7" w14:textId="77777777" w:rsidR="00C14149" w:rsidRDefault="00C14149" w:rsidP="00C14149">
      <w:pPr>
        <w:pStyle w:val="Paragraph"/>
      </w:pPr>
      <w:r>
        <w:t>We conclude, based on a reasonable understanding of the costs and benefits likely to arise from the proposed rule, as compared to the baseline, that the benefits of the proposed rule are greater than the costs.</w:t>
      </w:r>
    </w:p>
    <w:p w14:paraId="21C3A9A7" w14:textId="4DE46FD6" w:rsidR="00087615" w:rsidRDefault="00C14149" w:rsidP="00C14149">
      <w:pPr>
        <w:pStyle w:val="Paragraph"/>
      </w:pPr>
      <w:r>
        <w:t xml:space="preserve">The APA requires Ecology to, </w:t>
      </w:r>
      <w:r w:rsidRPr="00B45188">
        <w:t xml:space="preserve">“Determine that the probable benefits of the rule are greater than its probable costs, </w:t>
      </w:r>
      <w:r w:rsidRPr="00B45188">
        <w:rPr>
          <w:b/>
          <w:bCs/>
        </w:rPr>
        <w:t xml:space="preserve">taking into account both the qualitative and quantitative benefits and costs </w:t>
      </w:r>
      <w:r w:rsidRPr="003971AF">
        <w:rPr>
          <w:b/>
          <w:bCs/>
        </w:rPr>
        <w:t>and the specific directives of the statute being implemented</w:t>
      </w:r>
      <w:r w:rsidRPr="00B45188">
        <w:t>.”</w:t>
      </w:r>
      <w:r>
        <w:t xml:space="preserve"> </w:t>
      </w:r>
      <w:r w:rsidRPr="00A70912">
        <w:t xml:space="preserve">We conclude, based on a reasonable understanding of the quantified and qualitative costs and benefits likely to arise from the proposed rule </w:t>
      </w:r>
      <w:r>
        <w:t>(summarized in the previous section)</w:t>
      </w:r>
      <w:r w:rsidRPr="00A70912">
        <w:t xml:space="preserve">, as compared to the baseline, that the benefits of the proposed rule are </w:t>
      </w:r>
      <w:r>
        <w:t xml:space="preserve">likely </w:t>
      </w:r>
      <w:r w:rsidRPr="00A70912">
        <w:t>greater than the costs.</w:t>
      </w:r>
    </w:p>
    <w:p w14:paraId="6A503CE4" w14:textId="77777777" w:rsidR="00087615" w:rsidRDefault="00087615" w:rsidP="003B1C00">
      <w:pPr>
        <w:pStyle w:val="Paragraph"/>
        <w:sectPr w:rsidR="00087615">
          <w:pgSz w:w="12240" w:h="15840"/>
          <w:pgMar w:top="1440" w:right="1440" w:bottom="1440" w:left="1440" w:header="720" w:footer="720" w:gutter="0"/>
          <w:cols w:space="720"/>
        </w:sectPr>
      </w:pPr>
    </w:p>
    <w:p w14:paraId="233CD846" w14:textId="77777777" w:rsidR="00087615" w:rsidRDefault="00087615" w:rsidP="008B4521">
      <w:pPr>
        <w:pStyle w:val="RMChaptertitle"/>
      </w:pPr>
      <w:bookmarkStart w:id="70" w:name="_Toc132187820"/>
      <w:r>
        <w:lastRenderedPageBreak/>
        <w:t>Chapter 6: Least-Burdensome Alternative Analysis</w:t>
      </w:r>
      <w:bookmarkEnd w:id="70"/>
    </w:p>
    <w:p w14:paraId="7041C4B4" w14:textId="77777777" w:rsidR="00087615" w:rsidRDefault="00087615" w:rsidP="00257276">
      <w:pPr>
        <w:pStyle w:val="RMHeading3"/>
      </w:pPr>
      <w:r>
        <w:t>6.1 Introduction</w:t>
      </w:r>
    </w:p>
    <w:p w14:paraId="26240DFA" w14:textId="77777777" w:rsidR="00087615" w:rsidRDefault="00087615" w:rsidP="003B1C00">
      <w:pPr>
        <w:pStyle w:val="Paragraph"/>
      </w:pPr>
      <w:r>
        <w:t>RCW 34.05.328(1)(c) requires Ecology to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 The referenced subsections are:</w:t>
      </w:r>
    </w:p>
    <w:p w14:paraId="5038E88A" w14:textId="77777777" w:rsidR="00087615" w:rsidRDefault="00087615" w:rsidP="003B1C00">
      <w:pPr>
        <w:pStyle w:val="Paragraph"/>
      </w:pPr>
      <w:r>
        <w:t>(a) Clearly state in detail the general goals and specific objectives of the statute that the rule implements;</w:t>
      </w:r>
    </w:p>
    <w:p w14:paraId="323DE33B" w14:textId="77777777" w:rsidR="00087615" w:rsidRDefault="00087615" w:rsidP="003B1C00">
      <w:pPr>
        <w:pStyle w:val="Paragraph"/>
      </w:pPr>
      <w:r>
        <w:t>(b) Determine that the rule is needed to achieve the general goals and specific objectives stated under (a) of this subsection, and analyze alternatives to rule making and the consequences of not adopting the rule;</w:t>
      </w:r>
    </w:p>
    <w:p w14:paraId="0B4313E5" w14:textId="77777777" w:rsidR="00087615" w:rsidRDefault="00087615" w:rsidP="003B1C00">
      <w:pPr>
        <w:pStyle w:val="Paragraph"/>
      </w:pPr>
      <w:r>
        <w:t>(c) Provide notification in the notice of proposed rulemaking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14:paraId="275EFA48" w14:textId="77777777" w:rsidR="00087615" w:rsidRDefault="00087615" w:rsidP="003B1C00">
      <w:pPr>
        <w:pStyle w:val="Paragraph"/>
      </w:pPr>
      <w:r>
        <w:t>(d) Determine that the probable benefits of the rule are greater than its probable costs, taking into account both the qualitative and quantitative benefits and costs and the specific directives of the statute being implemented.</w:t>
      </w:r>
    </w:p>
    <w:p w14:paraId="01B45794" w14:textId="77777777" w:rsidR="00087615" w:rsidRDefault="00087615" w:rsidP="003B1C00">
      <w:pPr>
        <w:pStyle w:val="Paragraph"/>
      </w:pPr>
      <w:r>
        <w:t>In other words, to be able to adopt the rule, we are required to determine that the contents of the rule are the least burdensome set of requirements that achieve the goals and objectives of the authorizing statute(s).</w:t>
      </w:r>
    </w:p>
    <w:p w14:paraId="7E907DD0" w14:textId="184727FD" w:rsidR="00087615" w:rsidRDefault="00087615" w:rsidP="003B1C00">
      <w:pPr>
        <w:pStyle w:val="Paragraph"/>
      </w:pPr>
      <w:r>
        <w:t>We assessed alternative proposed rule content and determined whether they met the goals and objectives of the authorizing statute(s). Of those that would meet the goals and objectives, we determined whether those chosen for inclusion in the proposed rule were the least burdensome to those required to comply with them.</w:t>
      </w:r>
      <w:r w:rsidR="00681759">
        <w:t xml:space="preserve"> </w:t>
      </w:r>
    </w:p>
    <w:p w14:paraId="0837857C" w14:textId="77777777" w:rsidR="00087615" w:rsidRDefault="00087615" w:rsidP="00257276">
      <w:pPr>
        <w:pStyle w:val="RMHeading3"/>
      </w:pPr>
      <w:r>
        <w:t>6.2 Goals and objectives of the authorizing statute</w:t>
      </w:r>
    </w:p>
    <w:p w14:paraId="5508A642" w14:textId="59E47DC5" w:rsidR="00087615" w:rsidRDefault="00087615" w:rsidP="003B1C00">
      <w:pPr>
        <w:pStyle w:val="Paragraph"/>
      </w:pPr>
      <w:r>
        <w:t xml:space="preserve">The authorizing statute for this rule is </w:t>
      </w:r>
      <w:r w:rsidR="006E084B" w:rsidRPr="003E209C">
        <w:t>Chapter</w:t>
      </w:r>
      <w:r w:rsidRPr="003E209C">
        <w:t xml:space="preserve"> </w:t>
      </w:r>
      <w:r w:rsidR="00764753" w:rsidRPr="003E209C">
        <w:t>70A</w:t>
      </w:r>
      <w:r w:rsidRPr="003E209C">
        <w:t>.</w:t>
      </w:r>
      <w:r w:rsidR="00764753" w:rsidRPr="003E209C">
        <w:t>245</w:t>
      </w:r>
      <w:r w:rsidRPr="003E209C">
        <w:t xml:space="preserve"> RCW</w:t>
      </w:r>
      <w:r>
        <w:t xml:space="preserve">, </w:t>
      </w:r>
      <w:r w:rsidR="001B24CF">
        <w:t>Recycling</w:t>
      </w:r>
      <w:r w:rsidR="00764753">
        <w:t>, Waste, and Litter Reduction</w:t>
      </w:r>
      <w:r>
        <w:t>. Its goals and objectives are:</w:t>
      </w:r>
    </w:p>
    <w:p w14:paraId="52FABCB6" w14:textId="08E7EB71" w:rsidR="002A29D3" w:rsidRDefault="00B80E8A" w:rsidP="00B45A10">
      <w:pPr>
        <w:pStyle w:val="ListParagraph"/>
      </w:pPr>
      <w:r>
        <w:t xml:space="preserve">Establish </w:t>
      </w:r>
      <w:r w:rsidR="00C474FC">
        <w:t>p</w:t>
      </w:r>
      <w:r>
        <w:t xml:space="preserve">ostconsumer recycled content </w:t>
      </w:r>
      <w:r w:rsidR="00A15BD9">
        <w:t xml:space="preserve">requirement for </w:t>
      </w:r>
      <w:r w:rsidR="00EE716D">
        <w:t>applicable</w:t>
      </w:r>
      <w:r w:rsidR="002A29D3">
        <w:t xml:space="preserve"> products </w:t>
      </w:r>
      <w:r>
        <w:t xml:space="preserve">under 70A.245.020 </w:t>
      </w:r>
      <w:r w:rsidR="00EE716D">
        <w:t xml:space="preserve">and </w:t>
      </w:r>
      <w:r w:rsidR="00C474FC">
        <w:t>p</w:t>
      </w:r>
      <w:r>
        <w:t>roducer</w:t>
      </w:r>
      <w:r w:rsidR="00C474FC">
        <w:t>’s</w:t>
      </w:r>
      <w:r>
        <w:t xml:space="preserve"> reporting requirement under 70A.245.030</w:t>
      </w:r>
      <w:r w:rsidR="00DF4ADA">
        <w:t>.</w:t>
      </w:r>
    </w:p>
    <w:p w14:paraId="4B216911" w14:textId="449CE5E7" w:rsidR="00EE716D" w:rsidRPr="00EA0BFD" w:rsidRDefault="00C93D0E" w:rsidP="00B45A10">
      <w:pPr>
        <w:pStyle w:val="ListParagraph"/>
        <w:rPr>
          <w:szCs w:val="24"/>
        </w:rPr>
      </w:pPr>
      <w:r>
        <w:rPr>
          <w:szCs w:val="24"/>
        </w:rPr>
        <w:t>Require Ecology to i</w:t>
      </w:r>
      <w:r w:rsidR="00EE716D" w:rsidRPr="00EA0BFD">
        <w:rPr>
          <w:szCs w:val="24"/>
        </w:rPr>
        <w:t>dentif</w:t>
      </w:r>
      <w:r>
        <w:rPr>
          <w:szCs w:val="24"/>
        </w:rPr>
        <w:t>y</w:t>
      </w:r>
      <w:r w:rsidR="00EE716D" w:rsidRPr="00EA0BFD">
        <w:rPr>
          <w:szCs w:val="24"/>
        </w:rPr>
        <w:t xml:space="preserve"> the annual costs to incur to implement, administer, and enforce and RCW 70A.245.020 RCW </w:t>
      </w:r>
      <w:r w:rsidR="0030658C" w:rsidRPr="00EA0BFD">
        <w:rPr>
          <w:szCs w:val="24"/>
        </w:rPr>
        <w:t xml:space="preserve">and </w:t>
      </w:r>
      <w:r w:rsidR="00EE716D" w:rsidRPr="00EA0BFD">
        <w:rPr>
          <w:szCs w:val="24"/>
        </w:rPr>
        <w:t xml:space="preserve">70A.245.030 through 70A.245.060 and </w:t>
      </w:r>
      <w:r w:rsidR="00EE716D" w:rsidRPr="00EA0BFD">
        <w:rPr>
          <w:szCs w:val="24"/>
        </w:rPr>
        <w:lastRenderedPageBreak/>
        <w:t>70A.245.090 (1), (2), and (4), including rule making, in the next fiscal year for each category of covered products</w:t>
      </w:r>
      <w:r w:rsidR="00601607" w:rsidRPr="00EA0BFD">
        <w:rPr>
          <w:szCs w:val="24"/>
        </w:rPr>
        <w:t>.</w:t>
      </w:r>
    </w:p>
    <w:p w14:paraId="536FCFBE" w14:textId="522CA1CA" w:rsidR="00DF4ADA" w:rsidRPr="00530A88" w:rsidRDefault="00C93D0E" w:rsidP="00B45A10">
      <w:pPr>
        <w:pStyle w:val="ListParagraph"/>
        <w:rPr>
          <w:szCs w:val="24"/>
        </w:rPr>
      </w:pPr>
      <w:r>
        <w:rPr>
          <w:szCs w:val="24"/>
        </w:rPr>
        <w:t>Establish equitable</w:t>
      </w:r>
      <w:r w:rsidRPr="00530A88">
        <w:rPr>
          <w:szCs w:val="24"/>
        </w:rPr>
        <w:t xml:space="preserve"> </w:t>
      </w:r>
      <w:r>
        <w:rPr>
          <w:szCs w:val="24"/>
        </w:rPr>
        <w:t>producer</w:t>
      </w:r>
      <w:r w:rsidR="00DF4ADA" w:rsidRPr="00530A88">
        <w:rPr>
          <w:szCs w:val="24"/>
        </w:rPr>
        <w:t xml:space="preserve"> fees to fully recover and not to exceed expenses incurred by the department</w:t>
      </w:r>
      <w:r w:rsidR="00601607">
        <w:rPr>
          <w:szCs w:val="24"/>
        </w:rPr>
        <w:t>.</w:t>
      </w:r>
    </w:p>
    <w:p w14:paraId="799757DF" w14:textId="4DF903E7" w:rsidR="00B80E8A" w:rsidRDefault="00F03702" w:rsidP="00B45A10">
      <w:pPr>
        <w:pStyle w:val="ListParagraph"/>
      </w:pPr>
      <w:r>
        <w:t xml:space="preserve">Apply </w:t>
      </w:r>
      <w:r w:rsidR="002A29D3">
        <w:t>non</w:t>
      </w:r>
      <w:r w:rsidR="00530A88">
        <w:t>-</w:t>
      </w:r>
      <w:r w:rsidR="002A29D3">
        <w:t>compliance</w:t>
      </w:r>
      <w:r w:rsidR="00530A88">
        <w:t xml:space="preserve"> penalt</w:t>
      </w:r>
      <w:r w:rsidR="00186BE5">
        <w:t>ies</w:t>
      </w:r>
      <w:r w:rsidR="00530A88">
        <w:t xml:space="preserve"> for </w:t>
      </w:r>
      <w:r w:rsidR="00530A88" w:rsidRPr="003E209C">
        <w:t>postconsumer recycled content requirements</w:t>
      </w:r>
      <w:r w:rsidR="00530A88">
        <w:t xml:space="preserve"> </w:t>
      </w:r>
      <w:r w:rsidR="002A29D3">
        <w:t xml:space="preserve">under 70A.245.040 and </w:t>
      </w:r>
      <w:r w:rsidR="00530A88">
        <w:t xml:space="preserve">penalties for </w:t>
      </w:r>
      <w:r w:rsidR="00530A88" w:rsidRPr="003E209C">
        <w:t>registration, labeling, and reporting</w:t>
      </w:r>
      <w:r w:rsidR="00530A88">
        <w:t xml:space="preserve"> </w:t>
      </w:r>
      <w:r w:rsidR="002A29D3">
        <w:t>70A.245.040</w:t>
      </w:r>
      <w:r w:rsidR="00601607">
        <w:t>.</w:t>
      </w:r>
    </w:p>
    <w:p w14:paraId="3B2EB948" w14:textId="15694DC1" w:rsidR="00553F73" w:rsidRDefault="00553F73" w:rsidP="00B45A10">
      <w:pPr>
        <w:pStyle w:val="ListParagraph"/>
      </w:pPr>
      <w:r>
        <w:t>Define department’s rule making duty under 70A.245.090</w:t>
      </w:r>
      <w:r w:rsidR="00601607">
        <w:t>.</w:t>
      </w:r>
    </w:p>
    <w:p w14:paraId="744A9D73" w14:textId="77777777" w:rsidR="00DF4ADA" w:rsidRDefault="00DF4ADA" w:rsidP="003E209C">
      <w:pPr>
        <w:pStyle w:val="Paragraph"/>
      </w:pPr>
      <w:r w:rsidRPr="00364832">
        <w:t>The legislature finds that minimum recycled content requirements for plastic beverage containers, trash bags, and household cleaning and personal care product containers are among actions needed to improve the state's recycling system as well as reduce litter.</w:t>
      </w:r>
    </w:p>
    <w:p w14:paraId="53A6BD2B" w14:textId="393DC7A8" w:rsidR="00B80E8A" w:rsidRPr="00B80E8A" w:rsidRDefault="00DF4ADA" w:rsidP="003E209C">
      <w:pPr>
        <w:pStyle w:val="Paragraph"/>
      </w:pPr>
      <w:r w:rsidRPr="00364832">
        <w:t>By implementing a minimum recycled content requirement for plastic beverage</w:t>
      </w:r>
      <w:r>
        <w:t xml:space="preserve"> </w:t>
      </w:r>
      <w:r w:rsidRPr="00364832">
        <w:t>containers, trash bags, and household cleaning and personal care product containers</w:t>
      </w:r>
      <w:r>
        <w:t xml:space="preserve">, </w:t>
      </w:r>
      <w:r w:rsidRPr="00364832">
        <w:t>the legislature intends to take another step towards ensuring plastic packaging materials are reduced, recycled, and reused</w:t>
      </w:r>
      <w:r>
        <w:t>.</w:t>
      </w:r>
    </w:p>
    <w:p w14:paraId="56A9567F" w14:textId="77777777" w:rsidR="00087615" w:rsidRDefault="00087615" w:rsidP="00257276">
      <w:pPr>
        <w:pStyle w:val="RMHeading3"/>
      </w:pPr>
      <w:r w:rsidRPr="00DD76AC">
        <w:t>6.3 Alternatives considered and why they were excluded</w:t>
      </w:r>
    </w:p>
    <w:p w14:paraId="39682DB0" w14:textId="3855AB9E" w:rsidR="00087615" w:rsidRDefault="00087615" w:rsidP="003B1C00">
      <w:pPr>
        <w:pStyle w:val="Paragraph"/>
      </w:pPr>
      <w:r>
        <w:t>We considered the following alternative rule content and did not include it in the proposed rule for the reasons discussed in each subsection below.</w:t>
      </w:r>
    </w:p>
    <w:p w14:paraId="34647D48" w14:textId="77777777" w:rsidR="009811C0" w:rsidRPr="00BE127C" w:rsidRDefault="009811C0" w:rsidP="00B45A10">
      <w:pPr>
        <w:pStyle w:val="ListParagraph"/>
      </w:pPr>
      <w:r>
        <w:t xml:space="preserve">Excluding </w:t>
      </w:r>
      <w:r w:rsidRPr="00BE127C">
        <w:t>FIFRA-regulated and aerosol containers from all requirements.</w:t>
      </w:r>
    </w:p>
    <w:p w14:paraId="0E2710E5" w14:textId="77777777" w:rsidR="009811C0" w:rsidRPr="00BE127C" w:rsidRDefault="009811C0" w:rsidP="00B45A10">
      <w:pPr>
        <w:pStyle w:val="ListParagraph"/>
      </w:pPr>
      <w:r w:rsidRPr="00BE127C">
        <w:t>Exempt</w:t>
      </w:r>
      <w:r>
        <w:t>ing</w:t>
      </w:r>
      <w:r w:rsidRPr="00BE127C">
        <w:t xml:space="preserve"> all federally regulated packaging in the exclusions section of the definition of household cleaning product.</w:t>
      </w:r>
    </w:p>
    <w:p w14:paraId="0BBFDD96" w14:textId="77777777" w:rsidR="009811C0" w:rsidRPr="00BE127C" w:rsidRDefault="009811C0" w:rsidP="00B45A10">
      <w:pPr>
        <w:pStyle w:val="ListParagraph"/>
      </w:pPr>
      <w:r>
        <w:t>Providing different</w:t>
      </w:r>
      <w:r w:rsidRPr="00BE127C">
        <w:t xml:space="preserve"> definitions of producer:</w:t>
      </w:r>
    </w:p>
    <w:p w14:paraId="5AA48667" w14:textId="77777777" w:rsidR="009811C0" w:rsidRPr="00BE127C" w:rsidRDefault="009811C0" w:rsidP="00B45A10">
      <w:pPr>
        <w:pStyle w:val="ListParagraph"/>
        <w:numPr>
          <w:ilvl w:val="1"/>
          <w:numId w:val="3"/>
        </w:numPr>
      </w:pPr>
      <w:r>
        <w:t>P</w:t>
      </w:r>
      <w:r w:rsidRPr="00BE127C">
        <w:t>roducer</w:t>
      </w:r>
      <w:r>
        <w:t>:</w:t>
      </w:r>
      <w:r w:rsidRPr="00BE127C">
        <w:t xml:space="preserve"> </w:t>
      </w:r>
      <w:r>
        <w:t xml:space="preserve">The manufacturer who is contracted to produce </w:t>
      </w:r>
      <w:r w:rsidRPr="00BE127C">
        <w:t>a covered product for</w:t>
      </w:r>
      <w:r>
        <w:t xml:space="preserve"> a brand owner</w:t>
      </w:r>
      <w:r w:rsidRPr="00BE127C">
        <w:t>.</w:t>
      </w:r>
    </w:p>
    <w:p w14:paraId="74C4FF1F" w14:textId="77777777" w:rsidR="009811C0" w:rsidRPr="00BE127C" w:rsidRDefault="009811C0" w:rsidP="00B45A10">
      <w:pPr>
        <w:pStyle w:val="ListParagraph"/>
        <w:numPr>
          <w:ilvl w:val="1"/>
          <w:numId w:val="3"/>
        </w:numPr>
      </w:pPr>
      <w:r>
        <w:t>Producer: T</w:t>
      </w:r>
      <w:r w:rsidRPr="00BE127C">
        <w:t xml:space="preserve">he person </w:t>
      </w:r>
      <w:r>
        <w:t xml:space="preserve">who has the </w:t>
      </w:r>
      <w:r w:rsidRPr="00BE127C">
        <w:t>decision-making authority</w:t>
      </w:r>
      <w:r>
        <w:t xml:space="preserve"> for the plastic resin makeup of the covered product</w:t>
      </w:r>
      <w:r w:rsidRPr="00BE127C">
        <w:t>.</w:t>
      </w:r>
    </w:p>
    <w:p w14:paraId="447C4312" w14:textId="77777777" w:rsidR="009811C0" w:rsidRDefault="009811C0" w:rsidP="00B45A10">
      <w:pPr>
        <w:pStyle w:val="ListParagraph"/>
      </w:pPr>
      <w:r>
        <w:t>Removing coffee creamers from items listed as beverages.</w:t>
      </w:r>
    </w:p>
    <w:p w14:paraId="6E25D849" w14:textId="77777777" w:rsidR="009811C0" w:rsidRDefault="009811C0" w:rsidP="00B45A10">
      <w:pPr>
        <w:pStyle w:val="ListParagraph"/>
      </w:pPr>
      <w:r>
        <w:t>Adding "offered for sale to individual consumers" to exclude sales to businesses, to the definition of covered product.</w:t>
      </w:r>
    </w:p>
    <w:p w14:paraId="3CE7650D" w14:textId="77777777" w:rsidR="009811C0" w:rsidRDefault="009811C0" w:rsidP="00B45A10">
      <w:pPr>
        <w:pStyle w:val="ListParagraph"/>
      </w:pPr>
      <w:r>
        <w:t>Removing "multi-resin" from the definition of plastic beverage containers.</w:t>
      </w:r>
    </w:p>
    <w:p w14:paraId="141C795E" w14:textId="77777777" w:rsidR="009811C0" w:rsidRDefault="009811C0" w:rsidP="00B45A10">
      <w:pPr>
        <w:pStyle w:val="ListParagraph"/>
      </w:pPr>
      <w:r>
        <w:t>Removing items that are not readily or easily recycled from the list of covered products.</w:t>
      </w:r>
    </w:p>
    <w:p w14:paraId="2368D63B" w14:textId="77777777" w:rsidR="009811C0" w:rsidRDefault="009811C0" w:rsidP="00B45A10">
      <w:pPr>
        <w:pStyle w:val="ListParagraph"/>
      </w:pPr>
      <w:r>
        <w:t>Using the California definition of household cleaning products.</w:t>
      </w:r>
    </w:p>
    <w:p w14:paraId="07EF4910" w14:textId="77777777" w:rsidR="009811C0" w:rsidRDefault="009811C0" w:rsidP="00B45A10">
      <w:pPr>
        <w:pStyle w:val="ListParagraph"/>
      </w:pPr>
      <w:r>
        <w:t>Adding surface polishes, air cleaners, and other products to the definition of household cleaning products.</w:t>
      </w:r>
    </w:p>
    <w:p w14:paraId="01D2A410" w14:textId="77777777" w:rsidR="009811C0" w:rsidRDefault="009811C0" w:rsidP="00B45A10">
      <w:pPr>
        <w:pStyle w:val="ListParagraph"/>
      </w:pPr>
      <w:r>
        <w:lastRenderedPageBreak/>
        <w:t>Using the dictionary definition of “household” for the purpose of defining “household cleaning product.”</w:t>
      </w:r>
    </w:p>
    <w:p w14:paraId="08ECA49A" w14:textId="77777777" w:rsidR="009811C0" w:rsidRDefault="009811C0" w:rsidP="00B45A10">
      <w:pPr>
        <w:pStyle w:val="ListParagraph"/>
      </w:pPr>
      <w:r>
        <w:t>Extending PCRC requirements to include caps, labels, trigger sprayers, and attachments on covered produ</w:t>
      </w:r>
      <w:r w:rsidRPr="00360465">
        <w:t>cts.</w:t>
      </w:r>
    </w:p>
    <w:p w14:paraId="7973508E" w14:textId="77777777" w:rsidR="009811C0" w:rsidRDefault="009811C0" w:rsidP="00B45A10">
      <w:pPr>
        <w:pStyle w:val="ListParagraph"/>
      </w:pPr>
      <w:r>
        <w:t xml:space="preserve">Structuring fees such that producers are only required to pay fees once their category has been phased into the PCRC requirements. </w:t>
      </w:r>
    </w:p>
    <w:p w14:paraId="57E659A7" w14:textId="77777777" w:rsidR="009811C0" w:rsidRDefault="009811C0" w:rsidP="00B45A10">
      <w:pPr>
        <w:pStyle w:val="ListParagraph"/>
      </w:pPr>
      <w:r>
        <w:t xml:space="preserve">Not requiring de minimis producer notification. </w:t>
      </w:r>
    </w:p>
    <w:p w14:paraId="3B0A32F6" w14:textId="77777777" w:rsidR="009811C0" w:rsidRDefault="009811C0" w:rsidP="00B45A10">
      <w:pPr>
        <w:pStyle w:val="ListParagraph"/>
      </w:pPr>
      <w:r>
        <w:t>Defining manufacturer.</w:t>
      </w:r>
    </w:p>
    <w:p w14:paraId="1151D24C" w14:textId="77777777" w:rsidR="009811C0" w:rsidRDefault="009811C0" w:rsidP="00B45A10">
      <w:pPr>
        <w:pStyle w:val="ListParagraph"/>
      </w:pPr>
      <w:r>
        <w:t>Adding language that states that the covered product refers to the product contained, not the container itself.</w:t>
      </w:r>
    </w:p>
    <w:p w14:paraId="0AFD79AA" w14:textId="77777777" w:rsidR="009811C0" w:rsidRDefault="009811C0" w:rsidP="00B45A10">
      <w:pPr>
        <w:pStyle w:val="ListParagraph"/>
      </w:pPr>
      <w:r>
        <w:t>Adding an opportunity to add a step to ensure that disagreements over confidential data will be handled before being published.</w:t>
      </w:r>
    </w:p>
    <w:p w14:paraId="3931303F" w14:textId="77777777" w:rsidR="009811C0" w:rsidRDefault="009811C0" w:rsidP="00B45A10">
      <w:pPr>
        <w:pStyle w:val="ListParagraph"/>
      </w:pPr>
      <w:r>
        <w:t>Requiring third-party verification of PCRC.</w:t>
      </w:r>
    </w:p>
    <w:p w14:paraId="57F07ED9" w14:textId="2F14B149" w:rsidR="00BE127C" w:rsidRPr="00B34C2A" w:rsidRDefault="009811C0" w:rsidP="00B45A10">
      <w:pPr>
        <w:pStyle w:val="ListParagraph"/>
      </w:pPr>
      <w:r w:rsidRPr="00B34C2A">
        <w:t>Distributing fees differently</w:t>
      </w:r>
      <w:r>
        <w:t>, using a tiered system based on resin weight or annual revenue</w:t>
      </w:r>
      <w:r w:rsidRPr="00B34C2A">
        <w:t>.</w:t>
      </w:r>
    </w:p>
    <w:p w14:paraId="5A0CEC27" w14:textId="52251D24" w:rsidR="00087615" w:rsidRDefault="00087615" w:rsidP="00257276">
      <w:pPr>
        <w:pStyle w:val="RMSectionXXX"/>
        <w:rPr>
          <w:highlight w:val="yellow"/>
        </w:rPr>
      </w:pPr>
      <w:bookmarkStart w:id="71" w:name="_Toc132187821"/>
      <w:r>
        <w:t xml:space="preserve">6.3.1 </w:t>
      </w:r>
      <w:r w:rsidR="008E24E3">
        <w:t xml:space="preserve">Excluding </w:t>
      </w:r>
      <w:r w:rsidR="008E24E3" w:rsidRPr="00BE127C">
        <w:t>FIFRA-regulated and aerosol containers from all requirements</w:t>
      </w:r>
      <w:bookmarkEnd w:id="71"/>
    </w:p>
    <w:p w14:paraId="0C6DF454" w14:textId="1EF76772" w:rsidR="00087615" w:rsidRDefault="00584B3F" w:rsidP="003B1C00">
      <w:pPr>
        <w:pStyle w:val="Paragraph"/>
      </w:pPr>
      <w:r>
        <w:t xml:space="preserve">We considered excluding </w:t>
      </w:r>
      <w:r w:rsidRPr="00584B3F">
        <w:t>FIFRA-regulated and aerosol containers from all requirements</w:t>
      </w:r>
      <w:r>
        <w:t xml:space="preserve">. This alternative would not have met the goals and objectives of the </w:t>
      </w:r>
      <w:r w:rsidR="00903587">
        <w:t>authorizing statute</w:t>
      </w:r>
      <w:r>
        <w:t>.</w:t>
      </w:r>
    </w:p>
    <w:p w14:paraId="0DED29BA" w14:textId="70158E97" w:rsidR="00903587" w:rsidRDefault="00584B3F" w:rsidP="003B1C00">
      <w:pPr>
        <w:pStyle w:val="Paragraph"/>
      </w:pPr>
      <w:r w:rsidRPr="00584B3F">
        <w:t>Ecology sought to ensure compliance with the statute and with federal law</w:t>
      </w:r>
      <w:r w:rsidR="00903587">
        <w:t xml:space="preserve"> regarding this alternative</w:t>
      </w:r>
      <w:r w:rsidRPr="00584B3F">
        <w:t xml:space="preserve">. We reviewed precedential cases such as Medtonic Inv </w:t>
      </w:r>
      <w:r w:rsidR="003D4566">
        <w:t>v</w:t>
      </w:r>
      <w:r w:rsidR="00B97295">
        <w:t>.</w:t>
      </w:r>
      <w:r w:rsidR="003D4566" w:rsidRPr="00584B3F">
        <w:t xml:space="preserve"> </w:t>
      </w:r>
      <w:r w:rsidRPr="00584B3F">
        <w:t>Lohr, Jeffers v</w:t>
      </w:r>
      <w:r w:rsidR="00B97295">
        <w:t>.</w:t>
      </w:r>
      <w:r w:rsidRPr="00584B3F">
        <w:t xml:space="preserve"> Wal-Mart Stores, </w:t>
      </w:r>
      <w:r w:rsidR="000F157D" w:rsidRPr="00584B3F">
        <w:t>Inc, Lyall</w:t>
      </w:r>
      <w:r w:rsidRPr="00584B3F">
        <w:t xml:space="preserve"> v</w:t>
      </w:r>
      <w:r w:rsidR="00B97295">
        <w:t>.</w:t>
      </w:r>
      <w:r w:rsidRPr="00584B3F">
        <w:t xml:space="preserve"> Leslie's Poolmart, Lucas v. Bio-Lab, and Bates v</w:t>
      </w:r>
      <w:r w:rsidR="00B97295">
        <w:t>.</w:t>
      </w:r>
      <w:r w:rsidRPr="00584B3F">
        <w:t xml:space="preserve"> Dow Agrosciences LLC. We also </w:t>
      </w:r>
      <w:r w:rsidR="001B24CF" w:rsidRPr="00584B3F">
        <w:t>reviewed</w:t>
      </w:r>
      <w:r w:rsidRPr="00584B3F">
        <w:t xml:space="preserve"> FIFRA regulations to reconcile with RCW 70A.245.020(7)(b)(v)</w:t>
      </w:r>
      <w:r w:rsidR="00903587">
        <w:t>.</w:t>
      </w:r>
    </w:p>
    <w:p w14:paraId="0FA2625C" w14:textId="62999628" w:rsidR="00584B3F" w:rsidRDefault="00903587" w:rsidP="003B1C00">
      <w:pPr>
        <w:pStyle w:val="Paragraph"/>
      </w:pPr>
      <w:r>
        <w:t>We</w:t>
      </w:r>
      <w:r w:rsidR="00584B3F" w:rsidRPr="00584B3F">
        <w:t xml:space="preserve"> determined products excluded </w:t>
      </w:r>
      <w:r w:rsidR="00B50168">
        <w:t>because</w:t>
      </w:r>
      <w:r w:rsidR="00584B3F" w:rsidRPr="00584B3F">
        <w:t xml:space="preserve"> of technical infeasibility may </w:t>
      </w:r>
      <w:r>
        <w:t>only</w:t>
      </w:r>
      <w:r w:rsidR="00584B3F" w:rsidRPr="00584B3F">
        <w:t xml:space="preserve"> be excluded from PCRC requirements, but must still comply with registration, reporting, and fee payment requirements. The determination of these PCRC exclusions will be granted based on information annually submitted that justifies the temporary annual exclusion. The </w:t>
      </w:r>
      <w:r>
        <w:t>proposed</w:t>
      </w:r>
      <w:r w:rsidR="00584B3F" w:rsidRPr="00584B3F">
        <w:t xml:space="preserve"> rule language does establish exclusions for plastic aerosol containers regardless of whether temporary exclusion is requested.</w:t>
      </w:r>
    </w:p>
    <w:p w14:paraId="077446CC" w14:textId="324A1725" w:rsidR="00582799" w:rsidRDefault="00582799" w:rsidP="00582799">
      <w:pPr>
        <w:pStyle w:val="RMSectionXXX"/>
        <w:rPr>
          <w:highlight w:val="yellow"/>
        </w:rPr>
      </w:pPr>
      <w:bookmarkStart w:id="72" w:name="_Toc132187822"/>
      <w:r>
        <w:t xml:space="preserve">6.3.2 </w:t>
      </w:r>
      <w:r w:rsidR="008E24E3" w:rsidRPr="00BE127C">
        <w:t>Exempt</w:t>
      </w:r>
      <w:r w:rsidR="008E24E3">
        <w:t>ing</w:t>
      </w:r>
      <w:r w:rsidR="008E24E3" w:rsidRPr="00BE127C">
        <w:t xml:space="preserve"> all federally regulated packaging in the exclusions section of the definition of household cleaning product</w:t>
      </w:r>
      <w:bookmarkEnd w:id="72"/>
    </w:p>
    <w:p w14:paraId="19949D69" w14:textId="6A7C66F1" w:rsidR="00584B3F" w:rsidRDefault="00584B3F" w:rsidP="00584B3F">
      <w:pPr>
        <w:pStyle w:val="Paragraph"/>
      </w:pPr>
      <w:r>
        <w:t>We considered e</w:t>
      </w:r>
      <w:r w:rsidRPr="00BE127C">
        <w:t>xempt</w:t>
      </w:r>
      <w:r>
        <w:t>ing</w:t>
      </w:r>
      <w:r w:rsidRPr="00BE127C">
        <w:t xml:space="preserve"> all federally regulated packaging in the exclusions section of the definition of household cleaning product</w:t>
      </w:r>
      <w:r>
        <w:t xml:space="preserve">. This alternative would not have met the goals and objectives of the </w:t>
      </w:r>
      <w:r w:rsidR="00447030">
        <w:t>authorizing statute</w:t>
      </w:r>
      <w:r>
        <w:t>.</w:t>
      </w:r>
    </w:p>
    <w:p w14:paraId="4F1F6598" w14:textId="2242BE23" w:rsidR="00584B3F" w:rsidRDefault="00584B3F" w:rsidP="00584B3F">
      <w:pPr>
        <w:pStyle w:val="Paragraph"/>
      </w:pPr>
      <w:r>
        <w:t xml:space="preserve">The language in the “annual adjustments and exclusions” section of the statute, RCW 70A.245.020(8), states that products can be temporarily excluded from </w:t>
      </w:r>
      <w:r w:rsidR="00C15D67">
        <w:t>PCRC</w:t>
      </w:r>
      <w:r>
        <w:t xml:space="preserve"> requirements if a producer “annually demonstrates . . . that the achievement of postconsumer recycled content </w:t>
      </w:r>
      <w:r>
        <w:lastRenderedPageBreak/>
        <w:t xml:space="preserve">requirements in the container material is not technically feasible to comply with health or safety requirements of federal law.” This addresses situations in which current technological limitations might make it infeasible to meet federal regulatory requirements pertaining to a product packaging while also meeting </w:t>
      </w:r>
      <w:r w:rsidR="00C15D67">
        <w:t>PCRC</w:t>
      </w:r>
      <w:r>
        <w:t xml:space="preserve"> percentages required in Washington.  </w:t>
      </w:r>
    </w:p>
    <w:p w14:paraId="5B609BE6" w14:textId="77777777" w:rsidR="00447030" w:rsidRDefault="00584B3F" w:rsidP="00584B3F">
      <w:pPr>
        <w:pStyle w:val="Paragraph"/>
      </w:pPr>
      <w:r>
        <w:t>In contrast, the definition of “covered product” in RCW 70A.245.010 states first that the term applies to “products subject to PCR content requirements” (without regard to the other reporting, registration, and fee requirements of the law). Further, the definition does not include “any type of container or bag for which the state is preempted from regulating content of the container material or bag material under federal law.”</w:t>
      </w:r>
    </w:p>
    <w:p w14:paraId="67B3AB6A" w14:textId="119DE83F" w:rsidR="00584B3F" w:rsidRDefault="00584B3F" w:rsidP="00584B3F">
      <w:pPr>
        <w:pStyle w:val="Paragraph"/>
      </w:pPr>
      <w:r>
        <w:t xml:space="preserve">We interpret this exemption from the definition of “covered product” to apply only to those federal laws that broadly and clearly preempt state </w:t>
      </w:r>
      <w:r w:rsidR="00C15D67">
        <w:t>PCRC</w:t>
      </w:r>
      <w:r>
        <w:t xml:space="preserve"> requirements, without regard to any question of the technical feasibility of complying with the federal law while also meeting state </w:t>
      </w:r>
      <w:r w:rsidR="00C15D67">
        <w:t>PCRC</w:t>
      </w:r>
      <w:r>
        <w:t xml:space="preserve"> requirements. At present, we are unaware of any such federal laws other than perhaps some of the laws that apply to the products automatically excluded from all the requirements of the chapter by exemption from the definition of “beverage container” and “plastic household cleaning product or personal care product container” (plastic bottles that are medical devices, medical products that are required to be sterile, and nonprescription and prescription drugs, dietary supplements as defined in RCW 82.08.0293, and packaging used for those products.) </w:t>
      </w:r>
    </w:p>
    <w:p w14:paraId="61C52B59" w14:textId="7C2AF710" w:rsidR="00584B3F" w:rsidRDefault="00584B3F" w:rsidP="00584B3F">
      <w:pPr>
        <w:pStyle w:val="Paragraph"/>
      </w:pPr>
      <w:r>
        <w:t xml:space="preserve">Returning to the temporary exclusion afforded by RCW 70A.245.020(8), that section incorporates the list of federal laws—those set out in RCW 70A.245.020(7)(b)(v)—that the </w:t>
      </w:r>
      <w:r w:rsidR="00447030">
        <w:t>Washington State Legislature</w:t>
      </w:r>
      <w:r>
        <w:t xml:space="preserve"> considered not to automatically preempt the </w:t>
      </w:r>
      <w:r w:rsidR="00C15D67">
        <w:t>PCRC</w:t>
      </w:r>
      <w:r>
        <w:t xml:space="preserve"> requirement, but which might present technical difficulties for producers in regard to meeting federal regulatory requirements for durability, child safety features</w:t>
      </w:r>
      <w:r w:rsidR="00611426">
        <w:t>,</w:t>
      </w:r>
      <w:r>
        <w:t xml:space="preserve"> and </w:t>
      </w:r>
      <w:r w:rsidR="00611426">
        <w:t>similar requirement</w:t>
      </w:r>
      <w:r>
        <w:t xml:space="preserve">, while at the same time meeting the new </w:t>
      </w:r>
      <w:r w:rsidR="00C15D67">
        <w:t>PCRC</w:t>
      </w:r>
      <w:r>
        <w:t xml:space="preserve"> requirements. The statute therefore provides an opportunity for a producer to make this technical infeasibility demonstration to obtain a temporary, year-long exclusion. The law allows only the temporary exclusion of such products from the </w:t>
      </w:r>
      <w:r w:rsidR="00C15D67">
        <w:t>PCRC</w:t>
      </w:r>
      <w:r>
        <w:t xml:space="preserve"> requirements. It does not provide for the exclusion of the producers of those products from the requirement to continue annually demonstrating the technical basis for that exclusion, or from registering, reporting, and paying fees. </w:t>
      </w:r>
    </w:p>
    <w:p w14:paraId="12CCA2F4" w14:textId="2DE533D6" w:rsidR="00582799" w:rsidRDefault="00584B3F" w:rsidP="00584B3F">
      <w:pPr>
        <w:pStyle w:val="Paragraph"/>
      </w:pPr>
      <w:r>
        <w:t xml:space="preserve">FIFRA is among the laws cited in this section </w:t>
      </w:r>
      <w:r w:rsidR="0044505E">
        <w:t>of the statute</w:t>
      </w:r>
      <w:r>
        <w:t xml:space="preserve"> (7 U.S.C. Sec. 136), which means products to which FIFRA applies would be subject to </w:t>
      </w:r>
      <w:r w:rsidR="00C15D67">
        <w:t>PCRC</w:t>
      </w:r>
      <w:r>
        <w:t xml:space="preserve"> requirements unless the producer annually demonstrates that the requirements imposed on the packaging of the product by EPA under FIFRA makes the achievement of </w:t>
      </w:r>
      <w:r w:rsidR="00C15D67">
        <w:t xml:space="preserve">PCRC </w:t>
      </w:r>
      <w:r>
        <w:t xml:space="preserve">minimums technically infeasible. Because EPA’s only requirements </w:t>
      </w:r>
      <w:r w:rsidR="00E018B9">
        <w:t>regarding</w:t>
      </w:r>
      <w:r>
        <w:t xml:space="preserve"> pesticide packaging under FIFRA concern child resistance, not </w:t>
      </w:r>
      <w:r w:rsidR="00C15D67">
        <w:t>PCRC</w:t>
      </w:r>
      <w:r>
        <w:t xml:space="preserve">, a state </w:t>
      </w:r>
      <w:r w:rsidR="00C15D67">
        <w:t xml:space="preserve">PCRC </w:t>
      </w:r>
      <w:r>
        <w:t xml:space="preserve">requirement for such packaging is not automatically preempted on the grounds that it creates a requirement “different than and in addition to” FIFRA’s requirement. See Lucas v. Bio-Lab, Inc., 108 F.Supp.2d 518, 524-525 (2000). It is likely that the process for this annual demonstration would be built into the registration and reporting database for the department to review. If the producer does not cite the federal regulatory requirement and technical achievability rationale demonstrating that </w:t>
      </w:r>
      <w:r w:rsidR="00C15D67">
        <w:t xml:space="preserve">PCRC </w:t>
      </w:r>
      <w:r>
        <w:t xml:space="preserve">cannot feasibly be included in the packaging, then the </w:t>
      </w:r>
      <w:r w:rsidR="00C15D67">
        <w:t xml:space="preserve">PCRC </w:t>
      </w:r>
      <w:r>
        <w:t xml:space="preserve">minimums would still apply. </w:t>
      </w:r>
    </w:p>
    <w:p w14:paraId="6ADC4ABF" w14:textId="0B98B9DE" w:rsidR="00582799" w:rsidRPr="000866A2" w:rsidRDefault="00582799" w:rsidP="00582799">
      <w:pPr>
        <w:pStyle w:val="RMSectionXXX"/>
      </w:pPr>
      <w:bookmarkStart w:id="73" w:name="_Toc132187823"/>
      <w:r w:rsidRPr="000866A2">
        <w:lastRenderedPageBreak/>
        <w:t xml:space="preserve">6.3.3 </w:t>
      </w:r>
      <w:r w:rsidR="008E24E3" w:rsidRPr="000866A2">
        <w:t>Alternative definitions of producer</w:t>
      </w:r>
      <w:bookmarkEnd w:id="73"/>
    </w:p>
    <w:p w14:paraId="202C6B0A" w14:textId="134C907B" w:rsidR="00582799" w:rsidRDefault="00584B3F" w:rsidP="00582799">
      <w:pPr>
        <w:pStyle w:val="Paragraph"/>
      </w:pPr>
      <w:r>
        <w:t>We considered including alternative definitions of producer, including:</w:t>
      </w:r>
    </w:p>
    <w:p w14:paraId="7B4F85B6" w14:textId="36350FF9" w:rsidR="00584B3F" w:rsidRDefault="00584B3F" w:rsidP="00B45A10">
      <w:pPr>
        <w:pStyle w:val="ListParagraph"/>
      </w:pPr>
      <w:r>
        <w:t>Adding language defining the producer in cases of a covered product being produced under a contract.</w:t>
      </w:r>
    </w:p>
    <w:p w14:paraId="2CB28758" w14:textId="52815422" w:rsidR="00584B3F" w:rsidRDefault="00584B3F" w:rsidP="00B45A10">
      <w:pPr>
        <w:pStyle w:val="ListParagraph"/>
      </w:pPr>
      <w:r>
        <w:t>Adding language interpreting a producer as a person with “decision-making authority” over product packaging. This would exclude private label brands and store brands.</w:t>
      </w:r>
    </w:p>
    <w:p w14:paraId="1F5B3053" w14:textId="732BDCA6" w:rsidR="001B24CF" w:rsidRDefault="0094742F" w:rsidP="00584B3F">
      <w:pPr>
        <w:pStyle w:val="Paragraph"/>
      </w:pPr>
      <w:r>
        <w:t xml:space="preserve">These alternatives would have </w:t>
      </w:r>
      <w:r w:rsidR="001B24CF">
        <w:t>imposed</w:t>
      </w:r>
      <w:r>
        <w:t xml:space="preserve"> additional burden on parties </w:t>
      </w:r>
      <w:r w:rsidR="002B635E">
        <w:t>that hold</w:t>
      </w:r>
      <w:r>
        <w:t xml:space="preserve"> </w:t>
      </w:r>
      <w:r w:rsidR="002B635E">
        <w:t>shared production, branding, or distribution contracts</w:t>
      </w:r>
      <w:r>
        <w:t xml:space="preserve">. These situations and relationships are varied and could create challenges or conflicts in establishing </w:t>
      </w:r>
      <w:r w:rsidR="001B24CF">
        <w:t>the</w:t>
      </w:r>
      <w:r>
        <w:t xml:space="preserve"> party responsible for compliance. </w:t>
      </w:r>
    </w:p>
    <w:p w14:paraId="468583AD" w14:textId="01C59271" w:rsidR="00584B3F" w:rsidRDefault="002B635E" w:rsidP="00584B3F">
      <w:pPr>
        <w:pStyle w:val="Paragraph"/>
      </w:pPr>
      <w:r>
        <w:t>Additional burden would also arise</w:t>
      </w:r>
      <w:r w:rsidR="0094742F" w:rsidRPr="0094742F">
        <w:t xml:space="preserve"> if private labels and retailers were allowed to transfer responsibility to their manufacturers, but then had to provide contractual evidence that they did not have decision making authority over the material content of the packaging. Without this there </w:t>
      </w:r>
      <w:r>
        <w:t>would be</w:t>
      </w:r>
      <w:r w:rsidR="0094742F" w:rsidRPr="0094742F">
        <w:t xml:space="preserve"> no way for Ecology to hold anyone accountable in the event of non-compliance.</w:t>
      </w:r>
    </w:p>
    <w:p w14:paraId="6D12D2FB" w14:textId="35A3B9E1" w:rsidR="00193ADF" w:rsidRDefault="002B635E" w:rsidP="00584B3F">
      <w:pPr>
        <w:pStyle w:val="Paragraph"/>
      </w:pPr>
      <w:r>
        <w:t>The proposed rule allows</w:t>
      </w:r>
      <w:r w:rsidR="0094742F" w:rsidRPr="0094742F">
        <w:t xml:space="preserve"> for manufacturer</w:t>
      </w:r>
      <w:r>
        <w:t>s</w:t>
      </w:r>
      <w:r w:rsidR="0094742F" w:rsidRPr="0094742F">
        <w:t xml:space="preserve"> to report on behalf of the brand (by submitting registration and reporting data) but does not allow the manufacturer to accept responsibility on behalf of a brand they do not own. There is too much regulatory and </w:t>
      </w:r>
      <w:r w:rsidR="00E45C6F">
        <w:t>producer</w:t>
      </w:r>
      <w:r w:rsidR="0094742F" w:rsidRPr="0094742F">
        <w:t xml:space="preserve"> burden in requiring Ecology to determine, based on supplied manufacturing contracts and </w:t>
      </w:r>
      <w:r w:rsidR="001B24CF" w:rsidRPr="0094742F">
        <w:t>agreements</w:t>
      </w:r>
      <w:r w:rsidR="0094742F" w:rsidRPr="0094742F">
        <w:t>, who has the ultimate decision-making authority over the material content of the packaging.</w:t>
      </w:r>
    </w:p>
    <w:p w14:paraId="79E922AF" w14:textId="3DA6C3DF" w:rsidR="00B32EE7" w:rsidRDefault="0094742F" w:rsidP="00584B3F">
      <w:pPr>
        <w:pStyle w:val="Paragraph"/>
      </w:pPr>
      <w:r w:rsidRPr="0094742F">
        <w:t xml:space="preserve">We also received feedback </w:t>
      </w:r>
      <w:r w:rsidR="00193ADF">
        <w:t xml:space="preserve">from </w:t>
      </w:r>
      <w:r w:rsidR="00B32EE7">
        <w:t>the rule advisory committee and other interested parties</w:t>
      </w:r>
      <w:r w:rsidR="00B32EE7" w:rsidRPr="0094742F">
        <w:t xml:space="preserve"> </w:t>
      </w:r>
      <w:r w:rsidRPr="0094742F">
        <w:t>that contract</w:t>
      </w:r>
      <w:r w:rsidR="00B32EE7">
        <w:t>ual</w:t>
      </w:r>
      <w:r w:rsidRPr="0094742F">
        <w:t xml:space="preserve"> relationships between brand</w:t>
      </w:r>
      <w:r w:rsidR="00B32EE7">
        <w:t xml:space="preserve"> owner</w:t>
      </w:r>
      <w:r w:rsidRPr="0094742F">
        <w:t xml:space="preserve">s and manufacturers can change multiple times within a single year, making this nearly impossible to track from an enforcement standpoint. </w:t>
      </w:r>
    </w:p>
    <w:p w14:paraId="2E381487" w14:textId="5CED2C9F" w:rsidR="0094742F" w:rsidRDefault="0094742F" w:rsidP="00584B3F">
      <w:pPr>
        <w:pStyle w:val="Paragraph"/>
      </w:pPr>
      <w:r w:rsidRPr="0094742F">
        <w:t>Though consistency with other states would be helpful, we cannot change the language of the statute. It is most straightforward and enforceable from Ecology's perspective to hold the brand owner as the primary responsible party</w:t>
      </w:r>
      <w:r>
        <w:t>.</w:t>
      </w:r>
    </w:p>
    <w:p w14:paraId="11D5B4D8" w14:textId="07BBCA39" w:rsidR="00E8605B" w:rsidRDefault="00E8605B" w:rsidP="00584B3F">
      <w:pPr>
        <w:pStyle w:val="Paragraph"/>
      </w:pPr>
      <w:r>
        <w:t>We note also that this alternative could result in complex situations in which manufacturers and brand owners cannot reach agreement about compliance responsibilities. This could result in added burden of resolving such conflicts, extending from additional time spent, up to costs of litigation to determine ultimate responsibility under the proposed rule.</w:t>
      </w:r>
    </w:p>
    <w:p w14:paraId="013C2463" w14:textId="0C5293DA" w:rsidR="00582799" w:rsidRDefault="00582799" w:rsidP="00582799">
      <w:pPr>
        <w:pStyle w:val="RMSectionXXX"/>
        <w:rPr>
          <w:highlight w:val="yellow"/>
        </w:rPr>
      </w:pPr>
      <w:bookmarkStart w:id="74" w:name="_Toc132187824"/>
      <w:r>
        <w:t xml:space="preserve">6.3.4 </w:t>
      </w:r>
      <w:r w:rsidR="008E24E3">
        <w:t>Removing coffee creamers from items listed as beverages</w:t>
      </w:r>
      <w:bookmarkEnd w:id="74"/>
    </w:p>
    <w:p w14:paraId="7B4C9EDC" w14:textId="30A87883" w:rsidR="00582799" w:rsidRDefault="00CE59C7" w:rsidP="00582799">
      <w:pPr>
        <w:pStyle w:val="Paragraph"/>
      </w:pPr>
      <w:r>
        <w:t xml:space="preserve">We considered </w:t>
      </w:r>
      <w:r w:rsidR="004E2D00">
        <w:t>r</w:t>
      </w:r>
      <w:r w:rsidRPr="00CE59C7">
        <w:t>emoving coffee creamers from items listed as beverages</w:t>
      </w:r>
      <w:r>
        <w:t>. We could not identify sufficient evidence that this inclusion is significantly burdensome, and this alternative would not have met the goals and objectives of the authorizing statute.</w:t>
      </w:r>
    </w:p>
    <w:p w14:paraId="1A37D7D8" w14:textId="40041ABE" w:rsidR="00CE59C7" w:rsidRDefault="004E2D00" w:rsidP="00582799">
      <w:pPr>
        <w:pStyle w:val="Paragraph"/>
      </w:pPr>
      <w:r>
        <w:t>R</w:t>
      </w:r>
      <w:r w:rsidR="00CE59C7" w:rsidRPr="00CE59C7">
        <w:t xml:space="preserve">eference to creamers in “condiment packaging” pertains to a part of the law that is not subject to rulemaking (.070, single-use serviceware requirements). Creamers in general do meet the definition of “beverage” for the purpose of </w:t>
      </w:r>
      <w:r w:rsidR="00C15D67">
        <w:t xml:space="preserve">PCRC </w:t>
      </w:r>
      <w:r w:rsidR="00CE59C7" w:rsidRPr="00CE59C7">
        <w:t>requirements. The intent of the law is to reduce the production of virgin plastic material by requiring PCR</w:t>
      </w:r>
      <w:r w:rsidR="00B32EE7">
        <w:t>C</w:t>
      </w:r>
      <w:r w:rsidR="00CE59C7" w:rsidRPr="00CE59C7">
        <w:t xml:space="preserve"> in as many rigid </w:t>
      </w:r>
      <w:r w:rsidR="00B32EE7">
        <w:t xml:space="preserve">plastic </w:t>
      </w:r>
      <w:r w:rsidR="00CE59C7" w:rsidRPr="00CE59C7">
        <w:t>containers as feasible.</w:t>
      </w:r>
      <w:bookmarkStart w:id="75" w:name="_Hlk130813047"/>
      <w:r w:rsidR="00CE59C7" w:rsidRPr="00CE59C7">
        <w:t xml:space="preserve"> The guiding principle to dictate items covered under this category </w:t>
      </w:r>
      <w:r w:rsidR="006607F1">
        <w:t>is</w:t>
      </w:r>
      <w:r w:rsidR="00CE59C7" w:rsidRPr="00CE59C7">
        <w:t xml:space="preserve"> </w:t>
      </w:r>
      <w:r w:rsidR="00CE59C7" w:rsidRPr="00CE59C7">
        <w:lastRenderedPageBreak/>
        <w:t>whether the retail-ready product is sold in a quantity of 2 fluid oz and 1 gallon. Serving size is not relevant to that definition.</w:t>
      </w:r>
    </w:p>
    <w:p w14:paraId="64159C1A" w14:textId="5F4F14B8" w:rsidR="00582799" w:rsidRDefault="00582799" w:rsidP="00582799">
      <w:pPr>
        <w:pStyle w:val="RMSectionXXX"/>
        <w:rPr>
          <w:highlight w:val="yellow"/>
        </w:rPr>
      </w:pPr>
      <w:bookmarkStart w:id="76" w:name="_Toc132187825"/>
      <w:bookmarkEnd w:id="75"/>
      <w:r>
        <w:t xml:space="preserve">6.3.5 </w:t>
      </w:r>
      <w:r w:rsidR="008E24E3">
        <w:t>Adding "offered for sale to individual consumers" to exclude sales to businesses</w:t>
      </w:r>
      <w:bookmarkEnd w:id="76"/>
    </w:p>
    <w:p w14:paraId="2C128F1A" w14:textId="41B519AE" w:rsidR="00582799" w:rsidRDefault="00CE59C7" w:rsidP="00582799">
      <w:pPr>
        <w:pStyle w:val="Paragraph"/>
      </w:pPr>
      <w:r>
        <w:t xml:space="preserve">We considered </w:t>
      </w:r>
      <w:r w:rsidR="004E2D00">
        <w:t>a</w:t>
      </w:r>
      <w:r>
        <w:t xml:space="preserve">dding "offered for sale to individual consumers" to exclude sales to businesses from covered </w:t>
      </w:r>
      <w:r w:rsidR="00B32EE7">
        <w:t xml:space="preserve">product </w:t>
      </w:r>
      <w:r>
        <w:t>categories. This would have failed to meet the goa</w:t>
      </w:r>
      <w:r w:rsidR="00D20AB3">
        <w:t>l</w:t>
      </w:r>
      <w:r>
        <w:t>s a</w:t>
      </w:r>
      <w:r w:rsidR="00143626">
        <w:t>n</w:t>
      </w:r>
      <w:r>
        <w:t xml:space="preserve">d objectives of the authorizing statute. The statute </w:t>
      </w:r>
      <w:r w:rsidR="00143626">
        <w:t>applies throughout to “</w:t>
      </w:r>
      <w:r w:rsidR="00143626" w:rsidRPr="00143626">
        <w:t>producers that offer for sale, sell, or distribute</w:t>
      </w:r>
      <w:r w:rsidR="00143626">
        <w:t xml:space="preserve"> [covered products]</w:t>
      </w:r>
      <w:r w:rsidR="00143626" w:rsidRPr="00143626">
        <w:t xml:space="preserve"> in or into Washington</w:t>
      </w:r>
      <w:r w:rsidR="00143626">
        <w:t xml:space="preserve">,” </w:t>
      </w:r>
      <w:r w:rsidR="007D7D2C">
        <w:t>and defines what is or is not a producer. It</w:t>
      </w:r>
      <w:r w:rsidR="00143626">
        <w:t xml:space="preserve"> does not give Ecology discretion in paring down or further defining PCRC requirement coverage</w:t>
      </w:r>
      <w:r w:rsidR="00F65B31">
        <w:t xml:space="preserve"> based on the purchaser of a covered product</w:t>
      </w:r>
      <w:r>
        <w:t>.</w:t>
      </w:r>
    </w:p>
    <w:p w14:paraId="5F08A35F" w14:textId="4408DDDF" w:rsidR="00582799" w:rsidRDefault="00582799" w:rsidP="00582799">
      <w:pPr>
        <w:pStyle w:val="RMSectionXXX"/>
        <w:rPr>
          <w:highlight w:val="yellow"/>
        </w:rPr>
      </w:pPr>
      <w:bookmarkStart w:id="77" w:name="_Toc132187826"/>
      <w:r>
        <w:t xml:space="preserve">6.3.6 </w:t>
      </w:r>
      <w:r w:rsidR="008E24E3">
        <w:t>Removing "multi-resin" from the definition of plastic beverage containers</w:t>
      </w:r>
      <w:bookmarkEnd w:id="77"/>
    </w:p>
    <w:p w14:paraId="697065ED" w14:textId="12C72236" w:rsidR="00582799" w:rsidRDefault="00B60A26" w:rsidP="00582799">
      <w:pPr>
        <w:pStyle w:val="Paragraph"/>
      </w:pPr>
      <w:r>
        <w:t xml:space="preserve">We considered </w:t>
      </w:r>
      <w:r w:rsidR="00FB0423">
        <w:t>r</w:t>
      </w:r>
      <w:r>
        <w:t>emoving "multi-resin" from the definition of plastic beverage containers</w:t>
      </w:r>
      <w:r w:rsidR="004D6E06">
        <w:t xml:space="preserve"> based on feedback that this may degrade the recyclability of certain covered products</w:t>
      </w:r>
      <w:r>
        <w:t xml:space="preserve">. This alternative would </w:t>
      </w:r>
      <w:r w:rsidR="00FB0423">
        <w:t>not have met</w:t>
      </w:r>
      <w:r>
        <w:t xml:space="preserve"> the goals and objectives of the authorizing statute. </w:t>
      </w:r>
      <w:r w:rsidRPr="00B60A26">
        <w:t xml:space="preserve">This </w:t>
      </w:r>
      <w:r w:rsidR="00FB0423">
        <w:t xml:space="preserve">definition </w:t>
      </w:r>
      <w:r w:rsidRPr="00B60A26">
        <w:t xml:space="preserve">language was established in </w:t>
      </w:r>
      <w:r w:rsidR="00FB0423">
        <w:t>the statute</w:t>
      </w:r>
      <w:r w:rsidR="000F157D" w:rsidRPr="00B60A26">
        <w:t>,</w:t>
      </w:r>
      <w:r w:rsidRPr="00B60A26">
        <w:t xml:space="preserve"> and we do not have enough evidence that PCRC cannot be incorporated into multi-resin plastics. Excluding them would limit the scope of covered products and decrease the effectiveness of the law.</w:t>
      </w:r>
    </w:p>
    <w:p w14:paraId="18031CF3" w14:textId="58E3575F" w:rsidR="00582799" w:rsidRDefault="00582799" w:rsidP="00582799">
      <w:pPr>
        <w:pStyle w:val="RMSectionXXX"/>
        <w:rPr>
          <w:highlight w:val="yellow"/>
        </w:rPr>
      </w:pPr>
      <w:bookmarkStart w:id="78" w:name="_Toc132187827"/>
      <w:r>
        <w:t xml:space="preserve">6.3.7 </w:t>
      </w:r>
      <w:r w:rsidR="008E24E3">
        <w:t>Removing items that are not readily or easily recycled from the list of covered products</w:t>
      </w:r>
      <w:bookmarkEnd w:id="78"/>
    </w:p>
    <w:p w14:paraId="4A7A66AD" w14:textId="4711418A" w:rsidR="00582799" w:rsidRDefault="004469D9" w:rsidP="00582799">
      <w:pPr>
        <w:pStyle w:val="Paragraph"/>
      </w:pPr>
      <w:r>
        <w:t xml:space="preserve">We considered </w:t>
      </w:r>
      <w:r w:rsidR="00FB0423">
        <w:t>r</w:t>
      </w:r>
      <w:r>
        <w:t>emoving items that are not readily or easily recycled from the list of covered products. This alternative would not have met the goals and objectives of the authorizing statute</w:t>
      </w:r>
      <w:r w:rsidR="00FB0423">
        <w:t>, as the statute</w:t>
      </w:r>
      <w:r w:rsidRPr="004469D9">
        <w:t xml:space="preserve"> does not address recyclability, only inclusion of PCR</w:t>
      </w:r>
      <w:r w:rsidR="00062A4C">
        <w:t>C</w:t>
      </w:r>
      <w:r w:rsidRPr="004469D9">
        <w:t xml:space="preserve"> </w:t>
      </w:r>
      <w:r w:rsidR="00FB0423">
        <w:t xml:space="preserve">in </w:t>
      </w:r>
      <w:r w:rsidR="00062A4C">
        <w:t xml:space="preserve">covered </w:t>
      </w:r>
      <w:r w:rsidR="00FB0423">
        <w:t>products for sale in Washington</w:t>
      </w:r>
      <w:r w:rsidRPr="004469D9">
        <w:t xml:space="preserve">. There are </w:t>
      </w:r>
      <w:r w:rsidR="00FB0423">
        <w:t xml:space="preserve">inherent </w:t>
      </w:r>
      <w:r w:rsidRPr="004469D9">
        <w:t>off-ramps for supply chain fluctuations, which will always be subject to change.</w:t>
      </w:r>
    </w:p>
    <w:p w14:paraId="181F4802" w14:textId="24C483BA" w:rsidR="00582799" w:rsidRDefault="00582799" w:rsidP="00582799">
      <w:pPr>
        <w:pStyle w:val="RMSectionXXX"/>
        <w:rPr>
          <w:highlight w:val="yellow"/>
        </w:rPr>
      </w:pPr>
      <w:bookmarkStart w:id="79" w:name="_Toc132187828"/>
      <w:r>
        <w:t xml:space="preserve">6.3.8 </w:t>
      </w:r>
      <w:r w:rsidR="008E24E3">
        <w:t>Using the California definition of household cleaning products</w:t>
      </w:r>
      <w:bookmarkEnd w:id="79"/>
    </w:p>
    <w:p w14:paraId="031A352B" w14:textId="265877D3" w:rsidR="00582799" w:rsidRDefault="004469D9" w:rsidP="00582799">
      <w:pPr>
        <w:pStyle w:val="Paragraph"/>
      </w:pPr>
      <w:r w:rsidRPr="004469D9">
        <w:t xml:space="preserve">Ecology began </w:t>
      </w:r>
      <w:r>
        <w:t xml:space="preserve">rule development </w:t>
      </w:r>
      <w:r w:rsidRPr="004469D9">
        <w:t xml:space="preserve">with California's definition </w:t>
      </w:r>
      <w:r w:rsidR="00A12BD7">
        <w:t xml:space="preserve">of household cleaning products </w:t>
      </w:r>
      <w:r w:rsidRPr="004469D9">
        <w:t>and asked for input</w:t>
      </w:r>
      <w:r w:rsidR="00432CCA">
        <w:t xml:space="preserve"> from the rule advisory committee</w:t>
      </w:r>
      <w:r w:rsidRPr="004469D9">
        <w:t xml:space="preserve">. This definition was: "household cleaning products include soaps, detergents, softeners, and stain removers or other chemically formulated domestic consumer products labeled to indicate that the purpose of the product is to clean, or otherwise care for fabric, dishes, or other wares, surfaces including, floors, furniture, countertops, showers, and baths; or other hard surfaces, such as stovetops, microwaves, and other appliances." </w:t>
      </w:r>
      <w:r w:rsidR="00432CCA">
        <w:t>The rule advisory committee and other interested parties</w:t>
      </w:r>
      <w:r w:rsidR="00432CCA" w:rsidRPr="004469D9">
        <w:t xml:space="preserve"> </w:t>
      </w:r>
      <w:r w:rsidRPr="004469D9">
        <w:t>were divided on whether to include pet cleaners, air fresheners, polishes, and exterior cleaning products.</w:t>
      </w:r>
    </w:p>
    <w:p w14:paraId="570A1931" w14:textId="75CEB37D" w:rsidR="004469D9" w:rsidRDefault="004469D9" w:rsidP="00582799">
      <w:pPr>
        <w:pStyle w:val="Paragraph"/>
      </w:pPr>
      <w:r>
        <w:t xml:space="preserve">This alternative would have imposed additional burden if it expanded the overall scope of PCRC requirements or would have failed to meet statutory goals and objectives if the scope </w:t>
      </w:r>
      <w:r w:rsidR="009E6428">
        <w:t>were</w:t>
      </w:r>
      <w:r>
        <w:t xml:space="preserve"> </w:t>
      </w:r>
      <w:r w:rsidR="001B24CF">
        <w:t>narrowed</w:t>
      </w:r>
      <w:r>
        <w:t xml:space="preserve"> beyond the statutory requirements.</w:t>
      </w:r>
    </w:p>
    <w:p w14:paraId="37D1F72A" w14:textId="71CA24BC" w:rsidR="004469D9" w:rsidRDefault="00A12BD7" w:rsidP="00582799">
      <w:pPr>
        <w:pStyle w:val="Paragraph"/>
      </w:pPr>
      <w:r>
        <w:lastRenderedPageBreak/>
        <w:t>Ecology ultimately d</w:t>
      </w:r>
      <w:r w:rsidR="004469D9" w:rsidRPr="004469D9">
        <w:t>etermined that the definition in rule must center around the intended use of the products</w:t>
      </w:r>
      <w:r>
        <w:t>, i</w:t>
      </w:r>
      <w:r w:rsidR="000F157D" w:rsidRPr="004469D9">
        <w:t>.e.,</w:t>
      </w:r>
      <w:r w:rsidR="004469D9" w:rsidRPr="004469D9">
        <w:t xml:space="preserve"> </w:t>
      </w:r>
      <w:r>
        <w:t xml:space="preserve">whether they </w:t>
      </w:r>
      <w:r w:rsidR="004469D9" w:rsidRPr="004469D9">
        <w:t xml:space="preserve">are they advertised or labeled to clean, purify, </w:t>
      </w:r>
      <w:r>
        <w:t>and similar purposes</w:t>
      </w:r>
      <w:r w:rsidR="001B24CF" w:rsidRPr="004469D9">
        <w:t>. We</w:t>
      </w:r>
      <w:r w:rsidR="004469D9" w:rsidRPr="004469D9">
        <w:t xml:space="preserve"> added a part (b) to the definition of "household cleaning products" to note that the scope of a "household</w:t>
      </w:r>
      <w:r w:rsidR="000F157D" w:rsidRPr="004469D9">
        <w:t>” is</w:t>
      </w:r>
      <w:r w:rsidR="004469D9" w:rsidRPr="004469D9">
        <w:t xml:space="preserve"> all products that can be sold and marketed for individual </w:t>
      </w:r>
      <w:r w:rsidR="0070385A">
        <w:t xml:space="preserve">customer </w:t>
      </w:r>
      <w:r w:rsidR="004469D9" w:rsidRPr="004469D9">
        <w:t>or residential use</w:t>
      </w:r>
      <w:r w:rsidR="004469D9" w:rsidRPr="00B97295">
        <w:t>.</w:t>
      </w:r>
    </w:p>
    <w:p w14:paraId="52B03120" w14:textId="11E32A47" w:rsidR="00582799" w:rsidRDefault="00582799" w:rsidP="00582799">
      <w:pPr>
        <w:pStyle w:val="RMSectionXXX"/>
        <w:rPr>
          <w:highlight w:val="yellow"/>
        </w:rPr>
      </w:pPr>
      <w:bookmarkStart w:id="80" w:name="_Toc132187829"/>
      <w:r>
        <w:t xml:space="preserve">6.3.9 </w:t>
      </w:r>
      <w:r w:rsidR="008E24E3">
        <w:t>Adding surface polishes, air cleaners, and other products to the definition of household cleaning products</w:t>
      </w:r>
      <w:bookmarkEnd w:id="80"/>
    </w:p>
    <w:p w14:paraId="4C597011" w14:textId="1362C0E3" w:rsidR="00582799" w:rsidRDefault="00612A4E" w:rsidP="00582799">
      <w:pPr>
        <w:pStyle w:val="Paragraph"/>
      </w:pPr>
      <w:r>
        <w:t xml:space="preserve">We considered </w:t>
      </w:r>
      <w:r w:rsidR="001F2C36">
        <w:t>a</w:t>
      </w:r>
      <w:r w:rsidRPr="00612A4E">
        <w:t>dding surface polishes, air cleaners, and other products to the definition of household cleaning products</w:t>
      </w:r>
      <w:r>
        <w:t xml:space="preserve">. While this alternative would have exceeded statutory goals and objectives of the scope of coverage, it would </w:t>
      </w:r>
      <w:r w:rsidR="000F157D">
        <w:t>also have</w:t>
      </w:r>
      <w:r>
        <w:t xml:space="preserve"> imposed additional burden by expanding the scope of covered products beyond what is in the authorizing statute, including a broad set of potential “other” products. </w:t>
      </w:r>
      <w:r w:rsidRPr="00612A4E">
        <w:t>Ecology accepted this interpretation for the most part except that we maintain the inclusion of air cleaners as a</w:t>
      </w:r>
      <w:r w:rsidR="001F2C36">
        <w:t>n expressly marketed</w:t>
      </w:r>
      <w:r w:rsidRPr="00612A4E">
        <w:t xml:space="preserve"> cleaner for household </w:t>
      </w:r>
      <w:r w:rsidR="001B24CF" w:rsidRPr="00612A4E">
        <w:t>environments</w:t>
      </w:r>
      <w:r w:rsidRPr="00612A4E">
        <w:t>.</w:t>
      </w:r>
    </w:p>
    <w:p w14:paraId="59A55191" w14:textId="0CD75255" w:rsidR="00582799" w:rsidRDefault="00582799" w:rsidP="00582799">
      <w:pPr>
        <w:pStyle w:val="RMSectionXXX"/>
        <w:rPr>
          <w:highlight w:val="yellow"/>
        </w:rPr>
      </w:pPr>
      <w:bookmarkStart w:id="81" w:name="_Toc132187830"/>
      <w:r>
        <w:t xml:space="preserve">6.3.10 </w:t>
      </w:r>
      <w:r w:rsidR="008E24E3">
        <w:t>Using the dictionary definition of household</w:t>
      </w:r>
      <w:bookmarkEnd w:id="81"/>
    </w:p>
    <w:p w14:paraId="36371273" w14:textId="2BAE2786" w:rsidR="00582799" w:rsidRDefault="00612A4E" w:rsidP="00582799">
      <w:pPr>
        <w:pStyle w:val="Paragraph"/>
      </w:pPr>
      <w:r>
        <w:t>We considered including a dictionary definition of household (adjective) to state, “for use in maintaining a home, especially for use in cooking, cleaning, laundering, repairing, etc. in the home.” This alternative would have failed to include exterior cleaning products and would therefore not have met the goals of the authorizing statute</w:t>
      </w:r>
      <w:r w:rsidR="001F2C36">
        <w:t>, which does not differentiate between locations of use for household products</w:t>
      </w:r>
      <w:r>
        <w:t xml:space="preserve">. </w:t>
      </w:r>
      <w:r w:rsidRPr="00612A4E">
        <w:t>Ecology built upon the definition of household by the US Census Bureau and clarified that we mean the space shared by all people who will utilize household cleaning products to clean any part of that space.</w:t>
      </w:r>
    </w:p>
    <w:p w14:paraId="303EFB1C" w14:textId="4B3C0483" w:rsidR="00582799" w:rsidRDefault="00582799" w:rsidP="00582799">
      <w:pPr>
        <w:pStyle w:val="RMSectionXXX"/>
        <w:rPr>
          <w:highlight w:val="yellow"/>
        </w:rPr>
      </w:pPr>
      <w:bookmarkStart w:id="82" w:name="_Toc132187831"/>
      <w:r>
        <w:t xml:space="preserve">6.3.11 </w:t>
      </w:r>
      <w:r w:rsidR="008E24E3">
        <w:t>Extending PCR</w:t>
      </w:r>
      <w:r w:rsidR="004D6E06">
        <w:t>C</w:t>
      </w:r>
      <w:r w:rsidR="008E24E3">
        <w:t xml:space="preserve"> requirements to include caps, labels, trigger sprayers, and attachments</w:t>
      </w:r>
      <w:bookmarkEnd w:id="82"/>
    </w:p>
    <w:p w14:paraId="7B3427D3" w14:textId="080EB3AB" w:rsidR="00582799" w:rsidRDefault="006939B2" w:rsidP="00582799">
      <w:pPr>
        <w:pStyle w:val="Paragraph"/>
      </w:pPr>
      <w:r>
        <w:t xml:space="preserve">We considered </w:t>
      </w:r>
      <w:r w:rsidR="001F2C36">
        <w:t>e</w:t>
      </w:r>
      <w:r w:rsidRPr="006939B2">
        <w:t>xtending PCR</w:t>
      </w:r>
      <w:r w:rsidR="004D6E06">
        <w:t>C</w:t>
      </w:r>
      <w:r w:rsidRPr="006939B2" w:rsidDel="004D6E06">
        <w:t xml:space="preserve"> </w:t>
      </w:r>
      <w:r w:rsidRPr="006939B2">
        <w:t xml:space="preserve">requirements to include caps, labels, trigger sprayers, and </w:t>
      </w:r>
      <w:r>
        <w:t xml:space="preserve">other </w:t>
      </w:r>
      <w:r w:rsidRPr="006939B2">
        <w:t>attachments</w:t>
      </w:r>
      <w:r>
        <w:t xml:space="preserve">. This would have imposed additional burden on </w:t>
      </w:r>
      <w:r w:rsidR="00E45C6F">
        <w:t>producers</w:t>
      </w:r>
      <w:r>
        <w:t>, particularly if these attachments were required to meet PCR</w:t>
      </w:r>
      <w:r w:rsidR="001B24CF">
        <w:t>C</w:t>
      </w:r>
      <w:r>
        <w:t xml:space="preserve"> requirements for some product categories but not others. </w:t>
      </w:r>
      <w:r w:rsidR="001F2C36">
        <w:t>The proposed rule</w:t>
      </w:r>
      <w:r w:rsidRPr="006939B2">
        <w:t xml:space="preserve"> language establishes consistency with the exclusion of these items in the definition of beverage containers. These types of items are excluded from PCRC requirements in household cleaning and personal care product containers.</w:t>
      </w:r>
    </w:p>
    <w:p w14:paraId="1B295319" w14:textId="46B8472D" w:rsidR="00582799" w:rsidRDefault="00582799" w:rsidP="00582799">
      <w:pPr>
        <w:pStyle w:val="RMSectionXXX"/>
        <w:rPr>
          <w:highlight w:val="yellow"/>
        </w:rPr>
      </w:pPr>
      <w:bookmarkStart w:id="83" w:name="_Toc132187832"/>
      <w:r>
        <w:t xml:space="preserve">6.3.12 </w:t>
      </w:r>
      <w:r w:rsidR="008E24E3">
        <w:t>Structuring fees such that producers are only required to pay fees once their category has been phased into the requirement</w:t>
      </w:r>
      <w:bookmarkEnd w:id="83"/>
    </w:p>
    <w:p w14:paraId="1B65A267" w14:textId="6A41A7F7" w:rsidR="00582799" w:rsidRDefault="008A7C56" w:rsidP="00582799">
      <w:pPr>
        <w:pStyle w:val="Paragraph"/>
      </w:pPr>
      <w:r>
        <w:t xml:space="preserve">We considered </w:t>
      </w:r>
      <w:r w:rsidR="001E5075">
        <w:t>s</w:t>
      </w:r>
      <w:r w:rsidRPr="008A7C56">
        <w:t>tructuring fees such that producers are only required to pay fees once their category has been phased into the requirement</w:t>
      </w:r>
      <w:r w:rsidR="001D2705">
        <w:t>. This alternative would not have met the statutory goals and objectives, or the budgetary needs of the program</w:t>
      </w:r>
      <w:r w:rsidR="00353A14">
        <w:t>, and would have inequitably distributed the higher initial costs of rulemaking</w:t>
      </w:r>
      <w:r w:rsidR="001D2705">
        <w:t xml:space="preserve">. </w:t>
      </w:r>
      <w:r w:rsidR="00353A14">
        <w:t>Under the proposed rule, a</w:t>
      </w:r>
      <w:r w:rsidR="001D2705" w:rsidRPr="001D2705">
        <w:t>ll producers will cover some portion of the fee to cover Ecology</w:t>
      </w:r>
      <w:r w:rsidR="001E5075">
        <w:t xml:space="preserve"> costs</w:t>
      </w:r>
      <w:r w:rsidR="00AE13A2">
        <w:t xml:space="preserve">, including the cost of </w:t>
      </w:r>
      <w:r w:rsidR="00AE13A2">
        <w:lastRenderedPageBreak/>
        <w:t>rulemaking that will be complete before some PCRC rates apply</w:t>
      </w:r>
      <w:r w:rsidR="001D2705" w:rsidRPr="001D2705">
        <w:t>. For later phased in categories</w:t>
      </w:r>
      <w:r w:rsidR="001E5075">
        <w:t>, t</w:t>
      </w:r>
      <w:r w:rsidR="001D2705" w:rsidRPr="001D2705">
        <w:t xml:space="preserve">hose without requirements yet still </w:t>
      </w:r>
      <w:r w:rsidR="00353A14">
        <w:t xml:space="preserve">would </w:t>
      </w:r>
      <w:r w:rsidR="001D2705" w:rsidRPr="001D2705">
        <w:t>need to register</w:t>
      </w:r>
      <w:r w:rsidR="00AE13A2">
        <w:t xml:space="preserve"> and pay the administration portion of the fee, but not the PCRC oversight costs</w:t>
      </w:r>
      <w:r w:rsidR="001D2705" w:rsidRPr="001D2705">
        <w:t>.</w:t>
      </w:r>
    </w:p>
    <w:p w14:paraId="25141C5E" w14:textId="5F1C52AC" w:rsidR="00582799" w:rsidRDefault="00582799" w:rsidP="00582799">
      <w:pPr>
        <w:pStyle w:val="RMSectionXXX"/>
        <w:rPr>
          <w:highlight w:val="yellow"/>
        </w:rPr>
      </w:pPr>
      <w:bookmarkStart w:id="84" w:name="_Toc132187833"/>
      <w:r>
        <w:t xml:space="preserve">6.3.13 </w:t>
      </w:r>
      <w:r w:rsidR="008E24E3">
        <w:t>Not requiring de minimis producer notification</w:t>
      </w:r>
      <w:bookmarkEnd w:id="84"/>
    </w:p>
    <w:p w14:paraId="0F90F88D" w14:textId="2D398FF9" w:rsidR="00582799" w:rsidRDefault="00C41AE9" w:rsidP="00582799">
      <w:pPr>
        <w:pStyle w:val="Paragraph"/>
      </w:pPr>
      <w:r>
        <w:t xml:space="preserve">We considered </w:t>
      </w:r>
      <w:r w:rsidR="0012159F">
        <w:t>n</w:t>
      </w:r>
      <w:r w:rsidRPr="00C41AE9">
        <w:t>ot requiring de minimis producer notification</w:t>
      </w:r>
      <w:r>
        <w:t xml:space="preserve">. This alternative would not have met the goals and objectives of the authorizing statute. </w:t>
      </w:r>
      <w:r w:rsidR="0012159F">
        <w:t>Ecology</w:t>
      </w:r>
      <w:r w:rsidRPr="00C41AE9">
        <w:t xml:space="preserve"> needs this information to be able to implement the chapter using authority granted under </w:t>
      </w:r>
      <w:r w:rsidR="001B24CF">
        <w:t>RCW</w:t>
      </w:r>
      <w:r w:rsidRPr="00C41AE9">
        <w:t xml:space="preserve"> 70</w:t>
      </w:r>
      <w:r w:rsidR="001B24CF">
        <w:t>A</w:t>
      </w:r>
      <w:r w:rsidRPr="00C41AE9">
        <w:t xml:space="preserve">.245.090. </w:t>
      </w:r>
      <w:r w:rsidR="0012159F">
        <w:t xml:space="preserve">We would not be able to </w:t>
      </w:r>
      <w:r w:rsidRPr="00C41AE9">
        <w:t xml:space="preserve">identify </w:t>
      </w:r>
      <w:r w:rsidR="0012159F">
        <w:t xml:space="preserve">overall </w:t>
      </w:r>
      <w:r w:rsidRPr="00C41AE9">
        <w:t xml:space="preserve">compliance if de </w:t>
      </w:r>
      <w:r w:rsidR="001B24CF" w:rsidRPr="00C41AE9">
        <w:t>minimis</w:t>
      </w:r>
      <w:r w:rsidRPr="00C41AE9">
        <w:t xml:space="preserve"> producers </w:t>
      </w:r>
      <w:r w:rsidR="0012159F">
        <w:t>did not</w:t>
      </w:r>
      <w:r w:rsidRPr="00C41AE9">
        <w:t xml:space="preserve"> register</w:t>
      </w:r>
      <w:r w:rsidR="0012159F">
        <w:t>. Moreover,</w:t>
      </w:r>
      <w:r w:rsidRPr="00C41AE9">
        <w:t xml:space="preserve"> de </w:t>
      </w:r>
      <w:r w:rsidR="001B24CF" w:rsidRPr="00C41AE9">
        <w:t>minimis</w:t>
      </w:r>
      <w:r w:rsidRPr="00C41AE9">
        <w:t xml:space="preserve"> status may change </w:t>
      </w:r>
      <w:r w:rsidR="0012159F">
        <w:t xml:space="preserve">from </w:t>
      </w:r>
      <w:r w:rsidRPr="00C41AE9">
        <w:t>one year to the next</w:t>
      </w:r>
      <w:r w:rsidR="0012159F">
        <w:t xml:space="preserve">, and producers </w:t>
      </w:r>
      <w:r w:rsidRPr="00C41AE9">
        <w:t xml:space="preserve">need to demonstrate annually that they still meet the de </w:t>
      </w:r>
      <w:r w:rsidR="001B24CF" w:rsidRPr="00C41AE9">
        <w:t>minimis</w:t>
      </w:r>
      <w:r w:rsidRPr="00C41AE9">
        <w:t xml:space="preserve"> threshold. </w:t>
      </w:r>
      <w:r w:rsidR="0012159F">
        <w:t>Under the proposed rule, there would</w:t>
      </w:r>
      <w:r w:rsidRPr="00C41AE9">
        <w:t xml:space="preserve"> not be penalties for </w:t>
      </w:r>
      <w:r w:rsidR="0012159F">
        <w:t>failing to notify</w:t>
      </w:r>
      <w:r w:rsidRPr="00C41AE9">
        <w:t xml:space="preserve">, but de minimis producers </w:t>
      </w:r>
      <w:r w:rsidR="0012159F">
        <w:t xml:space="preserve">that do not register </w:t>
      </w:r>
      <w:r w:rsidRPr="00C41AE9">
        <w:t xml:space="preserve">increase their likelihood </w:t>
      </w:r>
      <w:r w:rsidR="00353A14">
        <w:t>of receiving inquiries from Ecology as to their status</w:t>
      </w:r>
      <w:r>
        <w:t>.</w:t>
      </w:r>
    </w:p>
    <w:p w14:paraId="514AB66A" w14:textId="13E8AE43" w:rsidR="00582799" w:rsidRDefault="00582799" w:rsidP="00582799">
      <w:pPr>
        <w:pStyle w:val="RMSectionXXX"/>
        <w:rPr>
          <w:highlight w:val="yellow"/>
        </w:rPr>
      </w:pPr>
      <w:bookmarkStart w:id="85" w:name="_Toc132187834"/>
      <w:r>
        <w:t xml:space="preserve">6.3.14 </w:t>
      </w:r>
      <w:r w:rsidR="008E24E3">
        <w:t>Defining manufacturer</w:t>
      </w:r>
      <w:bookmarkEnd w:id="85"/>
    </w:p>
    <w:p w14:paraId="3A44D28E" w14:textId="0B4CA9BB" w:rsidR="00582799" w:rsidRDefault="00B20301" w:rsidP="00582799">
      <w:pPr>
        <w:pStyle w:val="Paragraph"/>
      </w:pPr>
      <w:r>
        <w:t xml:space="preserve">We considered including a definition of manufacturer in the proposed rule. This would not have met the goals and objectives of the authorizing statute. </w:t>
      </w:r>
      <w:r w:rsidR="00856BD6">
        <w:t>The proposed rule language does</w:t>
      </w:r>
      <w:r w:rsidRPr="00B20301">
        <w:t xml:space="preserve"> not provide a definition for "manufacturer" because, for the purposes of implementation and enforcement</w:t>
      </w:r>
      <w:r w:rsidR="0012159F">
        <w:t xml:space="preserve"> of the statute</w:t>
      </w:r>
      <w:r w:rsidRPr="00B20301">
        <w:t>, the responsible party must be the brand owner. Including a definition for manufacturer confuses this intent, since the manufacturer does not have responsibility as a producer unless they own the brand the product is sold under.</w:t>
      </w:r>
    </w:p>
    <w:p w14:paraId="5C0E3D64" w14:textId="49548FD6" w:rsidR="00582799" w:rsidRDefault="00582799" w:rsidP="00582799">
      <w:pPr>
        <w:pStyle w:val="RMSectionXXX"/>
        <w:rPr>
          <w:highlight w:val="yellow"/>
        </w:rPr>
      </w:pPr>
      <w:bookmarkStart w:id="86" w:name="_Toc132187835"/>
      <w:r>
        <w:t>6.3.1</w:t>
      </w:r>
      <w:r w:rsidR="003229A7">
        <w:t>5</w:t>
      </w:r>
      <w:r>
        <w:t xml:space="preserve"> </w:t>
      </w:r>
      <w:r w:rsidR="008E24E3">
        <w:t xml:space="preserve">Adding an opportunity to add a step to ensure that disagreements over confidential data will be </w:t>
      </w:r>
      <w:r w:rsidR="001B24CF">
        <w:t>handled</w:t>
      </w:r>
      <w:r w:rsidR="008E24E3">
        <w:t xml:space="preserve"> before being published</w:t>
      </w:r>
      <w:bookmarkEnd w:id="86"/>
    </w:p>
    <w:p w14:paraId="29561EF0" w14:textId="2CFE15D7" w:rsidR="00582799" w:rsidRDefault="00F159F3" w:rsidP="00582799">
      <w:pPr>
        <w:pStyle w:val="Paragraph"/>
      </w:pPr>
      <w:r>
        <w:t xml:space="preserve">We considered </w:t>
      </w:r>
      <w:r w:rsidR="0012159F">
        <w:t>a</w:t>
      </w:r>
      <w:r w:rsidRPr="00F159F3">
        <w:t xml:space="preserve">dding an opportunity to ensure that disagreements over confidential data will be </w:t>
      </w:r>
      <w:r w:rsidR="001B24CF" w:rsidRPr="00F159F3">
        <w:t>handled</w:t>
      </w:r>
      <w:r w:rsidRPr="00F159F3">
        <w:t xml:space="preserve"> before being published</w:t>
      </w:r>
      <w:r w:rsidR="0012159F">
        <w:t>, by adding a step to the process</w:t>
      </w:r>
      <w:r w:rsidR="001E4285">
        <w:t xml:space="preserve"> for confidential information</w:t>
      </w:r>
      <w:r>
        <w:t>.</w:t>
      </w:r>
      <w:r w:rsidR="000A0E1F">
        <w:t xml:space="preserve"> This would have added burden beyond existing requirements for confidential business information</w:t>
      </w:r>
      <w:r w:rsidR="004C6094">
        <w:t xml:space="preserve"> without necessarily better protecting </w:t>
      </w:r>
      <w:r w:rsidR="001E4285">
        <w:t xml:space="preserve">that </w:t>
      </w:r>
      <w:r w:rsidR="004C6094">
        <w:t>information</w:t>
      </w:r>
      <w:r w:rsidR="000A0E1F">
        <w:t xml:space="preserve">. </w:t>
      </w:r>
      <w:r w:rsidR="000A0E1F" w:rsidRPr="000A0E1F">
        <w:t xml:space="preserve">Ecology must follow the prescribed process and criteria for granting </w:t>
      </w:r>
      <w:r w:rsidR="001B24CF" w:rsidRPr="000A0E1F">
        <w:t>confidentiality</w:t>
      </w:r>
      <w:r w:rsidR="00B13CFF">
        <w:t xml:space="preserve"> under existing procedures and policies</w:t>
      </w:r>
      <w:r w:rsidR="004C6094">
        <w:t xml:space="preserve">, </w:t>
      </w:r>
      <w:r w:rsidR="001E4285">
        <w:t>under which the Director determines whether information is confidential. This process does not prohibit additional information or investigation, depending on what is appropriate for the information in question</w:t>
      </w:r>
      <w:r w:rsidR="001B24CF" w:rsidRPr="000A0E1F">
        <w:t>.</w:t>
      </w:r>
    </w:p>
    <w:p w14:paraId="4D7817CF" w14:textId="01D8C346" w:rsidR="00582799" w:rsidRDefault="00582799" w:rsidP="00582799">
      <w:pPr>
        <w:pStyle w:val="RMSectionXXX"/>
        <w:rPr>
          <w:highlight w:val="yellow"/>
        </w:rPr>
      </w:pPr>
      <w:bookmarkStart w:id="87" w:name="_Toc132187836"/>
      <w:r>
        <w:t>6.3.1</w:t>
      </w:r>
      <w:r w:rsidR="00F159F3">
        <w:t>6</w:t>
      </w:r>
      <w:r>
        <w:t xml:space="preserve"> </w:t>
      </w:r>
      <w:r w:rsidR="008E24E3">
        <w:t>Requiring third-party verification</w:t>
      </w:r>
      <w:bookmarkEnd w:id="87"/>
    </w:p>
    <w:p w14:paraId="13364F05" w14:textId="55170F9F" w:rsidR="00582799" w:rsidRDefault="00B16C6F" w:rsidP="00582799">
      <w:pPr>
        <w:pStyle w:val="Paragraph"/>
      </w:pPr>
      <w:r>
        <w:t>We considered including the following language in the proposed rule regarding verification:</w:t>
      </w:r>
    </w:p>
    <w:p w14:paraId="702FE757" w14:textId="0D9A0979" w:rsidR="00B16C6F" w:rsidRDefault="00B16C6F" w:rsidP="00B16C6F">
      <w:pPr>
        <w:pStyle w:val="Paragraph"/>
        <w:ind w:left="720" w:right="720"/>
        <w:jc w:val="both"/>
      </w:pPr>
      <w:r>
        <w:t xml:space="preserve">For the purposes of meeting the postconsumer recycled content requirement by weight means plastics certified under an approved certification system and produced (i) from mechanical recycling using postconsumer materials, or (ii) from non-mechanical processing of postconsumer materials via mass balance attribution. Post-use plastic and intermediate feedstock sold or marketed as fuels </w:t>
      </w:r>
      <w:r>
        <w:lastRenderedPageBreak/>
        <w:t>does not count toward satisfying the recycled plastics standard set forth in Chapter 70A.245 RCW</w:t>
      </w:r>
      <w:r w:rsidR="00AE13A2">
        <w:t>.</w:t>
      </w:r>
    </w:p>
    <w:p w14:paraId="78CAE2E6" w14:textId="4DDF91CE" w:rsidR="00B16C6F" w:rsidRDefault="00B16C6F" w:rsidP="00B16C6F">
      <w:pPr>
        <w:pStyle w:val="Paragraph"/>
        <w:ind w:left="720" w:right="720"/>
        <w:jc w:val="both"/>
      </w:pPr>
      <w:r>
        <w:t xml:space="preserve">The Director shall annually certify that producers have met the standards for recycled content in the required products in Chapter 70A.245 RCW based on the </w:t>
      </w:r>
      <w:r w:rsidR="000F157D">
        <w:t>producers’</w:t>
      </w:r>
      <w:r>
        <w:t xml:space="preserve"> use of an existing international and multi-national third-party certification systems, which incorporates chain of custody, attribution, mass balance, and certified mass balance attribution. The Director shall:</w:t>
      </w:r>
    </w:p>
    <w:p w14:paraId="1A6F79C8" w14:textId="77777777" w:rsidR="00B16C6F" w:rsidRDefault="00B16C6F" w:rsidP="00B16C6F">
      <w:pPr>
        <w:pStyle w:val="Paragraph"/>
        <w:ind w:left="720" w:right="720"/>
        <w:jc w:val="both"/>
      </w:pPr>
      <w:r>
        <w:t xml:space="preserve"> (A) issue a list of “approved certification systems,” each of which shall be an existing international and multi-national third-party certification system applying chain of custody, attribution, mass balance, and certified mass balance attribution that must recognize product certification from other approved bodies and that producers shall use to demonstrate annual compliance with the standards for recycled content in the required products, which shall: </w:t>
      </w:r>
    </w:p>
    <w:p w14:paraId="419FBA9C" w14:textId="77777777" w:rsidR="00B16C6F" w:rsidRDefault="00B16C6F" w:rsidP="00B16C6F">
      <w:pPr>
        <w:pStyle w:val="Paragraph"/>
        <w:ind w:left="720" w:right="720"/>
        <w:jc w:val="both"/>
      </w:pPr>
      <w:r>
        <w:t xml:space="preserve">(i) include, but not be limited to, International Sustainability &amp; Carbon Certification; Underwriter Laboratories, SCS Recycled Content, Roundtable on Sustainable Biomaterials, Ecoloop, Recycled Material Standard and REDcert2; and </w:t>
      </w:r>
    </w:p>
    <w:p w14:paraId="70BF2BC3" w14:textId="4164ECF5" w:rsidR="00B16C6F" w:rsidRDefault="00B16C6F" w:rsidP="00B16C6F">
      <w:pPr>
        <w:pStyle w:val="Paragraph"/>
        <w:ind w:left="720" w:right="720"/>
        <w:jc w:val="both"/>
      </w:pPr>
      <w:r>
        <w:t>(ii) be annually updated to incorporate new certification systems applying chain of custody, attribution, mass balance, and certified mass balance attribution.</w:t>
      </w:r>
    </w:p>
    <w:p w14:paraId="57E33A56" w14:textId="2C3335FA" w:rsidR="00B16C6F" w:rsidRDefault="00B16C6F" w:rsidP="0012159F">
      <w:pPr>
        <w:pStyle w:val="Paragraph"/>
      </w:pPr>
      <w:r>
        <w:t xml:space="preserve">This alternative would have imposed significant additional compliance burden. </w:t>
      </w:r>
      <w:r w:rsidR="0012159F">
        <w:t>Thi</w:t>
      </w:r>
      <w:r w:rsidRPr="00B16C6F">
        <w:t xml:space="preserve">rd party </w:t>
      </w:r>
      <w:r w:rsidR="001B24CF" w:rsidRPr="00B16C6F">
        <w:t>verification</w:t>
      </w:r>
      <w:r w:rsidRPr="00B16C6F">
        <w:t xml:space="preserve"> would provide Ecology with more certainty in oversight of this law, but it is not a requirement in the </w:t>
      </w:r>
      <w:r w:rsidR="00F856B2">
        <w:t>statute</w:t>
      </w:r>
      <w:r w:rsidR="00335E51">
        <w:t>.</w:t>
      </w:r>
      <w:r w:rsidRPr="00B16C6F">
        <w:t xml:space="preserve"> </w:t>
      </w:r>
      <w:r w:rsidR="00335E51">
        <w:t>We did not identify that it was necessary in all cases</w:t>
      </w:r>
      <w:r w:rsidRPr="00B16C6F">
        <w:t xml:space="preserve"> and </w:t>
      </w:r>
      <w:r w:rsidR="00335E51">
        <w:t>for all</w:t>
      </w:r>
      <w:r w:rsidRPr="00B16C6F">
        <w:t xml:space="preserve"> producers to </w:t>
      </w:r>
      <w:r w:rsidR="00335E51">
        <w:t xml:space="preserve">maintain data and compliance integrity. </w:t>
      </w:r>
      <w:r w:rsidR="004D6E06">
        <w:t>P</w:t>
      </w:r>
      <w:r w:rsidR="00335E51">
        <w:t xml:space="preserve">roducers may also benefit – through reduced likelihood of an audit, and possibly in terms of marketability of covered products – from third party verification, however, the proposed rule offers flexibility by requiring </w:t>
      </w:r>
      <w:r w:rsidRPr="00B16C6F">
        <w:t xml:space="preserve">producers to </w:t>
      </w:r>
      <w:r w:rsidR="00335E51">
        <w:t>either</w:t>
      </w:r>
      <w:r w:rsidRPr="00B16C6F">
        <w:t xml:space="preserve"> self-attest the accuracy of their data when submitting their report (under penalty of perjury), </w:t>
      </w:r>
      <w:r w:rsidR="00335E51">
        <w:t>or to</w:t>
      </w:r>
      <w:r w:rsidRPr="00B16C6F">
        <w:t xml:space="preserve"> verify their data through ISO</w:t>
      </w:r>
      <w:r w:rsidR="00335E51">
        <w:t>-</w:t>
      </w:r>
      <w:r w:rsidRPr="00B16C6F">
        <w:t xml:space="preserve">accredited </w:t>
      </w:r>
      <w:r w:rsidR="00335E51">
        <w:t>thi</w:t>
      </w:r>
      <w:r w:rsidRPr="00B16C6F">
        <w:t>rd party verification.</w:t>
      </w:r>
    </w:p>
    <w:p w14:paraId="25823F18" w14:textId="34171AB9" w:rsidR="00582799" w:rsidRDefault="00582799" w:rsidP="00582799">
      <w:pPr>
        <w:pStyle w:val="RMSectionXXX"/>
        <w:rPr>
          <w:highlight w:val="yellow"/>
        </w:rPr>
      </w:pPr>
      <w:bookmarkStart w:id="88" w:name="_Toc132187837"/>
      <w:r>
        <w:t>6.3.1</w:t>
      </w:r>
      <w:r w:rsidR="00F159F3">
        <w:t>7</w:t>
      </w:r>
      <w:r>
        <w:t xml:space="preserve"> </w:t>
      </w:r>
      <w:r w:rsidR="008E24E3" w:rsidRPr="00B34C2A">
        <w:t>Distributing fees differently</w:t>
      </w:r>
      <w:bookmarkEnd w:id="88"/>
    </w:p>
    <w:p w14:paraId="6753673E" w14:textId="5788A159" w:rsidR="00E20207" w:rsidRPr="00DA19F2" w:rsidRDefault="00E90712" w:rsidP="00582799">
      <w:pPr>
        <w:pStyle w:val="Paragraph"/>
      </w:pPr>
      <w:r w:rsidRPr="00DA19F2">
        <w:t xml:space="preserve">We considered distributing fees </w:t>
      </w:r>
      <w:r w:rsidR="006607F1" w:rsidRPr="00DA19F2">
        <w:t>using a tiered structure</w:t>
      </w:r>
      <w:r w:rsidRPr="00DA19F2">
        <w:t xml:space="preserve">, but this alternative would not have met the goals and objectives of the statute. Ecology was tasked with </w:t>
      </w:r>
      <w:r w:rsidR="001B24CF" w:rsidRPr="00DA19F2">
        <w:t>equitably</w:t>
      </w:r>
      <w:r w:rsidRPr="00DA19F2">
        <w:t xml:space="preserve"> distributing fees. This means that fees should be proportional to the weight of plastic resin </w:t>
      </w:r>
      <w:r w:rsidR="00E20207" w:rsidRPr="00DA19F2">
        <w:t>in covered products sold or distributed in Washington</w:t>
      </w:r>
      <w:r w:rsidRPr="00DA19F2">
        <w:t xml:space="preserve"> to ensure that small producers are not facing the same fees as large producers</w:t>
      </w:r>
      <w:r w:rsidR="00E20207" w:rsidRPr="00DA19F2">
        <w:t>. This was required</w:t>
      </w:r>
      <w:r w:rsidR="00ED71EF" w:rsidRPr="00DA19F2">
        <w:t xml:space="preserve"> since Ecology workload associated with these differently sized and differently complex producers will differ.</w:t>
      </w:r>
    </w:p>
    <w:p w14:paraId="1794E2C9" w14:textId="77777777" w:rsidR="00E87515" w:rsidRPr="00B8249E" w:rsidRDefault="00FC06E7" w:rsidP="000C36D6">
      <w:pPr>
        <w:pStyle w:val="Paragraph"/>
      </w:pPr>
      <w:r w:rsidRPr="00B8249E">
        <w:t>We also considered a modulated fee structure that would create incentives for producers who exceed minimum</w:t>
      </w:r>
      <w:r w:rsidR="00BF3D81" w:rsidRPr="00B8249E">
        <w:t xml:space="preserve"> PCRC requirements.</w:t>
      </w:r>
      <w:r w:rsidR="0029476A" w:rsidRPr="00B8249E">
        <w:t xml:space="preserve"> The authorizing statute does not provide Ecology authority to require or encourage standards beyond those specified in law. Additionally, this alternative would </w:t>
      </w:r>
      <w:r w:rsidR="008C191E" w:rsidRPr="00B8249E">
        <w:t xml:space="preserve">potentially have failed to meet the statutory requirement for equitable distribution of fees. </w:t>
      </w:r>
      <w:r w:rsidR="00354491" w:rsidRPr="00B8249E">
        <w:t xml:space="preserve">Total plastic resin weight in Washington was selected as the basis for fee determination because it is a measurable quantity and represents each producer’s relative volume of plastic in each covered category. Assuming no significant weight difference between </w:t>
      </w:r>
      <w:r w:rsidR="00354491" w:rsidRPr="00B8249E">
        <w:lastRenderedPageBreak/>
        <w:t xml:space="preserve">virgin plastic resin and recycled plastic resin, </w:t>
      </w:r>
      <w:r w:rsidR="00E87515" w:rsidRPr="00B8249E">
        <w:t>total plastic resin weight</w:t>
      </w:r>
      <w:r w:rsidR="00354491" w:rsidRPr="00B8249E">
        <w:t xml:space="preserve"> provides a fair, objective basis to represent each producer’s share of the covered products driving Ecology’s workload to administer the law within each product category. All producers, regardless of their PCRC content, are required to pay a fee and to report/register annually.</w:t>
      </w:r>
    </w:p>
    <w:p w14:paraId="2FA2B9E9" w14:textId="47D93238" w:rsidR="004B4468" w:rsidRPr="00B8249E" w:rsidRDefault="003F6619" w:rsidP="000C36D6">
      <w:pPr>
        <w:pStyle w:val="Paragraph"/>
      </w:pPr>
      <w:r w:rsidRPr="00B8249E">
        <w:t xml:space="preserve">Fee discounts for producers able to exceed the PCRC requirement could </w:t>
      </w:r>
      <w:r w:rsidR="00E87515" w:rsidRPr="00B8249E">
        <w:t xml:space="preserve">also </w:t>
      </w:r>
      <w:r w:rsidRPr="00B8249E">
        <w:t xml:space="preserve">be inequitable, because all producers may not have equal access to the resources needed to exceed the PCRC minimums. </w:t>
      </w:r>
      <w:r w:rsidR="000C36D6" w:rsidRPr="00B8249E">
        <w:t xml:space="preserve">Presuming insignificant differences between weights of PCRC and other plastic resins, total plastic weight </w:t>
      </w:r>
      <w:r w:rsidR="00541B3B" w:rsidRPr="00B8249E">
        <w:t xml:space="preserve">also </w:t>
      </w:r>
      <w:r w:rsidR="000C36D6" w:rsidRPr="00B8249E">
        <w:t>provides a data point that can represent a producer’s relative market share within a covered product category without requiring producers to submit confidential business information to Ecology. Fee distribution based on market share provides a sliding-scale fee structure to support affordability for smaller businesses.</w:t>
      </w:r>
    </w:p>
    <w:p w14:paraId="72686568" w14:textId="5A6F7B44" w:rsidR="00724BE8" w:rsidRDefault="00724BE8" w:rsidP="000C36D6">
      <w:pPr>
        <w:pStyle w:val="Paragraph"/>
      </w:pPr>
      <w:r w:rsidRPr="00B8249E">
        <w:t xml:space="preserve">We note that </w:t>
      </w:r>
      <w:r w:rsidR="00DE57C4" w:rsidRPr="00B8249E">
        <w:t>the above discussion assumes comparable weights of virgin plastic resin and PCRC resin</w:t>
      </w:r>
      <w:r w:rsidR="00ED0810" w:rsidRPr="00B8249E">
        <w:t xml:space="preserve">. Ecology has not identified </w:t>
      </w:r>
      <w:r w:rsidR="00DA19F2" w:rsidRPr="00B8249E">
        <w:t>evidence of a weight difference at this time.</w:t>
      </w:r>
    </w:p>
    <w:p w14:paraId="31D415A8" w14:textId="77777777" w:rsidR="00087615" w:rsidRDefault="00087615" w:rsidP="00257276">
      <w:pPr>
        <w:pStyle w:val="RMHeading3"/>
      </w:pPr>
      <w:r>
        <w:t>6.4 Conclusion</w:t>
      </w:r>
    </w:p>
    <w:p w14:paraId="304F8CBF" w14:textId="0BDB74FE" w:rsidR="00087615" w:rsidRDefault="00087615" w:rsidP="003B1C00">
      <w:pPr>
        <w:pStyle w:val="Paragraph"/>
      </w:pPr>
      <w:r>
        <w:t>After considering alternatives to the proposed rule contents, within the context of the goals and objectives of the authorizing statute, we determined that the proposed rule represents the least-burdensome alternative of possible rule contents meeting the goals and objectives.</w:t>
      </w:r>
    </w:p>
    <w:p w14:paraId="76D7567F" w14:textId="77777777" w:rsidR="00087615" w:rsidRDefault="00087615" w:rsidP="003B1C00">
      <w:pPr>
        <w:pStyle w:val="Paragraph"/>
        <w:sectPr w:rsidR="00087615">
          <w:pgSz w:w="12240" w:h="15840"/>
          <w:pgMar w:top="1440" w:right="1440" w:bottom="1440" w:left="1440" w:header="720" w:footer="720" w:gutter="0"/>
          <w:cols w:space="720"/>
        </w:sectPr>
      </w:pPr>
    </w:p>
    <w:p w14:paraId="3E1E418B" w14:textId="119335FD" w:rsidR="00087615" w:rsidRDefault="00087615" w:rsidP="008B4521">
      <w:pPr>
        <w:pStyle w:val="RMChaptertitle"/>
      </w:pPr>
      <w:bookmarkStart w:id="89" w:name="_Toc132187838"/>
      <w:r>
        <w:lastRenderedPageBreak/>
        <w:t>Chapter 7: Regulatory Fairness Act Compliance</w:t>
      </w:r>
      <w:bookmarkEnd w:id="89"/>
    </w:p>
    <w:p w14:paraId="29C551A1" w14:textId="77777777" w:rsidR="00087615" w:rsidRDefault="00087615" w:rsidP="00257276">
      <w:pPr>
        <w:pStyle w:val="RMHeading3"/>
      </w:pPr>
      <w:r>
        <w:t>7.1 Introduction</w:t>
      </w:r>
    </w:p>
    <w:p w14:paraId="11D9690E" w14:textId="63442ECD" w:rsidR="00087615" w:rsidRDefault="00087615" w:rsidP="003B1C00">
      <w:pPr>
        <w:pStyle w:val="Paragraph"/>
      </w:pPr>
      <w:r>
        <w:t>The Regulatory Fairness Act (RFA; RCW 19.85.070) requires Ecology to perform a set of analyses and make certain determinations regarding the proposed rule. This chapter presents the:</w:t>
      </w:r>
    </w:p>
    <w:p w14:paraId="5C9FF036" w14:textId="77777777" w:rsidR="00087615" w:rsidRDefault="00087615" w:rsidP="00B45A10">
      <w:pPr>
        <w:pStyle w:val="ListParagraph"/>
      </w:pPr>
      <w:r>
        <w:t>Analysis of relative compliance cost burden.</w:t>
      </w:r>
    </w:p>
    <w:p w14:paraId="7ECF354F" w14:textId="77777777" w:rsidR="00087615" w:rsidRDefault="00087615" w:rsidP="00B45A10">
      <w:pPr>
        <w:pStyle w:val="ListParagraph"/>
      </w:pPr>
      <w:r>
        <w:t>Consideration of lost sales or revenue.</w:t>
      </w:r>
    </w:p>
    <w:p w14:paraId="6E3D14E7" w14:textId="77777777" w:rsidR="00087615" w:rsidRDefault="00087615" w:rsidP="00B45A10">
      <w:pPr>
        <w:pStyle w:val="ListParagraph"/>
      </w:pPr>
      <w:r>
        <w:t>Cost-mitigating elements of the rule, if required.</w:t>
      </w:r>
    </w:p>
    <w:p w14:paraId="3857CFD7" w14:textId="77777777" w:rsidR="00087615" w:rsidRDefault="00087615" w:rsidP="00B45A10">
      <w:pPr>
        <w:pStyle w:val="ListParagraph"/>
      </w:pPr>
      <w:r>
        <w:t>Small business and local government consultation.</w:t>
      </w:r>
    </w:p>
    <w:p w14:paraId="1BCD3091" w14:textId="77777777" w:rsidR="00087615" w:rsidRDefault="00087615" w:rsidP="00B45A10">
      <w:pPr>
        <w:pStyle w:val="ListParagraph"/>
      </w:pPr>
      <w:r>
        <w:t>Industries likely impacted by the proposed rule.</w:t>
      </w:r>
    </w:p>
    <w:p w14:paraId="29CCECC4" w14:textId="77777777" w:rsidR="00087615" w:rsidRDefault="00087615" w:rsidP="00B45A10">
      <w:pPr>
        <w:pStyle w:val="ListParagraph"/>
      </w:pPr>
      <w:r>
        <w:t>Expected impact on jobs.</w:t>
      </w:r>
    </w:p>
    <w:p w14:paraId="45E594CC" w14:textId="43081848" w:rsidR="002B58CF" w:rsidRDefault="00087615" w:rsidP="003B1C00">
      <w:pPr>
        <w:pStyle w:val="Paragraph"/>
      </w:pPr>
      <w:r>
        <w:t xml:space="preserve">A small business is defined by the RFA as having 50 or fewer employees, at the highest ownership and operator level. Estimated compliance costs are determined as compared to the baseline (the regulatory environment in the absence of the proposed rule, limited to existing federal and state requirements). </w:t>
      </w:r>
      <w:r w:rsidRPr="00B92377">
        <w:t xml:space="preserve">Analyses under the RFA only apply to costs to “businesses in an industry” in Washington State. This means the </w:t>
      </w:r>
      <w:r w:rsidR="00334877">
        <w:t xml:space="preserve">direct </w:t>
      </w:r>
      <w:r w:rsidRPr="00B92377">
        <w:t>impacts, for this part of our analyses, are not evaluated for government agencies</w:t>
      </w:r>
      <w:r w:rsidR="002B58CF">
        <w:t xml:space="preserve">. </w:t>
      </w:r>
      <w:r w:rsidR="005E40A8">
        <w:t xml:space="preserve"> </w:t>
      </w:r>
      <w:r w:rsidR="002B58CF">
        <w:t xml:space="preserve"> </w:t>
      </w:r>
    </w:p>
    <w:p w14:paraId="0370BF86" w14:textId="77777777" w:rsidR="002B58CF" w:rsidRDefault="002B58CF" w:rsidP="003B1C00">
      <w:pPr>
        <w:pStyle w:val="Paragraph"/>
      </w:pPr>
      <w:r>
        <w:t>We note that businesses impacted by the proposed rule include:</w:t>
      </w:r>
    </w:p>
    <w:p w14:paraId="35A3D69F" w14:textId="513A0635" w:rsidR="00087615" w:rsidRDefault="002B58CF" w:rsidP="00B45A10">
      <w:pPr>
        <w:pStyle w:val="ListParagraph"/>
      </w:pPr>
      <w:r>
        <w:t>Businesses based or with physical operations in Washington, employing Washingtonians.</w:t>
      </w:r>
    </w:p>
    <w:p w14:paraId="12E1BAAC" w14:textId="3A7170A8" w:rsidR="002B58CF" w:rsidRDefault="002B58CF" w:rsidP="00B45A10">
      <w:pPr>
        <w:pStyle w:val="ListParagraph"/>
      </w:pPr>
      <w:r>
        <w:t>Businesses that deliver product to Washington (directly or through intermediate distributors or wholesalers), with employees in other states or countries but not</w:t>
      </w:r>
      <w:r w:rsidR="00D57D4C">
        <w:t xml:space="preserve"> directly employed in producing </w:t>
      </w:r>
      <w:r w:rsidR="00D17A26">
        <w:t xml:space="preserve">or selling </w:t>
      </w:r>
      <w:r w:rsidR="00D57D4C">
        <w:t>covered products</w:t>
      </w:r>
      <w:r>
        <w:t xml:space="preserve"> in Washington.</w:t>
      </w:r>
    </w:p>
    <w:p w14:paraId="374F2A1C" w14:textId="38AA9DE5" w:rsidR="002B58CF" w:rsidRDefault="0009731D" w:rsidP="002B58CF">
      <w:pPr>
        <w:pStyle w:val="Paragraph"/>
        <w:ind w:left="55"/>
      </w:pPr>
      <w:r>
        <w:t xml:space="preserve">While employment data used for identification of small businesses at the highest ownership level did not allow for identification of Washington-specific businesses across the entire set of high-end potentially impacted businesses, we observe the following about </w:t>
      </w:r>
      <w:r w:rsidR="002B58CF">
        <w:t xml:space="preserve">the </w:t>
      </w:r>
      <w:r>
        <w:t>producers that have registered with Ecology as of January 2023:</w:t>
      </w:r>
    </w:p>
    <w:p w14:paraId="2FF4BA49" w14:textId="4360D3D3" w:rsidR="0009731D" w:rsidRDefault="00C51F63" w:rsidP="00B45A10">
      <w:pPr>
        <w:pStyle w:val="ListParagraph"/>
      </w:pPr>
      <w:r>
        <w:t>6</w:t>
      </w:r>
      <w:r w:rsidR="000A7038">
        <w:t>%</w:t>
      </w:r>
      <w:r w:rsidR="0009731D">
        <w:t xml:space="preserve"> have physical operations in Washington. </w:t>
      </w:r>
      <w:r>
        <w:t>33</w:t>
      </w:r>
      <w:r w:rsidR="000A7038">
        <w:t>%</w:t>
      </w:r>
      <w:r w:rsidR="0009731D">
        <w:t xml:space="preserve"> of these are small businesses under the RFA.</w:t>
      </w:r>
    </w:p>
    <w:p w14:paraId="160F94F1" w14:textId="2B9614DA" w:rsidR="0009731D" w:rsidRDefault="00C51F63" w:rsidP="00B45A10">
      <w:pPr>
        <w:pStyle w:val="ListParagraph"/>
      </w:pPr>
      <w:r>
        <w:t>84</w:t>
      </w:r>
      <w:r w:rsidR="000A7038">
        <w:t>%</w:t>
      </w:r>
      <w:r w:rsidR="0009731D">
        <w:t xml:space="preserve"> have physical operations in </w:t>
      </w:r>
      <w:r>
        <w:t>the US</w:t>
      </w:r>
      <w:r w:rsidR="0009731D">
        <w:t xml:space="preserve">. </w:t>
      </w:r>
      <w:r>
        <w:t>28</w:t>
      </w:r>
      <w:r w:rsidR="000A7038">
        <w:t>%</w:t>
      </w:r>
      <w:r w:rsidR="0009731D">
        <w:t xml:space="preserve"> of these are small businesses under the RFA.</w:t>
      </w:r>
    </w:p>
    <w:p w14:paraId="4CBDFF78" w14:textId="1F6D4094" w:rsidR="00C51F63" w:rsidRDefault="00C51F63" w:rsidP="00B45A10">
      <w:pPr>
        <w:pStyle w:val="ListParagraph"/>
      </w:pPr>
      <w:r>
        <w:t>16% have physical operations outside of the US. 27% of these are small businesses under the RFA.</w:t>
      </w:r>
    </w:p>
    <w:p w14:paraId="696D6D2C" w14:textId="77777777" w:rsidR="00087615" w:rsidRDefault="00087615" w:rsidP="00257276">
      <w:pPr>
        <w:pStyle w:val="RMHeading3"/>
      </w:pPr>
      <w:r>
        <w:lastRenderedPageBreak/>
        <w:t>7.2 Analysis of relative compliance cost burden</w:t>
      </w:r>
    </w:p>
    <w:p w14:paraId="15CD3944" w14:textId="7074D917" w:rsidR="00A22B26" w:rsidRDefault="00087615" w:rsidP="003B1C00">
      <w:pPr>
        <w:pStyle w:val="Paragraph"/>
      </w:pPr>
      <w:r>
        <w:t>We calculated the estimated per-business costs to comply with the proposed rule, based on the costs estimated in Chapter 3 of this document. In this section, we estimate compliance costs per employee.</w:t>
      </w:r>
    </w:p>
    <w:p w14:paraId="4DB94576" w14:textId="60546780" w:rsidR="00A22B26" w:rsidRDefault="0012407A" w:rsidP="003B1C00">
      <w:pPr>
        <w:pStyle w:val="Paragraph"/>
      </w:pPr>
      <w:r>
        <w:t>Businesses that are most likely required to comply with the rule are larger businesses that own brands for beverages, household cleaners</w:t>
      </w:r>
      <w:r w:rsidR="00091BB5">
        <w:t>, personal care products</w:t>
      </w:r>
      <w:r>
        <w:t>, and trash bags</w:t>
      </w:r>
      <w:r w:rsidR="009D25E3">
        <w:t>. There are few</w:t>
      </w:r>
      <w:r w:rsidR="004C5E59">
        <w:t>er small businesses (companies that have 50 or fewer employees) that have their own brand</w:t>
      </w:r>
      <w:r w:rsidR="00E20207">
        <w:t xml:space="preserve">, sell more than $1 million dollars or 1 ton of </w:t>
      </w:r>
      <w:r w:rsidR="004C5E59">
        <w:t xml:space="preserve">plastic </w:t>
      </w:r>
      <w:r w:rsidR="00E20207">
        <w:t xml:space="preserve">resin </w:t>
      </w:r>
      <w:r w:rsidR="002D57A3">
        <w:t>in Washington State</w:t>
      </w:r>
      <w:r w:rsidR="00E20207">
        <w:t xml:space="preserve"> </w:t>
      </w:r>
      <w:r w:rsidR="001E4285">
        <w:t xml:space="preserve">(exceeding the de minimis threshold) </w:t>
      </w:r>
      <w:r w:rsidR="004C5E59">
        <w:t>to be impacted by the rule.</w:t>
      </w:r>
      <w:r w:rsidR="009D25E3">
        <w:t xml:space="preserve"> </w:t>
      </w:r>
    </w:p>
    <w:p w14:paraId="01EDBF2C" w14:textId="5B160398" w:rsidR="008B79FF" w:rsidRPr="002D0514" w:rsidRDefault="00087615" w:rsidP="003B1C00">
      <w:pPr>
        <w:pStyle w:val="Paragraph"/>
      </w:pPr>
      <w:r>
        <w:t xml:space="preserve">The average affected small business likely to be covered by the proposed rule employs approximately </w:t>
      </w:r>
      <w:r w:rsidR="009D1947">
        <w:t>17</w:t>
      </w:r>
      <w:r>
        <w:t xml:space="preserve"> people. The largest ten percent of affected businesses employ an average of </w:t>
      </w:r>
      <w:r w:rsidR="009D1947" w:rsidRPr="002D0514">
        <w:t>12</w:t>
      </w:r>
      <w:r w:rsidR="0012407A" w:rsidRPr="002D0514">
        <w:t>,</w:t>
      </w:r>
      <w:r w:rsidR="009D1947" w:rsidRPr="002D0514">
        <w:t>165</w:t>
      </w:r>
      <w:r w:rsidRPr="002D0514">
        <w:t xml:space="preserve"> people. Based on cost estimates in Chapter 3, we estimated the following compliance costs per employee.</w:t>
      </w:r>
    </w:p>
    <w:p w14:paraId="0E9139DF" w14:textId="767A23DD" w:rsidR="00087615" w:rsidRPr="002D0514" w:rsidRDefault="00087615" w:rsidP="00087615">
      <w:pPr>
        <w:pStyle w:val="Caption"/>
      </w:pPr>
      <w:bookmarkStart w:id="90" w:name="_Toc133303734"/>
      <w:r w:rsidRPr="002D0514">
        <w:t xml:space="preserve">Table </w:t>
      </w:r>
      <w:fldSimple w:instr=" SEQ Table \* ARABIC ">
        <w:r w:rsidR="00726B91" w:rsidRPr="002D0514">
          <w:rPr>
            <w:noProof/>
          </w:rPr>
          <w:t>14</w:t>
        </w:r>
      </w:fldSimple>
      <w:r w:rsidR="006B3A22" w:rsidRPr="002D0514">
        <w:rPr>
          <w:noProof/>
        </w:rPr>
        <w:t>.</w:t>
      </w:r>
      <w:r w:rsidRPr="002D0514">
        <w:t xml:space="preserve"> Compliance costs per employee</w:t>
      </w:r>
      <w:r w:rsidR="006B3A22" w:rsidRPr="002D0514">
        <w:t>.</w:t>
      </w:r>
      <w:bookmarkEnd w:id="90"/>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Compliance costs per employee"/>
        <w:tblDescription w:val="Compliance costs per employee at small businesses and the largest ten percent of businesses."/>
      </w:tblPr>
      <w:tblGrid>
        <w:gridCol w:w="5830"/>
        <w:gridCol w:w="889"/>
        <w:gridCol w:w="889"/>
      </w:tblGrid>
      <w:tr w:rsidR="00087615" w:rsidRPr="003C55B6" w14:paraId="636A965E" w14:textId="77777777" w:rsidTr="003C55B6">
        <w:trPr>
          <w:cantSplit/>
          <w:tblHeader/>
          <w:jc w:val="center"/>
        </w:trPr>
        <w:tc>
          <w:tcPr>
            <w:tcW w:w="0" w:type="auto"/>
            <w:vAlign w:val="center"/>
            <w:hideMark/>
          </w:tcPr>
          <w:p w14:paraId="7465C82C" w14:textId="77777777" w:rsidR="00087615" w:rsidRPr="003C55B6" w:rsidRDefault="00087615" w:rsidP="00C62BB4">
            <w:pPr>
              <w:pStyle w:val="Tablecell"/>
              <w:jc w:val="center"/>
            </w:pPr>
            <w:r w:rsidRPr="003C55B6">
              <w:t>Type of cost (or total cost)</w:t>
            </w:r>
          </w:p>
        </w:tc>
        <w:tc>
          <w:tcPr>
            <w:tcW w:w="0" w:type="auto"/>
            <w:vAlign w:val="center"/>
            <w:hideMark/>
          </w:tcPr>
          <w:p w14:paraId="7FBD279B" w14:textId="77777777" w:rsidR="00087615" w:rsidRPr="003C55B6" w:rsidRDefault="00087615" w:rsidP="00C62BB4">
            <w:pPr>
              <w:pStyle w:val="Tablecell"/>
              <w:jc w:val="center"/>
            </w:pPr>
            <w:r w:rsidRPr="003C55B6">
              <w:t>Low</w:t>
            </w:r>
          </w:p>
        </w:tc>
        <w:tc>
          <w:tcPr>
            <w:tcW w:w="0" w:type="auto"/>
            <w:vAlign w:val="center"/>
            <w:hideMark/>
          </w:tcPr>
          <w:p w14:paraId="16A56D9B" w14:textId="77777777" w:rsidR="00087615" w:rsidRPr="003C55B6" w:rsidRDefault="00087615" w:rsidP="00C62BB4">
            <w:pPr>
              <w:pStyle w:val="Tablecell"/>
              <w:jc w:val="center"/>
            </w:pPr>
            <w:r w:rsidRPr="003C55B6">
              <w:t>High</w:t>
            </w:r>
          </w:p>
        </w:tc>
      </w:tr>
      <w:tr w:rsidR="00087615" w:rsidRPr="003C55B6" w14:paraId="1ED6348D" w14:textId="77777777" w:rsidTr="003C55B6">
        <w:trPr>
          <w:cantSplit/>
          <w:jc w:val="center"/>
        </w:trPr>
        <w:tc>
          <w:tcPr>
            <w:tcW w:w="0" w:type="auto"/>
            <w:vAlign w:val="center"/>
            <w:hideMark/>
          </w:tcPr>
          <w:p w14:paraId="0B1783CC" w14:textId="77777777" w:rsidR="00087615" w:rsidRPr="003C55B6" w:rsidRDefault="00087615" w:rsidP="00507A0F">
            <w:pPr>
              <w:pStyle w:val="Tablecell"/>
            </w:pPr>
            <w:r w:rsidRPr="003C55B6">
              <w:t>Average small business employment</w:t>
            </w:r>
          </w:p>
        </w:tc>
        <w:tc>
          <w:tcPr>
            <w:tcW w:w="0" w:type="auto"/>
            <w:vAlign w:val="center"/>
          </w:tcPr>
          <w:p w14:paraId="2027CEF3" w14:textId="588F1C46" w:rsidR="00087615" w:rsidRPr="003C55B6" w:rsidRDefault="009D1947" w:rsidP="00507A0F">
            <w:pPr>
              <w:pStyle w:val="Tablecell"/>
              <w:jc w:val="right"/>
              <w:rPr>
                <w:b/>
                <w:bCs/>
              </w:rPr>
            </w:pPr>
            <w:r w:rsidRPr="003C55B6">
              <w:rPr>
                <w:b/>
                <w:bCs/>
              </w:rPr>
              <w:t>17</w:t>
            </w:r>
          </w:p>
        </w:tc>
        <w:tc>
          <w:tcPr>
            <w:tcW w:w="0" w:type="auto"/>
            <w:vAlign w:val="center"/>
          </w:tcPr>
          <w:p w14:paraId="323B0FB4" w14:textId="00C93A1C" w:rsidR="00087615" w:rsidRPr="003C55B6" w:rsidRDefault="009D1947" w:rsidP="00507A0F">
            <w:pPr>
              <w:pStyle w:val="Tablecell"/>
              <w:jc w:val="right"/>
              <w:rPr>
                <w:b/>
                <w:bCs/>
              </w:rPr>
            </w:pPr>
            <w:r w:rsidRPr="003C55B6">
              <w:rPr>
                <w:b/>
                <w:bCs/>
              </w:rPr>
              <w:t>17</w:t>
            </w:r>
          </w:p>
        </w:tc>
      </w:tr>
      <w:tr w:rsidR="00087615" w:rsidRPr="003C55B6" w14:paraId="541ED6C8" w14:textId="77777777" w:rsidTr="003C55B6">
        <w:trPr>
          <w:cantSplit/>
          <w:jc w:val="center"/>
        </w:trPr>
        <w:tc>
          <w:tcPr>
            <w:tcW w:w="0" w:type="auto"/>
            <w:vAlign w:val="center"/>
            <w:hideMark/>
          </w:tcPr>
          <w:p w14:paraId="1AAAB5A1" w14:textId="77777777" w:rsidR="00087615" w:rsidRPr="003C55B6" w:rsidRDefault="00087615" w:rsidP="00507A0F">
            <w:pPr>
              <w:pStyle w:val="Tablecell"/>
            </w:pPr>
            <w:r w:rsidRPr="003C55B6">
              <w:t>Average employment at largest ten percent of businesses</w:t>
            </w:r>
          </w:p>
        </w:tc>
        <w:tc>
          <w:tcPr>
            <w:tcW w:w="0" w:type="auto"/>
            <w:vAlign w:val="center"/>
          </w:tcPr>
          <w:p w14:paraId="2206A201" w14:textId="18CBB97A" w:rsidR="00087615" w:rsidRPr="003C55B6" w:rsidRDefault="009D1947" w:rsidP="00507A0F">
            <w:pPr>
              <w:pStyle w:val="Tablecell"/>
              <w:jc w:val="right"/>
              <w:rPr>
                <w:b/>
              </w:rPr>
            </w:pPr>
            <w:r w:rsidRPr="003C55B6">
              <w:rPr>
                <w:b/>
              </w:rPr>
              <w:t>12</w:t>
            </w:r>
            <w:r w:rsidR="008B79FF" w:rsidRPr="003C55B6">
              <w:rPr>
                <w:b/>
              </w:rPr>
              <w:t>,</w:t>
            </w:r>
            <w:r w:rsidRPr="003C55B6">
              <w:rPr>
                <w:b/>
              </w:rPr>
              <w:t>165</w:t>
            </w:r>
          </w:p>
        </w:tc>
        <w:tc>
          <w:tcPr>
            <w:tcW w:w="0" w:type="auto"/>
            <w:vAlign w:val="center"/>
          </w:tcPr>
          <w:p w14:paraId="7381C2E6" w14:textId="5A974387" w:rsidR="00087615" w:rsidRPr="003C55B6" w:rsidRDefault="009D1947" w:rsidP="00507A0F">
            <w:pPr>
              <w:pStyle w:val="Tablecell"/>
              <w:jc w:val="right"/>
              <w:rPr>
                <w:b/>
              </w:rPr>
            </w:pPr>
            <w:r w:rsidRPr="003C55B6">
              <w:rPr>
                <w:b/>
              </w:rPr>
              <w:t>12</w:t>
            </w:r>
            <w:r w:rsidR="008B79FF" w:rsidRPr="003C55B6">
              <w:rPr>
                <w:b/>
              </w:rPr>
              <w:t>,</w:t>
            </w:r>
            <w:r w:rsidRPr="003C55B6">
              <w:rPr>
                <w:b/>
              </w:rPr>
              <w:t>165</w:t>
            </w:r>
          </w:p>
        </w:tc>
      </w:tr>
      <w:tr w:rsidR="00087615" w:rsidRPr="003C55B6" w14:paraId="3B3A2F72" w14:textId="77777777" w:rsidTr="003C55B6">
        <w:trPr>
          <w:cantSplit/>
          <w:jc w:val="center"/>
        </w:trPr>
        <w:tc>
          <w:tcPr>
            <w:tcW w:w="0" w:type="auto"/>
            <w:vAlign w:val="center"/>
            <w:hideMark/>
          </w:tcPr>
          <w:p w14:paraId="3E229FC8" w14:textId="77777777" w:rsidR="00087615" w:rsidRPr="003C55B6" w:rsidRDefault="00087615" w:rsidP="00507A0F">
            <w:pPr>
              <w:pStyle w:val="Tablecell"/>
            </w:pPr>
            <w:r w:rsidRPr="003C55B6">
              <w:t>Small business cost per employee</w:t>
            </w:r>
          </w:p>
        </w:tc>
        <w:tc>
          <w:tcPr>
            <w:tcW w:w="0" w:type="auto"/>
            <w:vAlign w:val="center"/>
          </w:tcPr>
          <w:p w14:paraId="51588F6D" w14:textId="7E122B17" w:rsidR="00087615" w:rsidRPr="003C55B6" w:rsidRDefault="009D1947" w:rsidP="00507A0F">
            <w:pPr>
              <w:pStyle w:val="Tablecell"/>
              <w:jc w:val="right"/>
              <w:rPr>
                <w:b/>
              </w:rPr>
            </w:pPr>
            <w:r w:rsidRPr="003C55B6">
              <w:rPr>
                <w:b/>
              </w:rPr>
              <w:t>$</w:t>
            </w:r>
            <w:r w:rsidR="002D0514" w:rsidRPr="003C55B6">
              <w:rPr>
                <w:b/>
              </w:rPr>
              <w:t>2</w:t>
            </w:r>
            <w:r w:rsidR="008F10C5" w:rsidRPr="003C55B6">
              <w:rPr>
                <w:b/>
              </w:rPr>
              <w:t>,</w:t>
            </w:r>
            <w:r w:rsidR="002D0514" w:rsidRPr="003C55B6">
              <w:rPr>
                <w:b/>
              </w:rPr>
              <w:t>136</w:t>
            </w:r>
          </w:p>
        </w:tc>
        <w:tc>
          <w:tcPr>
            <w:tcW w:w="0" w:type="auto"/>
            <w:vAlign w:val="center"/>
          </w:tcPr>
          <w:p w14:paraId="4D832549" w14:textId="1A0BFE9B" w:rsidR="00087615" w:rsidRPr="003C55B6" w:rsidRDefault="009D1947" w:rsidP="00507A0F">
            <w:pPr>
              <w:pStyle w:val="Tablecell"/>
              <w:jc w:val="right"/>
              <w:rPr>
                <w:b/>
              </w:rPr>
            </w:pPr>
            <w:r w:rsidRPr="003C55B6">
              <w:rPr>
                <w:b/>
              </w:rPr>
              <w:t>$</w:t>
            </w:r>
            <w:r w:rsidR="002D0514" w:rsidRPr="003C55B6">
              <w:rPr>
                <w:b/>
              </w:rPr>
              <w:t>6</w:t>
            </w:r>
            <w:r w:rsidR="008F10C5" w:rsidRPr="003C55B6">
              <w:rPr>
                <w:b/>
              </w:rPr>
              <w:t>,</w:t>
            </w:r>
            <w:r w:rsidR="002D0514" w:rsidRPr="003C55B6">
              <w:rPr>
                <w:b/>
              </w:rPr>
              <w:t>113</w:t>
            </w:r>
          </w:p>
        </w:tc>
      </w:tr>
      <w:tr w:rsidR="00087615" w:rsidRPr="003C55B6" w14:paraId="045B0537" w14:textId="77777777" w:rsidTr="003C55B6">
        <w:trPr>
          <w:cantSplit/>
          <w:jc w:val="center"/>
        </w:trPr>
        <w:tc>
          <w:tcPr>
            <w:tcW w:w="0" w:type="auto"/>
            <w:vAlign w:val="center"/>
            <w:hideMark/>
          </w:tcPr>
          <w:p w14:paraId="423AFEA8" w14:textId="77777777" w:rsidR="00087615" w:rsidRPr="003C55B6" w:rsidRDefault="00087615" w:rsidP="00507A0F">
            <w:pPr>
              <w:pStyle w:val="Tablecell"/>
            </w:pPr>
            <w:r w:rsidRPr="003C55B6">
              <w:t>Largest business cost per employee</w:t>
            </w:r>
          </w:p>
        </w:tc>
        <w:tc>
          <w:tcPr>
            <w:tcW w:w="0" w:type="auto"/>
            <w:vAlign w:val="center"/>
          </w:tcPr>
          <w:p w14:paraId="6C484F7E" w14:textId="18D1C2F1" w:rsidR="00087615" w:rsidRPr="003C55B6" w:rsidRDefault="009D1947" w:rsidP="00507A0F">
            <w:pPr>
              <w:pStyle w:val="Tablecell"/>
              <w:jc w:val="right"/>
              <w:rPr>
                <w:b/>
              </w:rPr>
            </w:pPr>
            <w:r w:rsidRPr="003C55B6">
              <w:rPr>
                <w:b/>
              </w:rPr>
              <w:t>$</w:t>
            </w:r>
            <w:r w:rsidR="002D0514" w:rsidRPr="003C55B6">
              <w:rPr>
                <w:b/>
              </w:rPr>
              <w:t>2.99</w:t>
            </w:r>
          </w:p>
        </w:tc>
        <w:tc>
          <w:tcPr>
            <w:tcW w:w="0" w:type="auto"/>
            <w:vAlign w:val="center"/>
          </w:tcPr>
          <w:p w14:paraId="2D1E7429" w14:textId="41B76CC0" w:rsidR="00087615" w:rsidRPr="003C55B6" w:rsidRDefault="009D1947" w:rsidP="00507A0F">
            <w:pPr>
              <w:pStyle w:val="Tablecell"/>
              <w:jc w:val="right"/>
              <w:rPr>
                <w:b/>
              </w:rPr>
            </w:pPr>
            <w:r w:rsidRPr="003C55B6">
              <w:rPr>
                <w:b/>
              </w:rPr>
              <w:t>$</w:t>
            </w:r>
            <w:r w:rsidR="002D0514" w:rsidRPr="003C55B6">
              <w:rPr>
                <w:b/>
              </w:rPr>
              <w:t>8.54</w:t>
            </w:r>
          </w:p>
        </w:tc>
      </w:tr>
    </w:tbl>
    <w:p w14:paraId="32E3CAED" w14:textId="666C6A14" w:rsidR="00087615" w:rsidRDefault="00087615" w:rsidP="006D5615">
      <w:pPr>
        <w:pStyle w:val="Paragraph"/>
        <w:spacing w:before="240"/>
        <w:rPr>
          <w:rFonts w:cs="Times New Roman"/>
        </w:rPr>
      </w:pPr>
      <w:r>
        <w:t xml:space="preserve">We conclude that the proposed </w:t>
      </w:r>
      <w:r w:rsidRPr="00F552D4">
        <w:t>rule is likely to have disproportionate impacts on small businesses, and therefore Ecology must include</w:t>
      </w:r>
      <w:r>
        <w:t xml:space="preserve"> elements in the proposed rule to mitigate this disproportion, </w:t>
      </w:r>
      <w:r w:rsidR="004E5BE9">
        <w:t>where</w:t>
      </w:r>
      <w:r>
        <w:t xml:space="preserve"> legal </w:t>
      </w:r>
      <w:r w:rsidR="00EA2055">
        <w:t xml:space="preserve">(including the stated objectives of the law on which the rule is based) </w:t>
      </w:r>
      <w:r>
        <w:t>and feasible</w:t>
      </w:r>
      <w:r w:rsidR="004E5BE9">
        <w:t>.</w:t>
      </w:r>
    </w:p>
    <w:p w14:paraId="67ECA58F" w14:textId="77777777" w:rsidR="00087615" w:rsidRDefault="00087615" w:rsidP="00257276">
      <w:pPr>
        <w:pStyle w:val="RMHeading3"/>
      </w:pPr>
      <w:r>
        <w:t>7.3 Loss of sales or revenue</w:t>
      </w:r>
    </w:p>
    <w:p w14:paraId="7C985961" w14:textId="23114D97" w:rsidR="00087615" w:rsidRDefault="00087615" w:rsidP="003B1C00">
      <w:pPr>
        <w:pStyle w:val="Paragraph"/>
      </w:pPr>
      <w:r>
        <w:t>Businesses that would incur costs could experience reduced sales or revenues if the proposed rule significantly affect the prices of the goods they sell. The degree to which this could happen is strongly related to each business’s production and pricing model (whether additional lump-sum costs would significantly affect marginal costs), as well as the specific attributes of the markets in which they sell goods, including the degree of influence each firm has on market prices, as well as the relative responsiveness of market demand to price changes.</w:t>
      </w:r>
    </w:p>
    <w:p w14:paraId="7BA9D6CB" w14:textId="38279AF9" w:rsidR="00087615" w:rsidRDefault="002771ED" w:rsidP="003B1C00">
      <w:pPr>
        <w:pStyle w:val="Paragraph"/>
      </w:pPr>
      <w:r>
        <w:t>We used the REMI E3</w:t>
      </w:r>
      <w:r w:rsidR="00087615">
        <w:t xml:space="preserve">+ model for Washington State to estimate the impact of the proposed rule on directly affected markets, accounting for dynamic adjustments </w:t>
      </w:r>
      <w:r w:rsidR="0041088A">
        <w:t>(e.g., price levels and wages, employment, purchases of inputs and services, population</w:t>
      </w:r>
      <w:r w:rsidR="009E6428">
        <w:t>,</w:t>
      </w:r>
      <w:r w:rsidR="0041088A">
        <w:t xml:space="preserve"> and labor force attributes) </w:t>
      </w:r>
      <w:r w:rsidR="00087615">
        <w:t>throughout the economy. The model accounts for: inter-industry impacts; price, wage, and population changes; and dynamic adjustment of all economic variables over time.</w:t>
      </w:r>
    </w:p>
    <w:p w14:paraId="0E10AF70" w14:textId="68D2F74A" w:rsidR="004D783C" w:rsidRDefault="004D783C" w:rsidP="003B1C00">
      <w:pPr>
        <w:pStyle w:val="Paragraph"/>
      </w:pPr>
      <w:r>
        <w:t xml:space="preserve">The results of the REMI E3+ model shows that the rule would </w:t>
      </w:r>
      <w:r w:rsidR="003B6944">
        <w:t xml:space="preserve">minimally </w:t>
      </w:r>
      <w:r>
        <w:t xml:space="preserve">impact a variety of businesses (see 7.6, below) and that it would initially cost </w:t>
      </w:r>
      <w:r w:rsidR="00260167">
        <w:t>less than $1,000,000</w:t>
      </w:r>
      <w:r>
        <w:t xml:space="preserve"> in </w:t>
      </w:r>
      <w:r w:rsidR="00694D7C">
        <w:t xml:space="preserve">output (total amount of goods and services produced by Washington businesses) across all sectors in the </w:t>
      </w:r>
      <w:r w:rsidR="00694D7C">
        <w:lastRenderedPageBreak/>
        <w:t xml:space="preserve">state annually. This would be a </w:t>
      </w:r>
      <w:r w:rsidR="00FC06F1">
        <w:t>minor</w:t>
      </w:r>
      <w:r w:rsidR="00694D7C">
        <w:t xml:space="preserve"> annual impact to </w:t>
      </w:r>
      <w:r w:rsidR="00281E62">
        <w:t xml:space="preserve">output from directly impacted industries and would not significantly affect total statewide </w:t>
      </w:r>
      <w:r w:rsidR="00694D7C">
        <w:t>output</w:t>
      </w:r>
      <w:r w:rsidR="00281E62">
        <w:t xml:space="preserve"> across all industries</w:t>
      </w:r>
      <w:r w:rsidR="00694D7C">
        <w:t>.</w:t>
      </w:r>
      <w:r w:rsidR="00281E62">
        <w:rPr>
          <w:rStyle w:val="FootnoteReference"/>
        </w:rPr>
        <w:footnoteReference w:id="26"/>
      </w:r>
      <w:r w:rsidR="00DF05B1">
        <w:t xml:space="preserve"> While industries would </w:t>
      </w:r>
      <w:r w:rsidR="00281E62">
        <w:t xml:space="preserve">incur </w:t>
      </w:r>
      <w:r w:rsidR="00183A8C">
        <w:t xml:space="preserve">direct </w:t>
      </w:r>
      <w:r w:rsidR="00281E62">
        <w:t>costs</w:t>
      </w:r>
      <w:r w:rsidR="00183A8C">
        <w:t xml:space="preserve"> of compliance – </w:t>
      </w:r>
      <w:r w:rsidR="00281E62">
        <w:t>which would put downward pressure on their output</w:t>
      </w:r>
      <w:r w:rsidR="00183A8C">
        <w:t xml:space="preserve"> –</w:t>
      </w:r>
      <w:r w:rsidR="00281E62">
        <w:t xml:space="preserve"> these impacts </w:t>
      </w:r>
      <w:r w:rsidR="00183A8C">
        <w:t xml:space="preserve">would not significantly differ from their baseline output. The table below lists the percentage impacts to output, as compared to the baseline, reflecting impacts </w:t>
      </w:r>
      <w:r w:rsidR="00183A8C" w:rsidRPr="00FA7D95">
        <w:t>between 0% and about 1/10</w:t>
      </w:r>
      <w:r w:rsidR="00260167" w:rsidRPr="00FA7D95">
        <w:t>0</w:t>
      </w:r>
      <w:r w:rsidR="00183A8C" w:rsidRPr="00FA7D95">
        <w:rPr>
          <w:vertAlign w:val="superscript"/>
        </w:rPr>
        <w:t>th</w:t>
      </w:r>
      <w:r w:rsidR="00183A8C" w:rsidRPr="00FA7D95">
        <w:t xml:space="preserve"> of one percent.</w:t>
      </w:r>
    </w:p>
    <w:p w14:paraId="2AB5150B" w14:textId="6579489B" w:rsidR="00694D7C" w:rsidRDefault="00C63872" w:rsidP="00C63872">
      <w:pPr>
        <w:pStyle w:val="Caption"/>
      </w:pPr>
      <w:bookmarkStart w:id="91" w:name="_Toc133303735"/>
      <w:r>
        <w:t xml:space="preserve">Table </w:t>
      </w:r>
      <w:fldSimple w:instr=" SEQ Table \* ARABIC ">
        <w:r w:rsidR="00726B91">
          <w:rPr>
            <w:noProof/>
          </w:rPr>
          <w:t>15</w:t>
        </w:r>
      </w:fldSimple>
      <w:r w:rsidR="006B3A22">
        <w:rPr>
          <w:noProof/>
        </w:rPr>
        <w:t>.</w:t>
      </w:r>
      <w:r>
        <w:t xml:space="preserve"> </w:t>
      </w:r>
      <w:r w:rsidRPr="007E74F3">
        <w:t>Impact to the value of statewide and industry output</w:t>
      </w:r>
      <w:r w:rsidR="006B3A22">
        <w:t>.</w:t>
      </w:r>
      <w:bookmarkEnd w:id="91"/>
    </w:p>
    <w:tbl>
      <w:tblPr>
        <w:tblStyle w:val="TableGrid"/>
        <w:tblW w:w="944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Impacts on jobs"/>
        <w:tblDescription w:val="Modeled impacts to jobs in the whole state and significant industries, in year 1 and year 20"/>
      </w:tblPr>
      <w:tblGrid>
        <w:gridCol w:w="3865"/>
        <w:gridCol w:w="1710"/>
        <w:gridCol w:w="1710"/>
        <w:gridCol w:w="2160"/>
      </w:tblGrid>
      <w:tr w:rsidR="00694D7C" w:rsidRPr="003C55B6" w14:paraId="6DE26D50" w14:textId="77777777" w:rsidTr="003C55B6">
        <w:trPr>
          <w:cantSplit/>
          <w:tblHeader/>
          <w:jc w:val="center"/>
        </w:trPr>
        <w:tc>
          <w:tcPr>
            <w:tcW w:w="3865" w:type="dxa"/>
            <w:vAlign w:val="center"/>
            <w:hideMark/>
          </w:tcPr>
          <w:p w14:paraId="4ADA1380" w14:textId="77777777" w:rsidR="00694D7C" w:rsidRPr="003C55B6" w:rsidRDefault="00694D7C" w:rsidP="00507A0F">
            <w:pPr>
              <w:pStyle w:val="Tablecell"/>
            </w:pPr>
            <w:r w:rsidRPr="003C55B6">
              <w:t>Industry</w:t>
            </w:r>
          </w:p>
        </w:tc>
        <w:tc>
          <w:tcPr>
            <w:tcW w:w="1710" w:type="dxa"/>
            <w:vAlign w:val="center"/>
            <w:hideMark/>
          </w:tcPr>
          <w:p w14:paraId="2B2AFFFA" w14:textId="77777777" w:rsidR="00694D7C" w:rsidRPr="003C55B6" w:rsidRDefault="00694D7C" w:rsidP="00507A0F">
            <w:pPr>
              <w:pStyle w:val="Tablecell"/>
              <w:jc w:val="center"/>
            </w:pPr>
            <w:r w:rsidRPr="003C55B6">
              <w:t>Initial Output Impact</w:t>
            </w:r>
          </w:p>
        </w:tc>
        <w:tc>
          <w:tcPr>
            <w:tcW w:w="1710" w:type="dxa"/>
          </w:tcPr>
          <w:p w14:paraId="2BAAD192" w14:textId="77777777" w:rsidR="00694D7C" w:rsidRPr="003C55B6" w:rsidRDefault="00694D7C" w:rsidP="00507A0F">
            <w:pPr>
              <w:pStyle w:val="Tablecell"/>
              <w:jc w:val="center"/>
            </w:pPr>
            <w:r w:rsidRPr="003C55B6">
              <w:t>Output Impact in 10 years</w:t>
            </w:r>
          </w:p>
        </w:tc>
        <w:tc>
          <w:tcPr>
            <w:tcW w:w="2160" w:type="dxa"/>
            <w:vAlign w:val="center"/>
            <w:hideMark/>
          </w:tcPr>
          <w:p w14:paraId="533686E9" w14:textId="77777777" w:rsidR="00694D7C" w:rsidRPr="003C55B6" w:rsidRDefault="00694D7C" w:rsidP="00507A0F">
            <w:pPr>
              <w:pStyle w:val="Tablecell"/>
              <w:jc w:val="center"/>
            </w:pPr>
            <w:r w:rsidRPr="003C55B6">
              <w:t>Output Impact in 20 years</w:t>
            </w:r>
          </w:p>
        </w:tc>
      </w:tr>
      <w:tr w:rsidR="00694D7C" w:rsidRPr="003C55B6" w14:paraId="30174976" w14:textId="77777777" w:rsidTr="003C55B6">
        <w:trPr>
          <w:cantSplit/>
          <w:jc w:val="center"/>
        </w:trPr>
        <w:tc>
          <w:tcPr>
            <w:tcW w:w="3865" w:type="dxa"/>
            <w:vAlign w:val="center"/>
            <w:hideMark/>
          </w:tcPr>
          <w:p w14:paraId="228879A5" w14:textId="77777777" w:rsidR="00694D7C" w:rsidRPr="003C55B6" w:rsidRDefault="00694D7C" w:rsidP="00507A0F">
            <w:pPr>
              <w:pStyle w:val="Tablecell"/>
            </w:pPr>
            <w:r w:rsidRPr="003C55B6">
              <w:t>All industries</w:t>
            </w:r>
          </w:p>
        </w:tc>
        <w:tc>
          <w:tcPr>
            <w:tcW w:w="1710" w:type="dxa"/>
            <w:vAlign w:val="center"/>
          </w:tcPr>
          <w:p w14:paraId="68AF71DA" w14:textId="776492D2" w:rsidR="00694D7C" w:rsidRPr="003C55B6" w:rsidRDefault="00694D7C" w:rsidP="00507A0F">
            <w:pPr>
              <w:pStyle w:val="Tablecell"/>
              <w:jc w:val="right"/>
              <w:rPr>
                <w:b/>
              </w:rPr>
            </w:pPr>
            <w:r w:rsidRPr="003C55B6">
              <w:rPr>
                <w:b/>
              </w:rPr>
              <w:t>0.</w:t>
            </w:r>
            <w:r w:rsidR="003077F8" w:rsidRPr="003C55B6">
              <w:rPr>
                <w:b/>
              </w:rPr>
              <w:t>00</w:t>
            </w:r>
            <w:r w:rsidRPr="003C55B6">
              <w:rPr>
                <w:b/>
              </w:rPr>
              <w:t>%</w:t>
            </w:r>
          </w:p>
        </w:tc>
        <w:tc>
          <w:tcPr>
            <w:tcW w:w="1710" w:type="dxa"/>
            <w:vAlign w:val="center"/>
          </w:tcPr>
          <w:p w14:paraId="2DAF99E7" w14:textId="3E86F5E6" w:rsidR="00694D7C" w:rsidRPr="003C55B6" w:rsidRDefault="004B12DA" w:rsidP="00507A0F">
            <w:pPr>
              <w:pStyle w:val="Tablecell"/>
              <w:jc w:val="right"/>
              <w:rPr>
                <w:b/>
              </w:rPr>
            </w:pPr>
            <w:r w:rsidRPr="003C55B6">
              <w:rPr>
                <w:b/>
              </w:rPr>
              <w:t>0.00</w:t>
            </w:r>
            <w:r w:rsidR="00694D7C" w:rsidRPr="003C55B6">
              <w:rPr>
                <w:b/>
              </w:rPr>
              <w:t>%</w:t>
            </w:r>
          </w:p>
        </w:tc>
        <w:tc>
          <w:tcPr>
            <w:tcW w:w="2160" w:type="dxa"/>
            <w:vAlign w:val="center"/>
          </w:tcPr>
          <w:p w14:paraId="44B0075D" w14:textId="28584DD4" w:rsidR="00694D7C" w:rsidRPr="003C55B6" w:rsidRDefault="00694D7C" w:rsidP="00507A0F">
            <w:pPr>
              <w:pStyle w:val="Tablecell"/>
              <w:jc w:val="right"/>
              <w:rPr>
                <w:b/>
              </w:rPr>
            </w:pPr>
            <w:r w:rsidRPr="003C55B6">
              <w:rPr>
                <w:b/>
              </w:rPr>
              <w:t>0.</w:t>
            </w:r>
            <w:r w:rsidR="003077F8" w:rsidRPr="003C55B6">
              <w:rPr>
                <w:b/>
              </w:rPr>
              <w:t>00</w:t>
            </w:r>
            <w:r w:rsidRPr="003C55B6">
              <w:rPr>
                <w:b/>
              </w:rPr>
              <w:t>%</w:t>
            </w:r>
          </w:p>
        </w:tc>
      </w:tr>
      <w:tr w:rsidR="00694D7C" w:rsidRPr="003C55B6" w14:paraId="0655DC13" w14:textId="77777777" w:rsidTr="003C55B6">
        <w:trPr>
          <w:cantSplit/>
          <w:jc w:val="center"/>
        </w:trPr>
        <w:tc>
          <w:tcPr>
            <w:tcW w:w="3865" w:type="dxa"/>
            <w:vAlign w:val="center"/>
          </w:tcPr>
          <w:p w14:paraId="086A0312" w14:textId="3B4803DB" w:rsidR="00694D7C" w:rsidRPr="003C55B6" w:rsidRDefault="007A5A25" w:rsidP="00507A0F">
            <w:pPr>
              <w:pStyle w:val="Tablecell"/>
            </w:pPr>
            <w:r w:rsidRPr="003C55B6">
              <w:t>Soap, cleaning compound, and toilet preparation manufacturing</w:t>
            </w:r>
          </w:p>
        </w:tc>
        <w:tc>
          <w:tcPr>
            <w:tcW w:w="1710" w:type="dxa"/>
            <w:vAlign w:val="center"/>
          </w:tcPr>
          <w:p w14:paraId="66047CCA" w14:textId="05AE4F70" w:rsidR="00694D7C" w:rsidRPr="003C55B6" w:rsidRDefault="00694D7C" w:rsidP="00507A0F">
            <w:pPr>
              <w:pStyle w:val="Tablecell"/>
              <w:jc w:val="right"/>
              <w:rPr>
                <w:b/>
              </w:rPr>
            </w:pPr>
            <w:r w:rsidRPr="003C55B6">
              <w:rPr>
                <w:b/>
              </w:rPr>
              <w:t>0.</w:t>
            </w:r>
            <w:r w:rsidR="00F8324F" w:rsidRPr="003C55B6">
              <w:rPr>
                <w:b/>
              </w:rPr>
              <w:t>00</w:t>
            </w:r>
            <w:r w:rsidRPr="003C55B6">
              <w:rPr>
                <w:b/>
              </w:rPr>
              <w:t>%</w:t>
            </w:r>
          </w:p>
        </w:tc>
        <w:tc>
          <w:tcPr>
            <w:tcW w:w="1710" w:type="dxa"/>
            <w:vAlign w:val="center"/>
          </w:tcPr>
          <w:p w14:paraId="55343483" w14:textId="7619E8EE" w:rsidR="00694D7C" w:rsidRPr="003C55B6" w:rsidRDefault="00694D7C" w:rsidP="00507A0F">
            <w:pPr>
              <w:pStyle w:val="Tablecell"/>
              <w:jc w:val="right"/>
              <w:rPr>
                <w:b/>
              </w:rPr>
            </w:pPr>
            <w:r w:rsidRPr="003C55B6">
              <w:rPr>
                <w:b/>
              </w:rPr>
              <w:t>-0.</w:t>
            </w:r>
            <w:r w:rsidR="00DC1006" w:rsidRPr="003C55B6">
              <w:rPr>
                <w:b/>
              </w:rPr>
              <w:t>0</w:t>
            </w:r>
            <w:r w:rsidR="004B12DA" w:rsidRPr="003C55B6">
              <w:rPr>
                <w:b/>
              </w:rPr>
              <w:t>01</w:t>
            </w:r>
            <w:r w:rsidRPr="003C55B6">
              <w:rPr>
                <w:b/>
              </w:rPr>
              <w:t>%</w:t>
            </w:r>
          </w:p>
        </w:tc>
        <w:tc>
          <w:tcPr>
            <w:tcW w:w="2160" w:type="dxa"/>
            <w:vAlign w:val="center"/>
          </w:tcPr>
          <w:p w14:paraId="4ECF6B58" w14:textId="3265C464" w:rsidR="00694D7C" w:rsidRPr="003C55B6" w:rsidRDefault="00694D7C" w:rsidP="00507A0F">
            <w:pPr>
              <w:pStyle w:val="Tablecell"/>
              <w:jc w:val="right"/>
              <w:rPr>
                <w:b/>
              </w:rPr>
            </w:pPr>
            <w:r w:rsidRPr="003C55B6">
              <w:rPr>
                <w:b/>
              </w:rPr>
              <w:t>-0.</w:t>
            </w:r>
            <w:r w:rsidR="003077F8" w:rsidRPr="003C55B6">
              <w:rPr>
                <w:b/>
              </w:rPr>
              <w:t>0</w:t>
            </w:r>
            <w:r w:rsidR="004B12DA" w:rsidRPr="003C55B6">
              <w:rPr>
                <w:b/>
              </w:rPr>
              <w:t>01</w:t>
            </w:r>
            <w:r w:rsidRPr="003C55B6">
              <w:rPr>
                <w:b/>
              </w:rPr>
              <w:t>%</w:t>
            </w:r>
          </w:p>
        </w:tc>
      </w:tr>
      <w:tr w:rsidR="00694D7C" w:rsidRPr="003C55B6" w14:paraId="09A612A0" w14:textId="77777777" w:rsidTr="003C55B6">
        <w:trPr>
          <w:cantSplit/>
          <w:jc w:val="center"/>
        </w:trPr>
        <w:tc>
          <w:tcPr>
            <w:tcW w:w="3865" w:type="dxa"/>
            <w:vAlign w:val="center"/>
          </w:tcPr>
          <w:p w14:paraId="26E874DC" w14:textId="6D560628" w:rsidR="00694D7C" w:rsidRPr="003C55B6" w:rsidRDefault="007A5A25" w:rsidP="00507A0F">
            <w:pPr>
              <w:pStyle w:val="Tablecell"/>
            </w:pPr>
            <w:r w:rsidRPr="003C55B6">
              <w:t>Plastics product manufacturing</w:t>
            </w:r>
          </w:p>
        </w:tc>
        <w:tc>
          <w:tcPr>
            <w:tcW w:w="1710" w:type="dxa"/>
            <w:vAlign w:val="center"/>
          </w:tcPr>
          <w:p w14:paraId="3ED7D8FD" w14:textId="47825330" w:rsidR="00694D7C" w:rsidRPr="003C55B6" w:rsidRDefault="00694D7C" w:rsidP="00507A0F">
            <w:pPr>
              <w:pStyle w:val="Tablecell"/>
              <w:jc w:val="right"/>
              <w:rPr>
                <w:b/>
              </w:rPr>
            </w:pPr>
            <w:r w:rsidRPr="003C55B6">
              <w:rPr>
                <w:b/>
              </w:rPr>
              <w:t>0.</w:t>
            </w:r>
            <w:r w:rsidR="00F8324F" w:rsidRPr="003C55B6">
              <w:rPr>
                <w:b/>
              </w:rPr>
              <w:t>0</w:t>
            </w:r>
            <w:r w:rsidR="004B12DA" w:rsidRPr="003C55B6">
              <w:rPr>
                <w:b/>
              </w:rPr>
              <w:t>0</w:t>
            </w:r>
            <w:r w:rsidRPr="003C55B6">
              <w:rPr>
                <w:b/>
              </w:rPr>
              <w:t>%</w:t>
            </w:r>
          </w:p>
        </w:tc>
        <w:tc>
          <w:tcPr>
            <w:tcW w:w="1710" w:type="dxa"/>
            <w:vAlign w:val="center"/>
          </w:tcPr>
          <w:p w14:paraId="79AC3D2B" w14:textId="372B01FB" w:rsidR="00694D7C" w:rsidRPr="003C55B6" w:rsidRDefault="00694D7C" w:rsidP="00507A0F">
            <w:pPr>
              <w:pStyle w:val="Tablecell"/>
              <w:jc w:val="right"/>
              <w:rPr>
                <w:b/>
              </w:rPr>
            </w:pPr>
            <w:r w:rsidRPr="003C55B6">
              <w:rPr>
                <w:b/>
              </w:rPr>
              <w:t>-0.</w:t>
            </w:r>
            <w:r w:rsidR="00DC1006" w:rsidRPr="003C55B6">
              <w:rPr>
                <w:b/>
              </w:rPr>
              <w:t>00</w:t>
            </w:r>
            <w:r w:rsidR="004B12DA" w:rsidRPr="003C55B6">
              <w:rPr>
                <w:b/>
              </w:rPr>
              <w:t>1</w:t>
            </w:r>
            <w:r w:rsidRPr="003C55B6">
              <w:rPr>
                <w:b/>
              </w:rPr>
              <w:t>%</w:t>
            </w:r>
          </w:p>
        </w:tc>
        <w:tc>
          <w:tcPr>
            <w:tcW w:w="2160" w:type="dxa"/>
            <w:vAlign w:val="center"/>
          </w:tcPr>
          <w:p w14:paraId="5FB3A3F7" w14:textId="63F2100A" w:rsidR="00694D7C" w:rsidRPr="003C55B6" w:rsidRDefault="00694D7C" w:rsidP="00507A0F">
            <w:pPr>
              <w:pStyle w:val="Tablecell"/>
              <w:jc w:val="right"/>
              <w:rPr>
                <w:b/>
              </w:rPr>
            </w:pPr>
            <w:r w:rsidRPr="003C55B6">
              <w:rPr>
                <w:b/>
              </w:rPr>
              <w:t>-0.</w:t>
            </w:r>
            <w:r w:rsidR="003077F8" w:rsidRPr="003C55B6">
              <w:rPr>
                <w:b/>
              </w:rPr>
              <w:t>00</w:t>
            </w:r>
            <w:r w:rsidR="004B12DA" w:rsidRPr="003C55B6">
              <w:rPr>
                <w:b/>
              </w:rPr>
              <w:t>1</w:t>
            </w:r>
            <w:r w:rsidRPr="003C55B6">
              <w:rPr>
                <w:b/>
              </w:rPr>
              <w:t>%</w:t>
            </w:r>
          </w:p>
        </w:tc>
      </w:tr>
    </w:tbl>
    <w:p w14:paraId="12B14FB3" w14:textId="77777777" w:rsidR="00087615" w:rsidRDefault="00087615" w:rsidP="00257276">
      <w:pPr>
        <w:pStyle w:val="RMHeading3"/>
      </w:pPr>
      <w:r>
        <w:t>7.4 Action taken to reduce small business impacts</w:t>
      </w:r>
    </w:p>
    <w:p w14:paraId="374B30E3" w14:textId="77777777" w:rsidR="00087615" w:rsidRDefault="00087615" w:rsidP="003B1C00">
      <w:pPr>
        <w:pStyle w:val="Paragraph"/>
      </w:pPr>
      <w:r>
        <w:t>The RFA (19.85.030(2) RCW) states that:</w:t>
      </w:r>
    </w:p>
    <w:p w14:paraId="5A9F4A68" w14:textId="77777777" w:rsidR="00087615" w:rsidRDefault="00991BA8" w:rsidP="003B1C00">
      <w:pPr>
        <w:pStyle w:val="Paragraph"/>
      </w:pPr>
      <w:r>
        <w:t>“</w:t>
      </w:r>
      <w:r w:rsidR="00087615">
        <w:t>Based upon the extent of disproportionate impact on small business identified in the statement prepared under RCW 19.85.040, the agency shall, where legal and feasible in meeting the stated objectives of the statutes upon which the rule is based, reduce the costs imposed by the rule on small businesses. The agency must consider, without limitation, each of the following methods of reducing the impact of the proposed rule on small businesses:</w:t>
      </w:r>
    </w:p>
    <w:p w14:paraId="2BF65EBC" w14:textId="6174A089" w:rsidR="00087615" w:rsidRDefault="00087615" w:rsidP="00B45A10">
      <w:pPr>
        <w:pStyle w:val="ListParagraph"/>
        <w:numPr>
          <w:ilvl w:val="0"/>
          <w:numId w:val="47"/>
        </w:numPr>
      </w:pPr>
      <w:r>
        <w:t>Reducing, modifying, or eliminating substantive regulatory requirements;</w:t>
      </w:r>
    </w:p>
    <w:p w14:paraId="259D1BCE" w14:textId="6920296D" w:rsidR="00087615" w:rsidRDefault="00087615" w:rsidP="00B45A10">
      <w:pPr>
        <w:pStyle w:val="ListParagraph"/>
        <w:numPr>
          <w:ilvl w:val="0"/>
          <w:numId w:val="47"/>
        </w:numPr>
      </w:pPr>
      <w:r>
        <w:t>Simplifying, reducing, or eliminating recordkeeping and reporting requirements;</w:t>
      </w:r>
    </w:p>
    <w:p w14:paraId="17406895" w14:textId="11E21F87" w:rsidR="00087615" w:rsidRDefault="00087615" w:rsidP="00B45A10">
      <w:pPr>
        <w:pStyle w:val="ListParagraph"/>
        <w:numPr>
          <w:ilvl w:val="0"/>
          <w:numId w:val="47"/>
        </w:numPr>
      </w:pPr>
      <w:r>
        <w:t>Reducing the frequency of inspections;</w:t>
      </w:r>
    </w:p>
    <w:p w14:paraId="1CF8DF31" w14:textId="2AE04B39" w:rsidR="00087615" w:rsidRDefault="00087615" w:rsidP="00B45A10">
      <w:pPr>
        <w:pStyle w:val="ListParagraph"/>
        <w:numPr>
          <w:ilvl w:val="0"/>
          <w:numId w:val="47"/>
        </w:numPr>
      </w:pPr>
      <w:r>
        <w:t>Delaying compliance timetables;</w:t>
      </w:r>
    </w:p>
    <w:p w14:paraId="12972415" w14:textId="79B280A0" w:rsidR="00087615" w:rsidRDefault="00087615" w:rsidP="00B45A10">
      <w:pPr>
        <w:pStyle w:val="ListParagraph"/>
        <w:numPr>
          <w:ilvl w:val="0"/>
          <w:numId w:val="47"/>
        </w:numPr>
      </w:pPr>
      <w:r>
        <w:t>Reducing or modifying fine schedules for noncompliance; or</w:t>
      </w:r>
    </w:p>
    <w:p w14:paraId="4B5005D5" w14:textId="4FFD7FCC" w:rsidR="00087615" w:rsidRDefault="00087615" w:rsidP="00B45A10">
      <w:pPr>
        <w:pStyle w:val="ListParagraph"/>
        <w:numPr>
          <w:ilvl w:val="0"/>
          <w:numId w:val="47"/>
        </w:numPr>
      </w:pPr>
      <w:r>
        <w:t>Any other mitigation techniques including those suggested by small businesses or small business advocates.</w:t>
      </w:r>
      <w:r w:rsidR="00991BA8">
        <w:t>”</w:t>
      </w:r>
    </w:p>
    <w:p w14:paraId="57FC8BCD" w14:textId="58CE57B7" w:rsidR="00087615" w:rsidRDefault="00087615" w:rsidP="003B1C00">
      <w:pPr>
        <w:pStyle w:val="Paragraph"/>
      </w:pPr>
      <w:r>
        <w:t>We considered all the above options, the goals and objectives of the authorizing statutes (see Chapter 6), and the scope of this rulemaking. We limited compliance cost-reduction methods to those that:</w:t>
      </w:r>
    </w:p>
    <w:p w14:paraId="0E8C25FF" w14:textId="77777777" w:rsidR="00087615" w:rsidRDefault="00087615" w:rsidP="00B45A10">
      <w:pPr>
        <w:pStyle w:val="ListParagraph"/>
      </w:pPr>
      <w:r>
        <w:t>Are legal and feasible.</w:t>
      </w:r>
    </w:p>
    <w:p w14:paraId="319A580B" w14:textId="77777777" w:rsidR="00087615" w:rsidRDefault="00087615" w:rsidP="00B45A10">
      <w:pPr>
        <w:pStyle w:val="ListParagraph"/>
      </w:pPr>
      <w:r>
        <w:t>Meet the goals and objectives of the authorizing statute.</w:t>
      </w:r>
    </w:p>
    <w:p w14:paraId="09305E83" w14:textId="77777777" w:rsidR="00087615" w:rsidRDefault="00087615" w:rsidP="00B45A10">
      <w:pPr>
        <w:pStyle w:val="ListParagraph"/>
      </w:pPr>
      <w:r>
        <w:t>Are within the scope of this rulemaking.</w:t>
      </w:r>
    </w:p>
    <w:p w14:paraId="45E97FDE" w14:textId="77E3EBC3" w:rsidR="008B5E8D" w:rsidRDefault="008B5E8D" w:rsidP="008B5E8D">
      <w:pPr>
        <w:pStyle w:val="Paragraph"/>
      </w:pPr>
      <w:r>
        <w:lastRenderedPageBreak/>
        <w:t>Modifying regulatory requirements, changing reporting requirements, reducing the frequency of inspections, or delaying compliance timetables would not meet statutory objectives or are not feasible and within the scope of this rulemaking.</w:t>
      </w:r>
    </w:p>
    <w:p w14:paraId="0086F4B6" w14:textId="77777777" w:rsidR="006B5E92" w:rsidRPr="00942807" w:rsidRDefault="006B5E92" w:rsidP="006B5E92">
      <w:pPr>
        <w:pStyle w:val="Paragraph"/>
      </w:pPr>
      <w:r>
        <w:t xml:space="preserve">Finally, we included the following elements of the law, in the proposed rule, to reduce costs to small </w:t>
      </w:r>
      <w:r w:rsidRPr="00942807">
        <w:t>businesses.</w:t>
      </w:r>
      <w:r>
        <w:t xml:space="preserve"> Businesses are </w:t>
      </w:r>
      <w:r w:rsidRPr="00942807">
        <w:t>not required to meet annual reporting, PCRC, or fee requirements of covered products</w:t>
      </w:r>
      <w:r>
        <w:t xml:space="preserve"> if they are below the de minimis threshold. The de minimis threshold considers   sales, distribution, or import in or into Washington that:</w:t>
      </w:r>
    </w:p>
    <w:p w14:paraId="546691D4" w14:textId="77777777" w:rsidR="006B5E92" w:rsidRDefault="006B5E92" w:rsidP="00B45A10">
      <w:pPr>
        <w:pStyle w:val="ListParagraph"/>
      </w:pPr>
      <w:r>
        <w:t xml:space="preserve">Generates </w:t>
      </w:r>
      <w:r w:rsidRPr="00942807">
        <w:t xml:space="preserve">less than $1,000,000 </w:t>
      </w:r>
      <w:r>
        <w:t xml:space="preserve">in gross revenue </w:t>
      </w:r>
      <w:r w:rsidRPr="00942807">
        <w:t>in a single category of a covered product</w:t>
      </w:r>
      <w:r>
        <w:t xml:space="preserve"> annually.</w:t>
      </w:r>
    </w:p>
    <w:p w14:paraId="1C188F73" w14:textId="30384D4C" w:rsidR="00942807" w:rsidRDefault="006B5E92" w:rsidP="00B45A10">
      <w:pPr>
        <w:pStyle w:val="ListParagraph"/>
      </w:pPr>
      <w:r>
        <w:t>Sells or distributes less than one ton of a single category of a covered product annually.</w:t>
      </w:r>
    </w:p>
    <w:p w14:paraId="7AFA3AA4" w14:textId="271413DB" w:rsidR="008E581E" w:rsidRPr="00942807" w:rsidRDefault="008E581E" w:rsidP="008E581E">
      <w:pPr>
        <w:pStyle w:val="Paragraph"/>
      </w:pPr>
      <w:r>
        <w:t xml:space="preserve">We note also that </w:t>
      </w:r>
      <w:r w:rsidR="008B3D16">
        <w:t>to the extent that small producers (in terms of resin weight)</w:t>
      </w:r>
      <w:r w:rsidR="00292AC2">
        <w:t xml:space="preserve"> are owned by small businesses, their costs would also be smaller. This is particularly the case for fees, which </w:t>
      </w:r>
      <w:r w:rsidR="00511802">
        <w:t>the proposed rule would reduce for small producers, compared to an assumed equal allocation of fees across all producers.</w:t>
      </w:r>
    </w:p>
    <w:p w14:paraId="5680E3B0" w14:textId="77777777" w:rsidR="00087615" w:rsidRDefault="00087615" w:rsidP="00257276">
      <w:pPr>
        <w:pStyle w:val="RMHeading3"/>
      </w:pPr>
      <w:r>
        <w:t>7.5 Small business and government involvement</w:t>
      </w:r>
    </w:p>
    <w:p w14:paraId="29ABB7BF" w14:textId="672D71CF" w:rsidR="00087615" w:rsidRDefault="00087615" w:rsidP="003B1C00">
      <w:pPr>
        <w:pStyle w:val="Paragraph"/>
      </w:pPr>
      <w:r>
        <w:t xml:space="preserve">We involved small businesses and local governments in </w:t>
      </w:r>
      <w:r w:rsidR="004E5BE9">
        <w:t xml:space="preserve">our </w:t>
      </w:r>
      <w:r>
        <w:t xml:space="preserve">development of the proposed </w:t>
      </w:r>
      <w:r w:rsidR="000F157D">
        <w:t>rule,</w:t>
      </w:r>
      <w:r>
        <w:t xml:space="preserve"> using:</w:t>
      </w:r>
    </w:p>
    <w:p w14:paraId="39BF08CC" w14:textId="4CE2674C" w:rsidR="000920FB" w:rsidRDefault="000E32EB" w:rsidP="00B45A10">
      <w:pPr>
        <w:pStyle w:val="ListParagraph"/>
      </w:pPr>
      <w:r>
        <w:t>Four</w:t>
      </w:r>
      <w:r w:rsidR="000920FB">
        <w:t xml:space="preserve"> informational webinars in February and March 2022.</w:t>
      </w:r>
    </w:p>
    <w:p w14:paraId="0711A516" w14:textId="47B060C1" w:rsidR="000920FB" w:rsidRDefault="00B95D1D" w:rsidP="00B45A10">
      <w:pPr>
        <w:pStyle w:val="ListParagraph"/>
      </w:pPr>
      <w:r>
        <w:t>Seven</w:t>
      </w:r>
      <w:r w:rsidR="000E32EB">
        <w:t xml:space="preserve"> r</w:t>
      </w:r>
      <w:r w:rsidR="000920FB">
        <w:t xml:space="preserve">ule advisory committee meetings that were open </w:t>
      </w:r>
      <w:r w:rsidR="00EC3004">
        <w:t xml:space="preserve">to all interested parties </w:t>
      </w:r>
      <w:r w:rsidR="000920FB">
        <w:t>and provide</w:t>
      </w:r>
      <w:r w:rsidR="000E32EB">
        <w:t>d</w:t>
      </w:r>
      <w:r w:rsidR="000920FB">
        <w:t xml:space="preserve"> opportunities for comments</w:t>
      </w:r>
      <w:r w:rsidR="000E32EB">
        <w:t xml:space="preserve"> in April, June, July, and September 2022.</w:t>
      </w:r>
    </w:p>
    <w:p w14:paraId="72051D35" w14:textId="69EF6537" w:rsidR="007C031A" w:rsidRDefault="004B6C9F" w:rsidP="00B45A10">
      <w:pPr>
        <w:pStyle w:val="ListParagraph"/>
      </w:pPr>
      <w:r>
        <w:t xml:space="preserve">More than </w:t>
      </w:r>
      <w:r w:rsidR="007C031A">
        <w:t>15 individual meetings requested by stakeholders</w:t>
      </w:r>
      <w:r>
        <w:t>.</w:t>
      </w:r>
    </w:p>
    <w:p w14:paraId="6AD79C9A" w14:textId="449BA11A" w:rsidR="000E32EB" w:rsidRDefault="007C031A" w:rsidP="00B45A10">
      <w:pPr>
        <w:pStyle w:val="ListParagraph"/>
      </w:pPr>
      <w:r>
        <w:t>17 e</w:t>
      </w:r>
      <w:r w:rsidR="000E32EB">
        <w:t>-mails to subscriber list and listser</w:t>
      </w:r>
      <w:r w:rsidR="004B6C9F">
        <w:t>v,</w:t>
      </w:r>
      <w:r>
        <w:t xml:space="preserve"> which </w:t>
      </w:r>
      <w:r w:rsidR="004B6C9F">
        <w:t xml:space="preserve">had </w:t>
      </w:r>
      <w:r>
        <w:t>1,134 subscribers at the time of this analysis</w:t>
      </w:r>
      <w:r w:rsidR="004B6C9F">
        <w:t>.</w:t>
      </w:r>
    </w:p>
    <w:p w14:paraId="5BCECF01" w14:textId="5DE5A49A" w:rsidR="00B95D1D" w:rsidRDefault="00B95D1D" w:rsidP="00B45A10">
      <w:pPr>
        <w:pStyle w:val="ListParagraph"/>
      </w:pPr>
      <w:r>
        <w:t>Online access to each revised version of the draft rule language with</w:t>
      </w:r>
      <w:r w:rsidR="004E5BE9">
        <w:t xml:space="preserve"> opportunit</w:t>
      </w:r>
      <w:r w:rsidR="004B6C9F">
        <w:t>ies</w:t>
      </w:r>
      <w:r>
        <w:t xml:space="preserve"> to provide </w:t>
      </w:r>
      <w:r w:rsidR="004819CE">
        <w:t>comments.</w:t>
      </w:r>
    </w:p>
    <w:p w14:paraId="2632BBF4" w14:textId="77777777" w:rsidR="00087615" w:rsidRDefault="00087615" w:rsidP="00257276">
      <w:pPr>
        <w:pStyle w:val="RMHeading3"/>
      </w:pPr>
      <w:r>
        <w:t>7.6 North American Industry Classification System (NAICS) codes of impacted industries</w:t>
      </w:r>
    </w:p>
    <w:p w14:paraId="03614A59" w14:textId="34C1E831" w:rsidR="00087615" w:rsidRDefault="00087615" w:rsidP="003B1C00">
      <w:pPr>
        <w:pStyle w:val="Paragraph"/>
      </w:pPr>
      <w:r>
        <w:t>The proposed rule likely impa</w:t>
      </w:r>
      <w:r w:rsidRPr="000F157D">
        <w:t>cts</w:t>
      </w:r>
      <w:r>
        <w:t xml:space="preserve"> the following industries, with associated NAICS codes</w:t>
      </w:r>
      <w:r w:rsidR="00BE4156">
        <w:t xml:space="preserve">. NAICS definitions and industry hierarchies are discussed at </w:t>
      </w:r>
      <w:hyperlink r:id="rId28" w:history="1">
        <w:r w:rsidR="00475EE7" w:rsidRPr="001E5D21">
          <w:rPr>
            <w:rStyle w:val="Hyperlink"/>
          </w:rPr>
          <w:t>https://www.census.gov/cgi-bin/sssd/naics/naicsrch?chart=2017</w:t>
        </w:r>
      </w:hyperlink>
      <w:r w:rsidR="00475EE7">
        <w:t>.</w:t>
      </w:r>
      <w:r w:rsidR="00035993">
        <w:t xml:space="preserve"> </w:t>
      </w:r>
    </w:p>
    <w:p w14:paraId="0DF5822F" w14:textId="30F9BB02" w:rsidR="00C63872" w:rsidRPr="002B0174" w:rsidRDefault="00C63872" w:rsidP="002B0174">
      <w:pPr>
        <w:pStyle w:val="Caption"/>
        <w:keepNext/>
        <w:keepLines/>
      </w:pPr>
      <w:bookmarkStart w:id="92" w:name="_Toc133303736"/>
      <w:r w:rsidRPr="002B0174">
        <w:lastRenderedPageBreak/>
        <w:t xml:space="preserve">Table </w:t>
      </w:r>
      <w:fldSimple w:instr=" SEQ Table \* ARABIC ">
        <w:r w:rsidR="00726B91" w:rsidRPr="002B0174">
          <w:rPr>
            <w:noProof/>
          </w:rPr>
          <w:t>16</w:t>
        </w:r>
      </w:fldSimple>
      <w:r w:rsidR="006B3A22" w:rsidRPr="002B0174">
        <w:rPr>
          <w:noProof/>
        </w:rPr>
        <w:t>.</w:t>
      </w:r>
      <w:r w:rsidRPr="002B0174">
        <w:t xml:space="preserve"> NAICS categories of likely impacted businesses</w:t>
      </w:r>
      <w:r w:rsidR="006B3A22" w:rsidRPr="002B0174">
        <w:t>.</w:t>
      </w:r>
      <w:bookmarkEnd w:id="92"/>
    </w:p>
    <w:tbl>
      <w:tblPr>
        <w:tblW w:w="8020" w:type="dxa"/>
        <w:tblInd w:w="5" w:type="dxa"/>
        <w:tblBorders>
          <w:insideH w:val="single" w:sz="4" w:space="0" w:color="auto"/>
        </w:tblBorders>
        <w:tblLook w:val="04A0" w:firstRow="1" w:lastRow="0" w:firstColumn="1" w:lastColumn="0" w:noHBand="0" w:noVBand="1"/>
      </w:tblPr>
      <w:tblGrid>
        <w:gridCol w:w="1260"/>
        <w:gridCol w:w="6760"/>
      </w:tblGrid>
      <w:tr w:rsidR="00507A0F" w:rsidRPr="002B0174" w14:paraId="694F678B" w14:textId="77777777" w:rsidTr="002B0174">
        <w:trPr>
          <w:cantSplit/>
          <w:trHeight w:val="255"/>
          <w:tblHeader/>
        </w:trPr>
        <w:tc>
          <w:tcPr>
            <w:tcW w:w="1260" w:type="dxa"/>
            <w:shd w:val="clear" w:color="auto" w:fill="auto"/>
            <w:noWrap/>
            <w:vAlign w:val="center"/>
            <w:hideMark/>
          </w:tcPr>
          <w:p w14:paraId="5EA07B01" w14:textId="77777777" w:rsidR="00507A0F" w:rsidRPr="002B0174" w:rsidRDefault="00507A0F" w:rsidP="002B0174">
            <w:pPr>
              <w:pStyle w:val="Tablecell"/>
              <w:keepLines/>
              <w:jc w:val="center"/>
            </w:pPr>
            <w:r w:rsidRPr="002B0174">
              <w:t>NAICS Code</w:t>
            </w:r>
          </w:p>
        </w:tc>
        <w:tc>
          <w:tcPr>
            <w:tcW w:w="6760" w:type="dxa"/>
            <w:shd w:val="clear" w:color="auto" w:fill="auto"/>
            <w:noWrap/>
            <w:vAlign w:val="center"/>
            <w:hideMark/>
          </w:tcPr>
          <w:p w14:paraId="4D9BB3D9" w14:textId="77777777" w:rsidR="00507A0F" w:rsidRPr="002B0174" w:rsidRDefault="00507A0F" w:rsidP="002B0174">
            <w:pPr>
              <w:pStyle w:val="Tablecell"/>
              <w:keepLines/>
              <w:jc w:val="center"/>
            </w:pPr>
            <w:r w:rsidRPr="002B0174">
              <w:t>Description</w:t>
            </w:r>
          </w:p>
        </w:tc>
      </w:tr>
      <w:tr w:rsidR="00507A0F" w:rsidRPr="002B0174" w14:paraId="5D438C58" w14:textId="77777777" w:rsidTr="002B0174">
        <w:trPr>
          <w:cantSplit/>
          <w:trHeight w:val="255"/>
        </w:trPr>
        <w:tc>
          <w:tcPr>
            <w:tcW w:w="1260" w:type="dxa"/>
            <w:shd w:val="clear" w:color="auto" w:fill="auto"/>
            <w:noWrap/>
            <w:vAlign w:val="center"/>
            <w:hideMark/>
          </w:tcPr>
          <w:p w14:paraId="1F6FB431" w14:textId="77777777" w:rsidR="00507A0F" w:rsidRPr="002B0174" w:rsidRDefault="00507A0F" w:rsidP="002B0174">
            <w:pPr>
              <w:pStyle w:val="Tablecell"/>
              <w:keepLines/>
              <w:rPr>
                <w:color w:val="000000"/>
              </w:rPr>
            </w:pPr>
            <w:r w:rsidRPr="002B0174">
              <w:rPr>
                <w:color w:val="000000"/>
              </w:rPr>
              <w:t>311411</w:t>
            </w:r>
          </w:p>
        </w:tc>
        <w:tc>
          <w:tcPr>
            <w:tcW w:w="6760" w:type="dxa"/>
            <w:shd w:val="clear" w:color="auto" w:fill="auto"/>
            <w:noWrap/>
            <w:vAlign w:val="bottom"/>
            <w:hideMark/>
          </w:tcPr>
          <w:p w14:paraId="1B606D08" w14:textId="77777777" w:rsidR="00507A0F" w:rsidRPr="002B0174" w:rsidRDefault="00507A0F" w:rsidP="002B0174">
            <w:pPr>
              <w:pStyle w:val="Tablecell"/>
              <w:keepLines/>
              <w:rPr>
                <w:b/>
                <w:bCs/>
              </w:rPr>
            </w:pPr>
            <w:r w:rsidRPr="002B0174">
              <w:rPr>
                <w:b/>
                <w:bCs/>
              </w:rPr>
              <w:t>Frozen Fruit, Juice, and Vegetable Manufacturing</w:t>
            </w:r>
          </w:p>
        </w:tc>
      </w:tr>
      <w:tr w:rsidR="00507A0F" w:rsidRPr="002B0174" w14:paraId="34A1468B" w14:textId="77777777" w:rsidTr="002B0174">
        <w:trPr>
          <w:cantSplit/>
          <w:trHeight w:val="255"/>
        </w:trPr>
        <w:tc>
          <w:tcPr>
            <w:tcW w:w="1260" w:type="dxa"/>
            <w:shd w:val="clear" w:color="auto" w:fill="auto"/>
            <w:noWrap/>
            <w:vAlign w:val="bottom"/>
            <w:hideMark/>
          </w:tcPr>
          <w:p w14:paraId="5E9279E7" w14:textId="77777777" w:rsidR="00507A0F" w:rsidRPr="002B0174" w:rsidRDefault="00507A0F" w:rsidP="002B0174">
            <w:pPr>
              <w:pStyle w:val="Tablecell"/>
              <w:keepLines/>
            </w:pPr>
            <w:r w:rsidRPr="002B0174">
              <w:t>311421</w:t>
            </w:r>
          </w:p>
        </w:tc>
        <w:tc>
          <w:tcPr>
            <w:tcW w:w="6760" w:type="dxa"/>
            <w:shd w:val="clear" w:color="auto" w:fill="auto"/>
            <w:noWrap/>
            <w:vAlign w:val="bottom"/>
            <w:hideMark/>
          </w:tcPr>
          <w:p w14:paraId="345B7B98" w14:textId="77777777" w:rsidR="00507A0F" w:rsidRPr="002B0174" w:rsidRDefault="00507A0F" w:rsidP="002B0174">
            <w:pPr>
              <w:pStyle w:val="Tablecell"/>
              <w:keepLines/>
              <w:rPr>
                <w:b/>
                <w:bCs/>
              </w:rPr>
            </w:pPr>
            <w:r w:rsidRPr="002B0174">
              <w:rPr>
                <w:b/>
                <w:bCs/>
              </w:rPr>
              <w:t>Fruit and Vegetable Canning</w:t>
            </w:r>
          </w:p>
        </w:tc>
      </w:tr>
      <w:tr w:rsidR="00507A0F" w:rsidRPr="002B0174" w14:paraId="26D1DC15" w14:textId="77777777" w:rsidTr="002B0174">
        <w:trPr>
          <w:cantSplit/>
          <w:trHeight w:val="255"/>
        </w:trPr>
        <w:tc>
          <w:tcPr>
            <w:tcW w:w="1260" w:type="dxa"/>
            <w:shd w:val="clear" w:color="auto" w:fill="auto"/>
            <w:noWrap/>
            <w:vAlign w:val="center"/>
            <w:hideMark/>
          </w:tcPr>
          <w:p w14:paraId="11D9F38A" w14:textId="77777777" w:rsidR="00507A0F" w:rsidRPr="002B0174" w:rsidRDefault="00507A0F" w:rsidP="002B0174">
            <w:pPr>
              <w:pStyle w:val="Tablecell"/>
              <w:keepLines/>
              <w:rPr>
                <w:color w:val="000000"/>
              </w:rPr>
            </w:pPr>
            <w:r w:rsidRPr="002B0174">
              <w:rPr>
                <w:color w:val="000000"/>
              </w:rPr>
              <w:t>311930</w:t>
            </w:r>
          </w:p>
        </w:tc>
        <w:tc>
          <w:tcPr>
            <w:tcW w:w="6760" w:type="dxa"/>
            <w:shd w:val="clear" w:color="auto" w:fill="auto"/>
            <w:noWrap/>
            <w:vAlign w:val="bottom"/>
            <w:hideMark/>
          </w:tcPr>
          <w:p w14:paraId="7160BA24" w14:textId="77777777" w:rsidR="00507A0F" w:rsidRPr="002B0174" w:rsidRDefault="00507A0F" w:rsidP="002B0174">
            <w:pPr>
              <w:pStyle w:val="Tablecell"/>
              <w:keepLines/>
              <w:rPr>
                <w:b/>
                <w:bCs/>
              </w:rPr>
            </w:pPr>
            <w:r w:rsidRPr="002B0174">
              <w:rPr>
                <w:b/>
                <w:bCs/>
              </w:rPr>
              <w:t>Flavoring Syrup and Concentrate Manufacturing</w:t>
            </w:r>
          </w:p>
        </w:tc>
      </w:tr>
      <w:tr w:rsidR="00507A0F" w:rsidRPr="002B0174" w14:paraId="332BC589" w14:textId="77777777" w:rsidTr="002B0174">
        <w:trPr>
          <w:cantSplit/>
          <w:trHeight w:val="255"/>
        </w:trPr>
        <w:tc>
          <w:tcPr>
            <w:tcW w:w="1260" w:type="dxa"/>
            <w:shd w:val="clear" w:color="auto" w:fill="auto"/>
            <w:noWrap/>
            <w:vAlign w:val="center"/>
            <w:hideMark/>
          </w:tcPr>
          <w:p w14:paraId="5D1FB618" w14:textId="77777777" w:rsidR="00507A0F" w:rsidRPr="002B0174" w:rsidRDefault="00507A0F" w:rsidP="002B0174">
            <w:pPr>
              <w:pStyle w:val="Tablecell"/>
              <w:keepLines/>
              <w:rPr>
                <w:color w:val="000000"/>
              </w:rPr>
            </w:pPr>
            <w:r w:rsidRPr="002B0174">
              <w:rPr>
                <w:color w:val="000000"/>
              </w:rPr>
              <w:t>312111</w:t>
            </w:r>
          </w:p>
        </w:tc>
        <w:tc>
          <w:tcPr>
            <w:tcW w:w="6760" w:type="dxa"/>
            <w:shd w:val="clear" w:color="auto" w:fill="auto"/>
            <w:noWrap/>
            <w:vAlign w:val="bottom"/>
            <w:hideMark/>
          </w:tcPr>
          <w:p w14:paraId="24999667" w14:textId="77777777" w:rsidR="00507A0F" w:rsidRPr="002B0174" w:rsidRDefault="00507A0F" w:rsidP="002B0174">
            <w:pPr>
              <w:pStyle w:val="Tablecell"/>
              <w:keepLines/>
              <w:rPr>
                <w:b/>
                <w:bCs/>
              </w:rPr>
            </w:pPr>
            <w:r w:rsidRPr="002B0174">
              <w:rPr>
                <w:b/>
                <w:bCs/>
              </w:rPr>
              <w:t>Soft Drink Manufacturing</w:t>
            </w:r>
          </w:p>
        </w:tc>
      </w:tr>
      <w:tr w:rsidR="00507A0F" w:rsidRPr="002B0174" w14:paraId="250A3018" w14:textId="77777777" w:rsidTr="002B0174">
        <w:trPr>
          <w:cantSplit/>
          <w:trHeight w:val="255"/>
        </w:trPr>
        <w:tc>
          <w:tcPr>
            <w:tcW w:w="1260" w:type="dxa"/>
            <w:shd w:val="clear" w:color="auto" w:fill="auto"/>
            <w:noWrap/>
            <w:vAlign w:val="center"/>
            <w:hideMark/>
          </w:tcPr>
          <w:p w14:paraId="613A3635" w14:textId="77777777" w:rsidR="00507A0F" w:rsidRPr="002B0174" w:rsidRDefault="00507A0F" w:rsidP="002B0174">
            <w:pPr>
              <w:pStyle w:val="Tablecell"/>
              <w:keepLines/>
              <w:rPr>
                <w:color w:val="000000"/>
              </w:rPr>
            </w:pPr>
            <w:r w:rsidRPr="002B0174">
              <w:rPr>
                <w:color w:val="000000"/>
              </w:rPr>
              <w:t>312112</w:t>
            </w:r>
          </w:p>
        </w:tc>
        <w:tc>
          <w:tcPr>
            <w:tcW w:w="6760" w:type="dxa"/>
            <w:shd w:val="clear" w:color="auto" w:fill="auto"/>
            <w:noWrap/>
            <w:vAlign w:val="bottom"/>
            <w:hideMark/>
          </w:tcPr>
          <w:p w14:paraId="113E7B3B" w14:textId="77777777" w:rsidR="00507A0F" w:rsidRPr="002B0174" w:rsidRDefault="00507A0F" w:rsidP="002B0174">
            <w:pPr>
              <w:pStyle w:val="Tablecell"/>
              <w:keepLines/>
              <w:rPr>
                <w:b/>
                <w:bCs/>
              </w:rPr>
            </w:pPr>
            <w:r w:rsidRPr="002B0174">
              <w:rPr>
                <w:b/>
                <w:bCs/>
              </w:rPr>
              <w:t>Bottled Water Manufacturing</w:t>
            </w:r>
          </w:p>
        </w:tc>
      </w:tr>
      <w:tr w:rsidR="00507A0F" w:rsidRPr="002B0174" w14:paraId="204C1F96" w14:textId="77777777" w:rsidTr="002B0174">
        <w:trPr>
          <w:cantSplit/>
          <w:trHeight w:val="255"/>
        </w:trPr>
        <w:tc>
          <w:tcPr>
            <w:tcW w:w="1260" w:type="dxa"/>
            <w:shd w:val="clear" w:color="auto" w:fill="auto"/>
            <w:noWrap/>
            <w:vAlign w:val="bottom"/>
            <w:hideMark/>
          </w:tcPr>
          <w:p w14:paraId="4B6BDA23" w14:textId="77777777" w:rsidR="00507A0F" w:rsidRPr="002B0174" w:rsidRDefault="00507A0F" w:rsidP="002B0174">
            <w:pPr>
              <w:pStyle w:val="Tablecell"/>
              <w:keepLines/>
            </w:pPr>
            <w:r w:rsidRPr="002B0174">
              <w:t>722513</w:t>
            </w:r>
          </w:p>
        </w:tc>
        <w:tc>
          <w:tcPr>
            <w:tcW w:w="6760" w:type="dxa"/>
            <w:shd w:val="clear" w:color="auto" w:fill="auto"/>
            <w:noWrap/>
            <w:vAlign w:val="bottom"/>
            <w:hideMark/>
          </w:tcPr>
          <w:p w14:paraId="039C5A98" w14:textId="77777777" w:rsidR="00507A0F" w:rsidRPr="002B0174" w:rsidRDefault="00507A0F" w:rsidP="002B0174">
            <w:pPr>
              <w:pStyle w:val="Tablecell"/>
              <w:keepLines/>
              <w:rPr>
                <w:b/>
                <w:bCs/>
              </w:rPr>
            </w:pPr>
            <w:r w:rsidRPr="002B0174">
              <w:rPr>
                <w:b/>
                <w:bCs/>
              </w:rPr>
              <w:t>Limited-Service Restaurants</w:t>
            </w:r>
          </w:p>
        </w:tc>
      </w:tr>
      <w:tr w:rsidR="00507A0F" w:rsidRPr="002B0174" w14:paraId="3BCD3072" w14:textId="77777777" w:rsidTr="002B0174">
        <w:trPr>
          <w:cantSplit/>
          <w:trHeight w:val="255"/>
        </w:trPr>
        <w:tc>
          <w:tcPr>
            <w:tcW w:w="1260" w:type="dxa"/>
            <w:shd w:val="clear" w:color="auto" w:fill="auto"/>
            <w:noWrap/>
            <w:vAlign w:val="bottom"/>
            <w:hideMark/>
          </w:tcPr>
          <w:p w14:paraId="5F4EABC4" w14:textId="77777777" w:rsidR="00507A0F" w:rsidRPr="002B0174" w:rsidRDefault="00507A0F" w:rsidP="002B0174">
            <w:pPr>
              <w:pStyle w:val="Tablecell"/>
              <w:keepLines/>
              <w:rPr>
                <w:color w:val="000000"/>
              </w:rPr>
            </w:pPr>
            <w:r w:rsidRPr="002B0174">
              <w:rPr>
                <w:color w:val="000000"/>
              </w:rPr>
              <w:t>311351</w:t>
            </w:r>
          </w:p>
        </w:tc>
        <w:tc>
          <w:tcPr>
            <w:tcW w:w="6760" w:type="dxa"/>
            <w:shd w:val="clear" w:color="auto" w:fill="auto"/>
            <w:noWrap/>
            <w:vAlign w:val="bottom"/>
            <w:hideMark/>
          </w:tcPr>
          <w:p w14:paraId="68205797" w14:textId="77777777" w:rsidR="00507A0F" w:rsidRPr="002B0174" w:rsidRDefault="00507A0F" w:rsidP="002B0174">
            <w:pPr>
              <w:pStyle w:val="Tablecell"/>
              <w:keepLines/>
              <w:rPr>
                <w:b/>
                <w:bCs/>
                <w:color w:val="000000"/>
              </w:rPr>
            </w:pPr>
            <w:r w:rsidRPr="002B0174">
              <w:rPr>
                <w:b/>
                <w:bCs/>
                <w:color w:val="000000"/>
              </w:rPr>
              <w:t>Chocolate and Confectionery Manufacturing from Cacao Beans</w:t>
            </w:r>
          </w:p>
        </w:tc>
      </w:tr>
      <w:tr w:rsidR="00507A0F" w:rsidRPr="002B0174" w14:paraId="7409F9BF" w14:textId="77777777" w:rsidTr="002B0174">
        <w:trPr>
          <w:cantSplit/>
          <w:trHeight w:val="255"/>
        </w:trPr>
        <w:tc>
          <w:tcPr>
            <w:tcW w:w="1260" w:type="dxa"/>
            <w:shd w:val="clear" w:color="auto" w:fill="auto"/>
            <w:noWrap/>
            <w:vAlign w:val="bottom"/>
            <w:hideMark/>
          </w:tcPr>
          <w:p w14:paraId="24DEAA9A" w14:textId="77777777" w:rsidR="00507A0F" w:rsidRPr="002B0174" w:rsidRDefault="00507A0F" w:rsidP="002B0174">
            <w:pPr>
              <w:pStyle w:val="Tablecell"/>
              <w:keepLines/>
            </w:pPr>
            <w:r w:rsidRPr="002B0174">
              <w:t>311920</w:t>
            </w:r>
          </w:p>
        </w:tc>
        <w:tc>
          <w:tcPr>
            <w:tcW w:w="6760" w:type="dxa"/>
            <w:shd w:val="clear" w:color="auto" w:fill="auto"/>
            <w:noWrap/>
            <w:vAlign w:val="bottom"/>
            <w:hideMark/>
          </w:tcPr>
          <w:p w14:paraId="0D439078" w14:textId="77777777" w:rsidR="00507A0F" w:rsidRPr="002B0174" w:rsidRDefault="00507A0F" w:rsidP="002B0174">
            <w:pPr>
              <w:pStyle w:val="Tablecell"/>
              <w:keepLines/>
              <w:rPr>
                <w:b/>
                <w:bCs/>
                <w:color w:val="000000"/>
              </w:rPr>
            </w:pPr>
            <w:r w:rsidRPr="002B0174">
              <w:rPr>
                <w:b/>
                <w:bCs/>
                <w:color w:val="000000"/>
              </w:rPr>
              <w:t>Coffee and Tea Manufacturing</w:t>
            </w:r>
          </w:p>
        </w:tc>
      </w:tr>
      <w:tr w:rsidR="00507A0F" w:rsidRPr="002B0174" w14:paraId="15087917" w14:textId="77777777" w:rsidTr="002B0174">
        <w:trPr>
          <w:cantSplit/>
          <w:trHeight w:val="255"/>
        </w:trPr>
        <w:tc>
          <w:tcPr>
            <w:tcW w:w="1260" w:type="dxa"/>
            <w:shd w:val="clear" w:color="auto" w:fill="auto"/>
            <w:noWrap/>
            <w:vAlign w:val="bottom"/>
            <w:hideMark/>
          </w:tcPr>
          <w:p w14:paraId="65E4BDD8" w14:textId="77777777" w:rsidR="00507A0F" w:rsidRPr="002B0174" w:rsidRDefault="00507A0F" w:rsidP="002B0174">
            <w:pPr>
              <w:pStyle w:val="Tablecell"/>
              <w:keepLines/>
            </w:pPr>
            <w:r w:rsidRPr="002B0174">
              <w:t>445298</w:t>
            </w:r>
          </w:p>
        </w:tc>
        <w:tc>
          <w:tcPr>
            <w:tcW w:w="6760" w:type="dxa"/>
            <w:shd w:val="clear" w:color="auto" w:fill="auto"/>
            <w:noWrap/>
            <w:vAlign w:val="bottom"/>
            <w:hideMark/>
          </w:tcPr>
          <w:p w14:paraId="1353E86E" w14:textId="77777777" w:rsidR="00507A0F" w:rsidRPr="002B0174" w:rsidRDefault="00507A0F" w:rsidP="002B0174">
            <w:pPr>
              <w:pStyle w:val="Tablecell"/>
              <w:keepLines/>
              <w:rPr>
                <w:b/>
                <w:bCs/>
                <w:color w:val="000000"/>
              </w:rPr>
            </w:pPr>
            <w:r w:rsidRPr="002B0174">
              <w:rPr>
                <w:b/>
                <w:bCs/>
                <w:color w:val="000000"/>
              </w:rPr>
              <w:t>All Other Specialty Food Retailers</w:t>
            </w:r>
          </w:p>
        </w:tc>
      </w:tr>
      <w:tr w:rsidR="00507A0F" w:rsidRPr="002B0174" w14:paraId="6C1E6EB7" w14:textId="77777777" w:rsidTr="002B0174">
        <w:trPr>
          <w:cantSplit/>
          <w:trHeight w:val="255"/>
        </w:trPr>
        <w:tc>
          <w:tcPr>
            <w:tcW w:w="1260" w:type="dxa"/>
            <w:shd w:val="clear" w:color="auto" w:fill="auto"/>
            <w:noWrap/>
            <w:vAlign w:val="center"/>
            <w:hideMark/>
          </w:tcPr>
          <w:p w14:paraId="60451D67" w14:textId="77777777" w:rsidR="00507A0F" w:rsidRPr="002B0174" w:rsidRDefault="00507A0F" w:rsidP="002B0174">
            <w:pPr>
              <w:pStyle w:val="Tablecell"/>
              <w:keepLines/>
              <w:rPr>
                <w:color w:val="000000"/>
              </w:rPr>
            </w:pPr>
            <w:r w:rsidRPr="002B0174">
              <w:rPr>
                <w:color w:val="000000"/>
              </w:rPr>
              <w:t>424490</w:t>
            </w:r>
          </w:p>
        </w:tc>
        <w:tc>
          <w:tcPr>
            <w:tcW w:w="6760" w:type="dxa"/>
            <w:shd w:val="clear" w:color="auto" w:fill="auto"/>
            <w:noWrap/>
            <w:vAlign w:val="bottom"/>
            <w:hideMark/>
          </w:tcPr>
          <w:p w14:paraId="5685F540" w14:textId="77777777" w:rsidR="00507A0F" w:rsidRPr="002B0174" w:rsidRDefault="00507A0F" w:rsidP="002B0174">
            <w:pPr>
              <w:pStyle w:val="Tablecell"/>
              <w:keepLines/>
              <w:rPr>
                <w:b/>
                <w:bCs/>
              </w:rPr>
            </w:pPr>
            <w:r w:rsidRPr="002B0174">
              <w:rPr>
                <w:b/>
                <w:bCs/>
              </w:rPr>
              <w:t>Other Grocery and Related Products Merchant Wholesalers</w:t>
            </w:r>
          </w:p>
        </w:tc>
      </w:tr>
      <w:tr w:rsidR="00507A0F" w:rsidRPr="002B0174" w14:paraId="5F7742C2" w14:textId="77777777" w:rsidTr="002B0174">
        <w:trPr>
          <w:cantSplit/>
          <w:trHeight w:val="255"/>
        </w:trPr>
        <w:tc>
          <w:tcPr>
            <w:tcW w:w="1260" w:type="dxa"/>
            <w:shd w:val="clear" w:color="auto" w:fill="auto"/>
            <w:noWrap/>
            <w:vAlign w:val="center"/>
            <w:hideMark/>
          </w:tcPr>
          <w:p w14:paraId="63BF7EED" w14:textId="77777777" w:rsidR="00507A0F" w:rsidRPr="002B0174" w:rsidRDefault="00507A0F" w:rsidP="002B0174">
            <w:pPr>
              <w:pStyle w:val="Tablecell"/>
              <w:keepLines/>
              <w:rPr>
                <w:color w:val="000000"/>
              </w:rPr>
            </w:pPr>
            <w:r w:rsidRPr="002B0174">
              <w:rPr>
                <w:color w:val="000000"/>
              </w:rPr>
              <w:t>311511</w:t>
            </w:r>
          </w:p>
        </w:tc>
        <w:tc>
          <w:tcPr>
            <w:tcW w:w="6760" w:type="dxa"/>
            <w:shd w:val="clear" w:color="auto" w:fill="auto"/>
            <w:noWrap/>
            <w:vAlign w:val="bottom"/>
            <w:hideMark/>
          </w:tcPr>
          <w:p w14:paraId="447534CC" w14:textId="77777777" w:rsidR="00507A0F" w:rsidRPr="002B0174" w:rsidRDefault="00507A0F" w:rsidP="002B0174">
            <w:pPr>
              <w:pStyle w:val="Tablecell"/>
              <w:keepLines/>
              <w:rPr>
                <w:b/>
                <w:bCs/>
              </w:rPr>
            </w:pPr>
            <w:r w:rsidRPr="002B0174">
              <w:rPr>
                <w:b/>
                <w:bCs/>
              </w:rPr>
              <w:t>Fluid Milk Manufacturing</w:t>
            </w:r>
          </w:p>
        </w:tc>
      </w:tr>
      <w:tr w:rsidR="00507A0F" w:rsidRPr="002B0174" w14:paraId="43362816" w14:textId="77777777" w:rsidTr="002B0174">
        <w:trPr>
          <w:cantSplit/>
          <w:trHeight w:val="255"/>
        </w:trPr>
        <w:tc>
          <w:tcPr>
            <w:tcW w:w="1260" w:type="dxa"/>
            <w:shd w:val="clear" w:color="auto" w:fill="auto"/>
            <w:noWrap/>
            <w:vAlign w:val="bottom"/>
            <w:hideMark/>
          </w:tcPr>
          <w:p w14:paraId="756CECE8" w14:textId="77777777" w:rsidR="00507A0F" w:rsidRPr="002B0174" w:rsidRDefault="00507A0F" w:rsidP="002B0174">
            <w:pPr>
              <w:pStyle w:val="Tablecell"/>
              <w:keepLines/>
            </w:pPr>
            <w:r w:rsidRPr="002B0174">
              <w:t>311514</w:t>
            </w:r>
          </w:p>
        </w:tc>
        <w:tc>
          <w:tcPr>
            <w:tcW w:w="6760" w:type="dxa"/>
            <w:shd w:val="clear" w:color="auto" w:fill="auto"/>
            <w:noWrap/>
            <w:vAlign w:val="bottom"/>
            <w:hideMark/>
          </w:tcPr>
          <w:p w14:paraId="6EC97FBB" w14:textId="77777777" w:rsidR="00507A0F" w:rsidRPr="002B0174" w:rsidRDefault="00507A0F" w:rsidP="002B0174">
            <w:pPr>
              <w:pStyle w:val="Tablecell"/>
              <w:keepLines/>
              <w:rPr>
                <w:b/>
                <w:bCs/>
              </w:rPr>
            </w:pPr>
            <w:r w:rsidRPr="002B0174">
              <w:rPr>
                <w:b/>
                <w:bCs/>
              </w:rPr>
              <w:t>Dry, Condensed, and Evaporated Dairy Product Manufacturing</w:t>
            </w:r>
          </w:p>
        </w:tc>
      </w:tr>
      <w:tr w:rsidR="00507A0F" w:rsidRPr="002B0174" w14:paraId="6E798262" w14:textId="77777777" w:rsidTr="002B0174">
        <w:trPr>
          <w:cantSplit/>
          <w:trHeight w:val="255"/>
        </w:trPr>
        <w:tc>
          <w:tcPr>
            <w:tcW w:w="1260" w:type="dxa"/>
            <w:shd w:val="clear" w:color="auto" w:fill="auto"/>
            <w:noWrap/>
            <w:vAlign w:val="bottom"/>
            <w:hideMark/>
          </w:tcPr>
          <w:p w14:paraId="6FFFC5C1" w14:textId="77777777" w:rsidR="00507A0F" w:rsidRPr="002B0174" w:rsidRDefault="00507A0F" w:rsidP="002B0174">
            <w:pPr>
              <w:pStyle w:val="Tablecell"/>
              <w:keepLines/>
            </w:pPr>
            <w:r w:rsidRPr="002B0174">
              <w:t>424430</w:t>
            </w:r>
          </w:p>
        </w:tc>
        <w:tc>
          <w:tcPr>
            <w:tcW w:w="6760" w:type="dxa"/>
            <w:shd w:val="clear" w:color="auto" w:fill="auto"/>
            <w:noWrap/>
            <w:vAlign w:val="bottom"/>
            <w:hideMark/>
          </w:tcPr>
          <w:p w14:paraId="42526856" w14:textId="77777777" w:rsidR="00507A0F" w:rsidRPr="002B0174" w:rsidRDefault="00507A0F" w:rsidP="002B0174">
            <w:pPr>
              <w:pStyle w:val="Tablecell"/>
              <w:keepLines/>
              <w:rPr>
                <w:b/>
                <w:bCs/>
                <w:color w:val="000000"/>
              </w:rPr>
            </w:pPr>
            <w:r w:rsidRPr="002B0174">
              <w:rPr>
                <w:b/>
                <w:bCs/>
                <w:color w:val="000000"/>
              </w:rPr>
              <w:t>Dairy Product (except Dried or Canned) Merchant Wholesalers</w:t>
            </w:r>
          </w:p>
        </w:tc>
      </w:tr>
      <w:tr w:rsidR="00507A0F" w:rsidRPr="002B0174" w14:paraId="4923F27D" w14:textId="77777777" w:rsidTr="002B0174">
        <w:trPr>
          <w:cantSplit/>
          <w:trHeight w:val="255"/>
        </w:trPr>
        <w:tc>
          <w:tcPr>
            <w:tcW w:w="1260" w:type="dxa"/>
            <w:shd w:val="clear" w:color="auto" w:fill="auto"/>
            <w:noWrap/>
            <w:vAlign w:val="center"/>
            <w:hideMark/>
          </w:tcPr>
          <w:p w14:paraId="7C42A772" w14:textId="77777777" w:rsidR="00507A0F" w:rsidRPr="002B0174" w:rsidRDefault="00507A0F" w:rsidP="002B0174">
            <w:pPr>
              <w:pStyle w:val="Tablecell"/>
              <w:keepLines/>
              <w:rPr>
                <w:color w:val="000000"/>
              </w:rPr>
            </w:pPr>
            <w:r w:rsidRPr="002B0174">
              <w:rPr>
                <w:color w:val="000000"/>
              </w:rPr>
              <w:t>312130</w:t>
            </w:r>
          </w:p>
        </w:tc>
        <w:tc>
          <w:tcPr>
            <w:tcW w:w="6760" w:type="dxa"/>
            <w:shd w:val="clear" w:color="auto" w:fill="auto"/>
            <w:noWrap/>
            <w:vAlign w:val="bottom"/>
            <w:hideMark/>
          </w:tcPr>
          <w:p w14:paraId="241EB574" w14:textId="77777777" w:rsidR="00507A0F" w:rsidRPr="002B0174" w:rsidRDefault="00507A0F" w:rsidP="002B0174">
            <w:pPr>
              <w:pStyle w:val="Tablecell"/>
              <w:keepLines/>
              <w:rPr>
                <w:b/>
                <w:bCs/>
              </w:rPr>
            </w:pPr>
            <w:r w:rsidRPr="002B0174">
              <w:rPr>
                <w:b/>
                <w:bCs/>
              </w:rPr>
              <w:t>Wineries</w:t>
            </w:r>
          </w:p>
        </w:tc>
      </w:tr>
      <w:tr w:rsidR="00507A0F" w:rsidRPr="002B0174" w14:paraId="566923F5" w14:textId="77777777" w:rsidTr="002B0174">
        <w:trPr>
          <w:cantSplit/>
          <w:trHeight w:val="255"/>
        </w:trPr>
        <w:tc>
          <w:tcPr>
            <w:tcW w:w="1260" w:type="dxa"/>
            <w:shd w:val="clear" w:color="auto" w:fill="auto"/>
            <w:noWrap/>
            <w:vAlign w:val="bottom"/>
            <w:hideMark/>
          </w:tcPr>
          <w:p w14:paraId="2C9E9442" w14:textId="77777777" w:rsidR="00507A0F" w:rsidRPr="002B0174" w:rsidRDefault="00507A0F" w:rsidP="002B0174">
            <w:pPr>
              <w:pStyle w:val="Tablecell"/>
              <w:keepLines/>
            </w:pPr>
            <w:r w:rsidRPr="002B0174">
              <w:t>424820</w:t>
            </w:r>
          </w:p>
        </w:tc>
        <w:tc>
          <w:tcPr>
            <w:tcW w:w="6760" w:type="dxa"/>
            <w:shd w:val="clear" w:color="auto" w:fill="auto"/>
            <w:noWrap/>
            <w:vAlign w:val="bottom"/>
            <w:hideMark/>
          </w:tcPr>
          <w:p w14:paraId="5AAA681E" w14:textId="77777777" w:rsidR="00507A0F" w:rsidRPr="002B0174" w:rsidRDefault="00507A0F" w:rsidP="002B0174">
            <w:pPr>
              <w:pStyle w:val="Tablecell"/>
              <w:keepLines/>
              <w:rPr>
                <w:b/>
                <w:bCs/>
              </w:rPr>
            </w:pPr>
            <w:r w:rsidRPr="002B0174">
              <w:rPr>
                <w:b/>
                <w:bCs/>
              </w:rPr>
              <w:t>Wine and Distilled Alcoholic Beverage Merchant Wholesalers</w:t>
            </w:r>
          </w:p>
        </w:tc>
      </w:tr>
      <w:tr w:rsidR="00507A0F" w:rsidRPr="002B0174" w14:paraId="437840F1" w14:textId="77777777" w:rsidTr="002B0174">
        <w:trPr>
          <w:cantSplit/>
          <w:trHeight w:val="255"/>
        </w:trPr>
        <w:tc>
          <w:tcPr>
            <w:tcW w:w="1260" w:type="dxa"/>
            <w:shd w:val="clear" w:color="auto" w:fill="auto"/>
            <w:noWrap/>
            <w:vAlign w:val="center"/>
            <w:hideMark/>
          </w:tcPr>
          <w:p w14:paraId="6F619390" w14:textId="77777777" w:rsidR="00507A0F" w:rsidRPr="002B0174" w:rsidRDefault="00507A0F" w:rsidP="002B0174">
            <w:pPr>
              <w:pStyle w:val="Tablecell"/>
              <w:keepLines/>
              <w:rPr>
                <w:color w:val="000000"/>
              </w:rPr>
            </w:pPr>
            <w:r w:rsidRPr="002B0174">
              <w:rPr>
                <w:color w:val="000000"/>
              </w:rPr>
              <w:t>325611</w:t>
            </w:r>
          </w:p>
        </w:tc>
        <w:tc>
          <w:tcPr>
            <w:tcW w:w="6760" w:type="dxa"/>
            <w:shd w:val="clear" w:color="auto" w:fill="auto"/>
            <w:noWrap/>
            <w:vAlign w:val="bottom"/>
            <w:hideMark/>
          </w:tcPr>
          <w:p w14:paraId="0D670004" w14:textId="77777777" w:rsidR="00507A0F" w:rsidRPr="002B0174" w:rsidRDefault="00507A0F" w:rsidP="002B0174">
            <w:pPr>
              <w:pStyle w:val="Tablecell"/>
              <w:keepLines/>
              <w:rPr>
                <w:b/>
                <w:bCs/>
              </w:rPr>
            </w:pPr>
            <w:r w:rsidRPr="002B0174">
              <w:rPr>
                <w:b/>
                <w:bCs/>
              </w:rPr>
              <w:t>Soap and Other Detergent Manufacturing</w:t>
            </w:r>
          </w:p>
        </w:tc>
      </w:tr>
      <w:tr w:rsidR="00507A0F" w:rsidRPr="002B0174" w14:paraId="5CBB23D5" w14:textId="77777777" w:rsidTr="002B0174">
        <w:trPr>
          <w:cantSplit/>
          <w:trHeight w:val="255"/>
        </w:trPr>
        <w:tc>
          <w:tcPr>
            <w:tcW w:w="1260" w:type="dxa"/>
            <w:shd w:val="clear" w:color="auto" w:fill="auto"/>
            <w:noWrap/>
            <w:vAlign w:val="center"/>
            <w:hideMark/>
          </w:tcPr>
          <w:p w14:paraId="3FA47B3C" w14:textId="77777777" w:rsidR="00507A0F" w:rsidRPr="002B0174" w:rsidRDefault="00507A0F" w:rsidP="002B0174">
            <w:pPr>
              <w:pStyle w:val="Tablecell"/>
              <w:keepLines/>
              <w:rPr>
                <w:color w:val="000000"/>
              </w:rPr>
            </w:pPr>
            <w:r w:rsidRPr="002B0174">
              <w:rPr>
                <w:color w:val="000000"/>
              </w:rPr>
              <w:t>325612</w:t>
            </w:r>
          </w:p>
        </w:tc>
        <w:tc>
          <w:tcPr>
            <w:tcW w:w="6760" w:type="dxa"/>
            <w:shd w:val="clear" w:color="auto" w:fill="auto"/>
            <w:noWrap/>
            <w:vAlign w:val="bottom"/>
            <w:hideMark/>
          </w:tcPr>
          <w:p w14:paraId="24188BE2" w14:textId="77777777" w:rsidR="00507A0F" w:rsidRPr="002B0174" w:rsidRDefault="00507A0F" w:rsidP="002B0174">
            <w:pPr>
              <w:pStyle w:val="Tablecell"/>
              <w:keepLines/>
              <w:rPr>
                <w:b/>
                <w:bCs/>
              </w:rPr>
            </w:pPr>
            <w:r w:rsidRPr="002B0174">
              <w:rPr>
                <w:b/>
                <w:bCs/>
              </w:rPr>
              <w:t>Polish and Other Sanitation Good Manufacturing</w:t>
            </w:r>
          </w:p>
        </w:tc>
      </w:tr>
      <w:tr w:rsidR="00507A0F" w:rsidRPr="002B0174" w14:paraId="7CB0995B" w14:textId="77777777" w:rsidTr="002B0174">
        <w:trPr>
          <w:cantSplit/>
          <w:trHeight w:val="255"/>
        </w:trPr>
        <w:tc>
          <w:tcPr>
            <w:tcW w:w="1260" w:type="dxa"/>
            <w:shd w:val="clear" w:color="auto" w:fill="auto"/>
            <w:noWrap/>
            <w:vAlign w:val="center"/>
            <w:hideMark/>
          </w:tcPr>
          <w:p w14:paraId="370E22FA" w14:textId="77777777" w:rsidR="00507A0F" w:rsidRPr="002B0174" w:rsidRDefault="00507A0F" w:rsidP="002B0174">
            <w:pPr>
              <w:pStyle w:val="Tablecell"/>
              <w:keepLines/>
              <w:rPr>
                <w:color w:val="000000"/>
              </w:rPr>
            </w:pPr>
            <w:r w:rsidRPr="002B0174">
              <w:rPr>
                <w:color w:val="000000"/>
              </w:rPr>
              <w:t>325620</w:t>
            </w:r>
          </w:p>
        </w:tc>
        <w:tc>
          <w:tcPr>
            <w:tcW w:w="6760" w:type="dxa"/>
            <w:shd w:val="clear" w:color="auto" w:fill="auto"/>
            <w:noWrap/>
            <w:vAlign w:val="bottom"/>
            <w:hideMark/>
          </w:tcPr>
          <w:p w14:paraId="3460B29A" w14:textId="77777777" w:rsidR="00507A0F" w:rsidRPr="002B0174" w:rsidRDefault="00507A0F" w:rsidP="002B0174">
            <w:pPr>
              <w:pStyle w:val="Tablecell"/>
              <w:keepLines/>
              <w:rPr>
                <w:b/>
                <w:bCs/>
              </w:rPr>
            </w:pPr>
            <w:r w:rsidRPr="002B0174">
              <w:rPr>
                <w:b/>
                <w:bCs/>
              </w:rPr>
              <w:t>Toilet Preparation Manufacturing</w:t>
            </w:r>
          </w:p>
        </w:tc>
      </w:tr>
      <w:tr w:rsidR="00507A0F" w:rsidRPr="002B0174" w14:paraId="28AA2D70" w14:textId="77777777" w:rsidTr="002B0174">
        <w:trPr>
          <w:cantSplit/>
          <w:trHeight w:val="255"/>
        </w:trPr>
        <w:tc>
          <w:tcPr>
            <w:tcW w:w="1260" w:type="dxa"/>
            <w:shd w:val="clear" w:color="auto" w:fill="auto"/>
            <w:noWrap/>
            <w:vAlign w:val="center"/>
            <w:hideMark/>
          </w:tcPr>
          <w:p w14:paraId="5448CE78" w14:textId="77777777" w:rsidR="00507A0F" w:rsidRPr="002B0174" w:rsidRDefault="00507A0F" w:rsidP="002B0174">
            <w:pPr>
              <w:pStyle w:val="Tablecell"/>
              <w:keepLines/>
              <w:rPr>
                <w:color w:val="000000"/>
              </w:rPr>
            </w:pPr>
            <w:r w:rsidRPr="002B0174">
              <w:rPr>
                <w:color w:val="000000"/>
              </w:rPr>
              <w:t>456120</w:t>
            </w:r>
          </w:p>
        </w:tc>
        <w:tc>
          <w:tcPr>
            <w:tcW w:w="6760" w:type="dxa"/>
            <w:shd w:val="clear" w:color="auto" w:fill="auto"/>
            <w:noWrap/>
            <w:vAlign w:val="bottom"/>
            <w:hideMark/>
          </w:tcPr>
          <w:p w14:paraId="0825AEA9" w14:textId="77777777" w:rsidR="00507A0F" w:rsidRPr="002B0174" w:rsidRDefault="00507A0F" w:rsidP="002B0174">
            <w:pPr>
              <w:pStyle w:val="Tablecell"/>
              <w:keepLines/>
              <w:rPr>
                <w:b/>
                <w:bCs/>
              </w:rPr>
            </w:pPr>
            <w:r w:rsidRPr="002B0174">
              <w:rPr>
                <w:b/>
                <w:bCs/>
              </w:rPr>
              <w:t>Cosmetics, Beauty Supplies, and Perfume Retailers</w:t>
            </w:r>
          </w:p>
        </w:tc>
      </w:tr>
      <w:tr w:rsidR="00507A0F" w:rsidRPr="002B0174" w14:paraId="6FC06BE4" w14:textId="77777777" w:rsidTr="002B0174">
        <w:trPr>
          <w:cantSplit/>
          <w:trHeight w:val="255"/>
        </w:trPr>
        <w:tc>
          <w:tcPr>
            <w:tcW w:w="1260" w:type="dxa"/>
            <w:shd w:val="clear" w:color="auto" w:fill="auto"/>
            <w:noWrap/>
            <w:vAlign w:val="center"/>
            <w:hideMark/>
          </w:tcPr>
          <w:p w14:paraId="7B26C57C" w14:textId="77777777" w:rsidR="00507A0F" w:rsidRPr="002B0174" w:rsidRDefault="00507A0F" w:rsidP="002B0174">
            <w:pPr>
              <w:pStyle w:val="Tablecell"/>
              <w:keepLines/>
              <w:rPr>
                <w:color w:val="000000"/>
              </w:rPr>
            </w:pPr>
            <w:r w:rsidRPr="002B0174">
              <w:rPr>
                <w:color w:val="000000"/>
              </w:rPr>
              <w:t>326111</w:t>
            </w:r>
          </w:p>
        </w:tc>
        <w:tc>
          <w:tcPr>
            <w:tcW w:w="6760" w:type="dxa"/>
            <w:shd w:val="clear" w:color="auto" w:fill="auto"/>
            <w:noWrap/>
            <w:vAlign w:val="bottom"/>
            <w:hideMark/>
          </w:tcPr>
          <w:p w14:paraId="19731A30" w14:textId="77777777" w:rsidR="00507A0F" w:rsidRPr="002B0174" w:rsidRDefault="00507A0F" w:rsidP="002B0174">
            <w:pPr>
              <w:pStyle w:val="Tablecell"/>
              <w:keepLines/>
              <w:rPr>
                <w:b/>
                <w:bCs/>
              </w:rPr>
            </w:pPr>
            <w:r w:rsidRPr="002B0174">
              <w:rPr>
                <w:b/>
                <w:bCs/>
              </w:rPr>
              <w:t>Plastics Bag and Pouch Manufacturing</w:t>
            </w:r>
          </w:p>
        </w:tc>
      </w:tr>
      <w:tr w:rsidR="00507A0F" w:rsidRPr="002B0174" w14:paraId="1E0BCCD7" w14:textId="77777777" w:rsidTr="002B0174">
        <w:trPr>
          <w:cantSplit/>
          <w:trHeight w:val="255"/>
        </w:trPr>
        <w:tc>
          <w:tcPr>
            <w:tcW w:w="1260" w:type="dxa"/>
            <w:shd w:val="clear" w:color="auto" w:fill="auto"/>
            <w:noWrap/>
            <w:vAlign w:val="center"/>
            <w:hideMark/>
          </w:tcPr>
          <w:p w14:paraId="1B9D5E23" w14:textId="77777777" w:rsidR="00507A0F" w:rsidRPr="002B0174" w:rsidRDefault="00507A0F" w:rsidP="002B0174">
            <w:pPr>
              <w:pStyle w:val="Tablecell"/>
              <w:keepLines/>
              <w:rPr>
                <w:color w:val="000000"/>
              </w:rPr>
            </w:pPr>
            <w:r w:rsidRPr="002B0174">
              <w:rPr>
                <w:color w:val="000000"/>
              </w:rPr>
              <w:t>445110</w:t>
            </w:r>
          </w:p>
        </w:tc>
        <w:tc>
          <w:tcPr>
            <w:tcW w:w="6760" w:type="dxa"/>
            <w:shd w:val="clear" w:color="auto" w:fill="auto"/>
            <w:noWrap/>
            <w:vAlign w:val="bottom"/>
            <w:hideMark/>
          </w:tcPr>
          <w:p w14:paraId="7F3136AF" w14:textId="77777777" w:rsidR="00507A0F" w:rsidRPr="002B0174" w:rsidRDefault="00507A0F" w:rsidP="002B0174">
            <w:pPr>
              <w:pStyle w:val="Tablecell"/>
              <w:keepLines/>
              <w:rPr>
                <w:b/>
                <w:bCs/>
              </w:rPr>
            </w:pPr>
            <w:r w:rsidRPr="002B0174">
              <w:rPr>
                <w:b/>
                <w:bCs/>
              </w:rPr>
              <w:t>Supermarkets and Other Grocery Retailers (except Convenience Retailers)</w:t>
            </w:r>
          </w:p>
        </w:tc>
      </w:tr>
      <w:tr w:rsidR="00507A0F" w:rsidRPr="002B0174" w14:paraId="2BC2057E" w14:textId="77777777" w:rsidTr="002B0174">
        <w:trPr>
          <w:cantSplit/>
          <w:trHeight w:val="255"/>
        </w:trPr>
        <w:tc>
          <w:tcPr>
            <w:tcW w:w="1260" w:type="dxa"/>
            <w:shd w:val="clear" w:color="auto" w:fill="auto"/>
            <w:noWrap/>
            <w:vAlign w:val="center"/>
            <w:hideMark/>
          </w:tcPr>
          <w:p w14:paraId="27C25EF5" w14:textId="77777777" w:rsidR="00507A0F" w:rsidRPr="002B0174" w:rsidRDefault="00507A0F" w:rsidP="002B0174">
            <w:pPr>
              <w:pStyle w:val="Tablecell"/>
              <w:keepLines/>
              <w:rPr>
                <w:color w:val="000000"/>
              </w:rPr>
            </w:pPr>
            <w:r w:rsidRPr="002B0174">
              <w:rPr>
                <w:color w:val="000000"/>
              </w:rPr>
              <w:t>455110</w:t>
            </w:r>
          </w:p>
        </w:tc>
        <w:tc>
          <w:tcPr>
            <w:tcW w:w="6760" w:type="dxa"/>
            <w:shd w:val="clear" w:color="auto" w:fill="auto"/>
            <w:noWrap/>
            <w:vAlign w:val="bottom"/>
            <w:hideMark/>
          </w:tcPr>
          <w:p w14:paraId="66C196C6" w14:textId="77777777" w:rsidR="00507A0F" w:rsidRPr="002B0174" w:rsidRDefault="00507A0F" w:rsidP="002B0174">
            <w:pPr>
              <w:pStyle w:val="Tablecell"/>
              <w:keepLines/>
              <w:rPr>
                <w:b/>
                <w:bCs/>
              </w:rPr>
            </w:pPr>
            <w:r w:rsidRPr="002B0174">
              <w:rPr>
                <w:b/>
                <w:bCs/>
              </w:rPr>
              <w:t>Department Stores</w:t>
            </w:r>
          </w:p>
        </w:tc>
      </w:tr>
    </w:tbl>
    <w:p w14:paraId="02890F8A" w14:textId="77777777" w:rsidR="00087615" w:rsidRDefault="00087615" w:rsidP="00257276">
      <w:pPr>
        <w:pStyle w:val="RMHeading3"/>
      </w:pPr>
      <w:r>
        <w:t>7.7 Impact on jobs</w:t>
      </w:r>
    </w:p>
    <w:p w14:paraId="5F25CA0B" w14:textId="35659283" w:rsidR="00087615" w:rsidRDefault="002771ED" w:rsidP="003B1C00">
      <w:pPr>
        <w:pStyle w:val="Paragraph"/>
      </w:pPr>
      <w:r>
        <w:t>We used the REMI E3</w:t>
      </w:r>
      <w:r w:rsidR="00087615">
        <w:t>+ model for Washington State to estimate the impact of the proposed rule on jobs in the state, accounting for dynamic adjustments throughout the economy.</w:t>
      </w:r>
    </w:p>
    <w:p w14:paraId="47C4E895" w14:textId="73A1C78A" w:rsidR="00087615" w:rsidRDefault="00087615" w:rsidP="003B1C00">
      <w:pPr>
        <w:pStyle w:val="Paragraph"/>
      </w:pPr>
      <w:r w:rsidRPr="003B1C00">
        <w:t xml:space="preserve">The proposed </w:t>
      </w:r>
      <w:r w:rsidR="000F157D" w:rsidRPr="003B1C00">
        <w:t>rule would</w:t>
      </w:r>
      <w:r w:rsidRPr="003B1C00">
        <w:t xml:space="preserve"> result in transfers of money within and between industries, as compared to the baseline. The modeled impacts on employment are the result of multiple small increases and decreases in employment, prices, and other economic variables across all industries in the state. </w:t>
      </w:r>
    </w:p>
    <w:p w14:paraId="79D1D30B" w14:textId="4159C678" w:rsidR="00C658D6" w:rsidRPr="003B1C00" w:rsidRDefault="00FD31FA" w:rsidP="003B1C00">
      <w:pPr>
        <w:pStyle w:val="Paragraph"/>
      </w:pPr>
      <w:r>
        <w:t xml:space="preserve">The results of the model show an estimated </w:t>
      </w:r>
      <w:r w:rsidR="00260167">
        <w:t>1</w:t>
      </w:r>
      <w:r>
        <w:t xml:space="preserve"> job lost annually across all industries in Washington from the implementation of this rule. </w:t>
      </w:r>
      <w:bookmarkStart w:id="93" w:name="_Hlk130813220"/>
      <w:r>
        <w:t xml:space="preserve">It should be noted that the REMI E3+ model does not account for jobs that may be created </w:t>
      </w:r>
      <w:r w:rsidR="00A21E91">
        <w:t>because</w:t>
      </w:r>
      <w:r w:rsidR="007C381D">
        <w:t xml:space="preserve"> </w:t>
      </w:r>
      <w:r>
        <w:t xml:space="preserve">of the </w:t>
      </w:r>
      <w:r w:rsidR="002D2EAE">
        <w:t xml:space="preserve">overall implementation of the statutory and rule requirements and estimates employment impacts of </w:t>
      </w:r>
      <w:r w:rsidR="00A12584">
        <w:t>only the elements of the rule in which Ecology had discretion</w:t>
      </w:r>
      <w:r>
        <w:t>.</w:t>
      </w:r>
      <w:r w:rsidR="00C32035">
        <w:t xml:space="preserve"> </w:t>
      </w:r>
      <w:bookmarkEnd w:id="93"/>
      <w:r w:rsidR="00CE79E8">
        <w:t>I</w:t>
      </w:r>
      <w:r w:rsidR="00627BAB" w:rsidRPr="00260167">
        <w:t>ndustries outside of those with covered products may be impacted</w:t>
      </w:r>
      <w:r w:rsidR="00925CC0" w:rsidRPr="00260167">
        <w:t xml:space="preserve">, as the REMI model is a model of the entire state economy. Industries that are typically highly impacted include those with higher sensitivity to changes in prices and market activity, such as construction and local government revenues. </w:t>
      </w:r>
      <w:r w:rsidR="00CE79E8">
        <w:t xml:space="preserve">As shown in the table below, </w:t>
      </w:r>
      <w:r w:rsidR="00CE79E8">
        <w:lastRenderedPageBreak/>
        <w:t>m</w:t>
      </w:r>
      <w:r w:rsidR="00EC7732" w:rsidRPr="00260167">
        <w:t>ost</w:t>
      </w:r>
      <w:r w:rsidR="00D9104A" w:rsidRPr="00260167">
        <w:t xml:space="preserve"> of </w:t>
      </w:r>
      <w:r w:rsidR="00EC7732" w:rsidRPr="00260167">
        <w:t xml:space="preserve">the </w:t>
      </w:r>
      <w:r w:rsidR="00D9104A" w:rsidRPr="00260167">
        <w:t xml:space="preserve">industries in Washington are </w:t>
      </w:r>
      <w:r w:rsidR="00260167" w:rsidRPr="00260167">
        <w:t xml:space="preserve">minimally impacted by the rule and </w:t>
      </w:r>
      <w:r w:rsidR="00925CC0" w:rsidRPr="00260167">
        <w:t>were modeled to experience job losses of between zero and one</w:t>
      </w:r>
      <w:r w:rsidR="00D9104A" w:rsidRPr="00260167">
        <w:t xml:space="preserve"> full time employee (FTE).</w:t>
      </w:r>
      <w:r w:rsidR="00925CC0">
        <w:t xml:space="preserve"> </w:t>
      </w:r>
    </w:p>
    <w:p w14:paraId="5FCBF443" w14:textId="66B3CB26" w:rsidR="00536042" w:rsidRPr="00536042" w:rsidRDefault="00186864" w:rsidP="00186864">
      <w:pPr>
        <w:pStyle w:val="Caption"/>
      </w:pPr>
      <w:bookmarkStart w:id="94" w:name="_Toc133303737"/>
      <w:r>
        <w:t xml:space="preserve">Table </w:t>
      </w:r>
      <w:fldSimple w:instr=" SEQ Table \* ARABIC ">
        <w:r w:rsidR="00726B91">
          <w:rPr>
            <w:noProof/>
          </w:rPr>
          <w:t>17</w:t>
        </w:r>
      </w:fldSimple>
      <w:r w:rsidR="006B3A22">
        <w:rPr>
          <w:noProof/>
        </w:rPr>
        <w:t>.</w:t>
      </w:r>
      <w:r>
        <w:t xml:space="preserve"> </w:t>
      </w:r>
      <w:r w:rsidRPr="0080193B">
        <w:t>High-</w:t>
      </w:r>
      <w:r w:rsidR="006B3A22">
        <w:t>c</w:t>
      </w:r>
      <w:r w:rsidRPr="0080193B">
        <w:t xml:space="preserve">ost </w:t>
      </w:r>
      <w:r w:rsidR="006B3A22">
        <w:t>i</w:t>
      </w:r>
      <w:r w:rsidRPr="0080193B">
        <w:t xml:space="preserve">mpact on </w:t>
      </w:r>
      <w:r w:rsidR="006B3A22">
        <w:t>j</w:t>
      </w:r>
      <w:r w:rsidRPr="0080193B">
        <w:t xml:space="preserve">obs </w:t>
      </w:r>
      <w:r w:rsidR="006B3A22">
        <w:t>for the t</w:t>
      </w:r>
      <w:r w:rsidRPr="0080193B">
        <w:t xml:space="preserve">op </w:t>
      </w:r>
      <w:r w:rsidR="006B3A22">
        <w:t>five</w:t>
      </w:r>
      <w:r w:rsidRPr="0080193B">
        <w:t xml:space="preserve"> highest impacted industries</w:t>
      </w:r>
      <w:r w:rsidR="006B3A22">
        <w:t>.</w:t>
      </w:r>
      <w:bookmarkEnd w:id="94"/>
    </w:p>
    <w:tbl>
      <w:tblPr>
        <w:tblStyle w:val="TableGrid"/>
        <w:tblW w:w="944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Impacts on jobs"/>
        <w:tblDescription w:val="Modeled impacts to jobs in the whole state and significant industries, in year 1 and year 20"/>
      </w:tblPr>
      <w:tblGrid>
        <w:gridCol w:w="3775"/>
        <w:gridCol w:w="1710"/>
        <w:gridCol w:w="1980"/>
        <w:gridCol w:w="1980"/>
      </w:tblGrid>
      <w:tr w:rsidR="00536042" w:rsidRPr="00C44074" w14:paraId="25EE64F9" w14:textId="77777777" w:rsidTr="007223E2">
        <w:tc>
          <w:tcPr>
            <w:tcW w:w="3775" w:type="dxa"/>
            <w:hideMark/>
          </w:tcPr>
          <w:p w14:paraId="51715CAA" w14:textId="77777777" w:rsidR="00536042" w:rsidRPr="00C44074" w:rsidRDefault="00536042" w:rsidP="007223E2">
            <w:pPr>
              <w:pStyle w:val="Tablecell"/>
              <w:jc w:val="center"/>
            </w:pPr>
            <w:r w:rsidRPr="00C44074">
              <w:t>Industry</w:t>
            </w:r>
          </w:p>
        </w:tc>
        <w:tc>
          <w:tcPr>
            <w:tcW w:w="1710" w:type="dxa"/>
            <w:hideMark/>
          </w:tcPr>
          <w:p w14:paraId="04FCBC3B" w14:textId="77777777" w:rsidR="00536042" w:rsidRPr="00C44074" w:rsidRDefault="00536042" w:rsidP="007223E2">
            <w:pPr>
              <w:pStyle w:val="Tablecell"/>
              <w:jc w:val="center"/>
            </w:pPr>
            <w:r w:rsidRPr="00C44074">
              <w:t>Initial Jobs Impact</w:t>
            </w:r>
          </w:p>
        </w:tc>
        <w:tc>
          <w:tcPr>
            <w:tcW w:w="1980" w:type="dxa"/>
          </w:tcPr>
          <w:p w14:paraId="6ECDDF13" w14:textId="77777777" w:rsidR="00536042" w:rsidRPr="00C44074" w:rsidRDefault="00536042" w:rsidP="007223E2">
            <w:pPr>
              <w:pStyle w:val="Tablecell"/>
              <w:jc w:val="center"/>
            </w:pPr>
            <w:r w:rsidRPr="00C44074">
              <w:t>Jobs Impact in 10 years</w:t>
            </w:r>
          </w:p>
        </w:tc>
        <w:tc>
          <w:tcPr>
            <w:tcW w:w="1980" w:type="dxa"/>
            <w:hideMark/>
          </w:tcPr>
          <w:p w14:paraId="6AF3CC38" w14:textId="77777777" w:rsidR="00536042" w:rsidRPr="00C44074" w:rsidRDefault="00536042" w:rsidP="007223E2">
            <w:pPr>
              <w:pStyle w:val="Tablecell"/>
              <w:jc w:val="center"/>
            </w:pPr>
            <w:r w:rsidRPr="00C44074">
              <w:t>Jobs Impact in 20 years</w:t>
            </w:r>
          </w:p>
        </w:tc>
      </w:tr>
      <w:tr w:rsidR="00536042" w:rsidRPr="00C44074" w14:paraId="0058706B" w14:textId="77777777" w:rsidTr="007223E2">
        <w:tc>
          <w:tcPr>
            <w:tcW w:w="3775" w:type="dxa"/>
            <w:hideMark/>
          </w:tcPr>
          <w:p w14:paraId="45A47C33" w14:textId="77777777" w:rsidR="00536042" w:rsidRPr="00C44074" w:rsidRDefault="00536042" w:rsidP="007223E2">
            <w:pPr>
              <w:pStyle w:val="Tablecell"/>
            </w:pPr>
            <w:r w:rsidRPr="00C44074">
              <w:t>Whole state</w:t>
            </w:r>
          </w:p>
        </w:tc>
        <w:tc>
          <w:tcPr>
            <w:tcW w:w="1710" w:type="dxa"/>
          </w:tcPr>
          <w:p w14:paraId="523D7EE7" w14:textId="48069805" w:rsidR="00536042" w:rsidRPr="00C44074" w:rsidRDefault="00536042" w:rsidP="007223E2">
            <w:pPr>
              <w:pStyle w:val="Tablecell"/>
              <w:jc w:val="center"/>
              <w:rPr>
                <w:b/>
              </w:rPr>
            </w:pPr>
            <w:r w:rsidRPr="00C44074">
              <w:rPr>
                <w:b/>
              </w:rPr>
              <w:t>-</w:t>
            </w:r>
            <w:r w:rsidR="00D5083C" w:rsidRPr="00C44074">
              <w:rPr>
                <w:b/>
              </w:rPr>
              <w:t>1</w:t>
            </w:r>
          </w:p>
        </w:tc>
        <w:tc>
          <w:tcPr>
            <w:tcW w:w="1980" w:type="dxa"/>
          </w:tcPr>
          <w:p w14:paraId="1C3A3D9C" w14:textId="4002D3D4" w:rsidR="00536042" w:rsidRPr="00C44074" w:rsidRDefault="00536042" w:rsidP="007223E2">
            <w:pPr>
              <w:pStyle w:val="Tablecell"/>
              <w:jc w:val="center"/>
              <w:rPr>
                <w:b/>
              </w:rPr>
            </w:pPr>
            <w:r w:rsidRPr="00C44074">
              <w:rPr>
                <w:b/>
              </w:rPr>
              <w:t>-</w:t>
            </w:r>
            <w:r w:rsidR="00C85828" w:rsidRPr="00C44074">
              <w:rPr>
                <w:b/>
              </w:rPr>
              <w:t>1</w:t>
            </w:r>
          </w:p>
        </w:tc>
        <w:tc>
          <w:tcPr>
            <w:tcW w:w="1980" w:type="dxa"/>
          </w:tcPr>
          <w:p w14:paraId="015A4D69" w14:textId="478547F4" w:rsidR="00536042" w:rsidRPr="00C44074" w:rsidRDefault="00536042" w:rsidP="007223E2">
            <w:pPr>
              <w:pStyle w:val="Tablecell"/>
              <w:jc w:val="center"/>
              <w:rPr>
                <w:b/>
              </w:rPr>
            </w:pPr>
            <w:r w:rsidRPr="00C44074">
              <w:rPr>
                <w:b/>
              </w:rPr>
              <w:t>-</w:t>
            </w:r>
            <w:r w:rsidR="00C85828" w:rsidRPr="00C44074">
              <w:rPr>
                <w:b/>
              </w:rPr>
              <w:t>1</w:t>
            </w:r>
          </w:p>
        </w:tc>
      </w:tr>
    </w:tbl>
    <w:p w14:paraId="4963277A" w14:textId="77777777" w:rsidR="00925CC0" w:rsidRDefault="00183A8C" w:rsidP="00183A8C">
      <w:pPr>
        <w:spacing w:before="240"/>
      </w:pPr>
      <w:r>
        <w:t xml:space="preserve">We note that the employment impacts above are modeled based only on compliance costs, and do not reflect any broader or systemic changes that result from the law or proposed rule. Improvements in local </w:t>
      </w:r>
      <w:r w:rsidR="00925CC0">
        <w:t>economic activity related to a circular plastics economy would mitigate these estimated losses, through employment and economic activity resulting from:</w:t>
      </w:r>
    </w:p>
    <w:p w14:paraId="53584BED" w14:textId="1B50D212" w:rsidR="00925CC0" w:rsidRDefault="00925CC0" w:rsidP="00B45A10">
      <w:pPr>
        <w:pStyle w:val="ListParagraph"/>
      </w:pPr>
      <w:r>
        <w:t>Plastics recycling and processing</w:t>
      </w:r>
    </w:p>
    <w:p w14:paraId="223081F7" w14:textId="77777777" w:rsidR="00925CC0" w:rsidRDefault="00925CC0" w:rsidP="00B45A10">
      <w:pPr>
        <w:pStyle w:val="ListParagraph"/>
      </w:pPr>
      <w:r>
        <w:t>Production and marketing of PCR resin</w:t>
      </w:r>
    </w:p>
    <w:p w14:paraId="5BF31847" w14:textId="422F2B9F" w:rsidR="00536042" w:rsidRDefault="00925CC0" w:rsidP="00B45A10">
      <w:pPr>
        <w:pStyle w:val="ListParagraph"/>
      </w:pPr>
      <w:r>
        <w:t>PCRC or plastic-alternative packaging</w:t>
      </w:r>
    </w:p>
    <w:p w14:paraId="26A95D76" w14:textId="1834E41B" w:rsidR="00925CC0" w:rsidRPr="00925CC0" w:rsidRDefault="00925CC0" w:rsidP="00B45A10">
      <w:pPr>
        <w:pStyle w:val="ListParagraph"/>
      </w:pPr>
      <w:r>
        <w:t>Market adjustments to consumer products and their packaging</w:t>
      </w:r>
    </w:p>
    <w:p w14:paraId="021096AF" w14:textId="77777777" w:rsidR="00536042" w:rsidRDefault="00536042" w:rsidP="00536042"/>
    <w:p w14:paraId="5D605127" w14:textId="17F73748" w:rsidR="00536042" w:rsidRPr="00536042" w:rsidRDefault="00536042" w:rsidP="00536042">
      <w:pPr>
        <w:sectPr w:rsidR="00536042" w:rsidRPr="00536042">
          <w:pgSz w:w="12240" w:h="15840"/>
          <w:pgMar w:top="1440" w:right="1440" w:bottom="1440" w:left="1440" w:header="720" w:footer="720" w:gutter="0"/>
          <w:cols w:space="720"/>
        </w:sectPr>
      </w:pPr>
    </w:p>
    <w:p w14:paraId="53162321" w14:textId="77777777" w:rsidR="00087615" w:rsidRDefault="00087615" w:rsidP="008B4521">
      <w:pPr>
        <w:pStyle w:val="RMChaptertitle"/>
      </w:pPr>
      <w:bookmarkStart w:id="95" w:name="_Toc132187839"/>
      <w:r w:rsidRPr="0003247E">
        <w:lastRenderedPageBreak/>
        <w:t>References</w:t>
      </w:r>
      <w:bookmarkEnd w:id="95"/>
    </w:p>
    <w:p w14:paraId="0A4A3415" w14:textId="77777777" w:rsidR="003F3861" w:rsidRDefault="003F3861" w:rsidP="0003247E">
      <w:pPr>
        <w:ind w:left="720" w:hanging="720"/>
      </w:pPr>
      <w:r>
        <w:t>Dun &amp; Bradstreet, 2023. Market Insight database.</w:t>
      </w:r>
    </w:p>
    <w:p w14:paraId="08060A5C" w14:textId="65ADF0EE" w:rsidR="0003247E" w:rsidRDefault="0003247E" w:rsidP="0003247E">
      <w:pPr>
        <w:ind w:left="720" w:hanging="720"/>
      </w:pPr>
      <w:r>
        <w:t xml:space="preserve">Recycling Today, Retrieved from: </w:t>
      </w:r>
      <w:hyperlink r:id="rId29" w:history="1">
        <w:r w:rsidR="00C21FFF" w:rsidRPr="006E001E">
          <w:rPr>
            <w:rStyle w:val="Hyperlink"/>
          </w:rPr>
          <w:t>https://www.recyclingtoday.com/news/recycled-plastic-supply-demand-mismatched/</w:t>
        </w:r>
      </w:hyperlink>
      <w:r w:rsidR="004819CE">
        <w:t>.</w:t>
      </w:r>
    </w:p>
    <w:p w14:paraId="2A6397E8" w14:textId="77777777" w:rsidR="0003247E" w:rsidRDefault="0003247E" w:rsidP="0003247E">
      <w:pPr>
        <w:ind w:left="720" w:hanging="720"/>
      </w:pPr>
      <w:r>
        <w:t>REMI E3+ baseline forecast, 2023. Model version 3.0.0.</w:t>
      </w:r>
    </w:p>
    <w:p w14:paraId="5FCA46B2" w14:textId="5A240207" w:rsidR="0003247E" w:rsidRDefault="0003247E" w:rsidP="0003247E">
      <w:pPr>
        <w:ind w:left="720" w:hanging="720"/>
      </w:pPr>
      <w:r>
        <w:t xml:space="preserve">State of California Department of Resources Recycling and Recovery, Division of Recycling, 2023. AB 793 Plastic Content Reporting and Compliance Permanent Regulations, Economic Impact Statement Supplemental Information. Retrieved from </w:t>
      </w:r>
      <w:hyperlink r:id="rId30" w:history="1">
        <w:r w:rsidR="00C21FFF" w:rsidRPr="006E001E">
          <w:rPr>
            <w:rStyle w:val="Hyperlink"/>
          </w:rPr>
          <w:t>https://calrecycle.ca.gov/laws/rulemaking/plasticcontent/</w:t>
        </w:r>
      </w:hyperlink>
      <w:r w:rsidR="004819CE">
        <w:t>.</w:t>
      </w:r>
    </w:p>
    <w:p w14:paraId="188FA652" w14:textId="7D3944A0" w:rsidR="0003247E" w:rsidRDefault="0003247E" w:rsidP="0003247E">
      <w:pPr>
        <w:ind w:left="720" w:hanging="720"/>
      </w:pPr>
      <w:r>
        <w:t xml:space="preserve">US Bureau of Labor Statistics, 2021. May 2021 State Occupational Employment and Wage Estimates, Washington. </w:t>
      </w:r>
      <w:hyperlink r:id="rId31" w:history="1">
        <w:r w:rsidR="00C21FFF" w:rsidRPr="006E001E">
          <w:rPr>
            <w:rStyle w:val="Hyperlink"/>
          </w:rPr>
          <w:t>https://www.bls.gov/oes/current/oes_wa.htm</w:t>
        </w:r>
      </w:hyperlink>
      <w:r>
        <w:t xml:space="preserve">. Average median hourly wage for management occupation. </w:t>
      </w:r>
    </w:p>
    <w:p w14:paraId="49B32727" w14:textId="097B9772" w:rsidR="0003247E" w:rsidRDefault="0003247E" w:rsidP="0003247E">
      <w:pPr>
        <w:ind w:left="720" w:hanging="720"/>
      </w:pPr>
      <w:r>
        <w:t xml:space="preserve">US Treasury Department, 2022. I bond interest rates. Historic average September 1998 through November 2022. </w:t>
      </w:r>
      <w:hyperlink r:id="rId32" w:anchor=":~:text=The%20composite%20rate%20for%20I,through%20April%202023%20is%206.89%25" w:history="1">
        <w:r w:rsidR="00C21FFF" w:rsidRPr="006E001E">
          <w:rPr>
            <w:rStyle w:val="Hyperlink"/>
          </w:rPr>
          <w:t>https://treasurydirect.gov/savings-bonds/i-bonds/i-bonds-interest-rates/#:~:text=The%20composite%20rate%20for%20I,through%20April%202023%20is%206.89%25</w:t>
        </w:r>
      </w:hyperlink>
      <w:r w:rsidR="00C21FFF">
        <w:t>.</w:t>
      </w:r>
    </w:p>
    <w:p w14:paraId="27493B3F" w14:textId="29EDB457" w:rsidR="00785C33" w:rsidRDefault="00785C33" w:rsidP="00785C33">
      <w:pPr>
        <w:ind w:left="720" w:hanging="720"/>
      </w:pPr>
      <w:r>
        <w:t xml:space="preserve">Washington State Department of Ecology, 2022. “Plastics recycled content (PCR) Workload Analysis fiscal year (FY) 2023.” https://www.ecology.wa.gov, January 2022, </w:t>
      </w:r>
      <w:hyperlink r:id="rId33" w:history="1">
        <w:r w:rsidR="00C21FFF" w:rsidRPr="006E001E">
          <w:rPr>
            <w:rStyle w:val="Hyperlink"/>
          </w:rPr>
          <w:t>https://fortress.wa.gov/ecy/publications/SummaryPages/2207004.html</w:t>
        </w:r>
      </w:hyperlink>
      <w:r w:rsidR="00C21FFF">
        <w:t xml:space="preserve">. </w:t>
      </w:r>
      <w:r>
        <w:t>Accessed 2023</w:t>
      </w:r>
    </w:p>
    <w:p w14:paraId="79FDB67E" w14:textId="5485F9C6" w:rsidR="003F3861" w:rsidRDefault="003F3861" w:rsidP="0003247E">
      <w:pPr>
        <w:ind w:left="720" w:hanging="720"/>
      </w:pPr>
      <w:r>
        <w:t xml:space="preserve">Washington State Department of Ecology, 2023. “Plastics post-consumer recycled content Workload Analysis for fiscal year 2024.” https://www.ecology.wa.gov, January 2023, </w:t>
      </w:r>
      <w:hyperlink r:id="rId34" w:history="1">
        <w:r w:rsidR="00C21FFF" w:rsidRPr="006E001E">
          <w:rPr>
            <w:rStyle w:val="Hyperlink"/>
          </w:rPr>
          <w:t>https://apps.ecology.wa.gov/publications/SummaryPages/2307001.html</w:t>
        </w:r>
      </w:hyperlink>
      <w:r w:rsidR="00C21FFF">
        <w:t>. Accessed 2023.</w:t>
      </w:r>
    </w:p>
    <w:p w14:paraId="527238EA" w14:textId="76E3CD0F" w:rsidR="00E13EFD" w:rsidRPr="00E13EFD" w:rsidRDefault="00E13EFD" w:rsidP="00E13EFD">
      <w:pPr>
        <w:ind w:left="720" w:hanging="720"/>
      </w:pPr>
      <w:r>
        <w:t xml:space="preserve">Washington State Office of Financial Management, 2021. Multi-Agency Fiscal Note Summary.  5022 E2SSB AMH ENGR H1491.E, 2021 Legislative Session.  Pages 23-38.  Retrieved from </w:t>
      </w:r>
      <w:hyperlink r:id="rId35" w:history="1">
        <w:r w:rsidR="00C21FFF" w:rsidRPr="006E001E">
          <w:rPr>
            <w:rStyle w:val="Hyperlink"/>
          </w:rPr>
          <w:t>https://fnspublic.ofm.wa.gov/FNSPublicSearch/Search/bill/5022/67</w:t>
        </w:r>
      </w:hyperlink>
      <w:r w:rsidR="00C21FFF">
        <w:t>.</w:t>
      </w:r>
    </w:p>
    <w:p w14:paraId="4C0702FF" w14:textId="77777777" w:rsidR="00D411C1" w:rsidRDefault="00D411C1">
      <w:pPr>
        <w:pStyle w:val="Paragraph"/>
      </w:pPr>
    </w:p>
    <w:p w14:paraId="49C778D2" w14:textId="64B46D7F" w:rsidR="00D411C1" w:rsidRPr="00D411C1" w:rsidRDefault="00D411C1" w:rsidP="00CE4873">
      <w:pPr>
        <w:pStyle w:val="Paragraph"/>
        <w:rPr>
          <w:b/>
        </w:rPr>
        <w:sectPr w:rsidR="00D411C1" w:rsidRPr="00D411C1" w:rsidSect="00962E1E">
          <w:footerReference w:type="first" r:id="rId36"/>
          <w:pgSz w:w="12240" w:h="15840" w:code="1"/>
          <w:pgMar w:top="1440" w:right="1440" w:bottom="1440" w:left="1440" w:header="720" w:footer="720" w:gutter="0"/>
          <w:cols w:space="720"/>
          <w:noEndnote/>
          <w:docGrid w:linePitch="326"/>
        </w:sectPr>
      </w:pPr>
    </w:p>
    <w:p w14:paraId="19E0A1CB" w14:textId="17A7036D" w:rsidR="00087615" w:rsidRDefault="00087615" w:rsidP="008B4521">
      <w:pPr>
        <w:pStyle w:val="RMChaptertitle"/>
      </w:pPr>
      <w:bookmarkStart w:id="96" w:name="_Toc132187840"/>
      <w:r>
        <w:lastRenderedPageBreak/>
        <w:t>Appendix A: Administrative Procedure Act (RCW 34.05.328) Determinations</w:t>
      </w:r>
      <w:bookmarkEnd w:id="96"/>
    </w:p>
    <w:p w14:paraId="14356318" w14:textId="77777777" w:rsidR="00BF0719" w:rsidRPr="00002885" w:rsidRDefault="00BF0719" w:rsidP="00BF0719">
      <w:pPr>
        <w:pStyle w:val="ListParagraph"/>
        <w:numPr>
          <w:ilvl w:val="0"/>
          <w:numId w:val="19"/>
        </w:numPr>
        <w:spacing w:before="240"/>
        <w:ind w:left="360"/>
        <w:rPr>
          <w:rFonts w:cs="Times New Roman"/>
          <w:b/>
        </w:rPr>
      </w:pPr>
      <w:r w:rsidRPr="00002885">
        <w:rPr>
          <w:rFonts w:cs="Times New Roman"/>
          <w:b/>
        </w:rPr>
        <w:t xml:space="preserve">RCW 34.05.328(1)(a) – Clearly state in detail the general goals and specific objectives of the statute that this rule implements. </w:t>
      </w:r>
    </w:p>
    <w:p w14:paraId="5F2755DA" w14:textId="0686448A" w:rsidR="00BF0719" w:rsidRDefault="00BF0719" w:rsidP="00B45A10">
      <w:pPr>
        <w:pStyle w:val="Paragraph"/>
        <w:ind w:left="360"/>
      </w:pPr>
      <w:r>
        <w:t>This rule implements RCW 70A</w:t>
      </w:r>
      <w:r w:rsidR="00091BB5">
        <w:t>.</w:t>
      </w:r>
      <w:r>
        <w:t xml:space="preserve">245.090(4) by revising definitions that establish the clarity “necessary for Ecology to administer, implement, and enforce this chapter,” </w:t>
      </w:r>
      <w:r w:rsidR="000F157D">
        <w:t>including:</w:t>
      </w:r>
    </w:p>
    <w:p w14:paraId="03157501" w14:textId="21AA9A08" w:rsidR="00BF0719" w:rsidRDefault="00BF0719" w:rsidP="00BF0719">
      <w:pPr>
        <w:pStyle w:val="ListParagraph"/>
        <w:numPr>
          <w:ilvl w:val="0"/>
          <w:numId w:val="21"/>
        </w:numPr>
        <w:spacing w:before="240"/>
        <w:contextualSpacing/>
        <w:rPr>
          <w:rFonts w:cs="Times New Roman"/>
        </w:rPr>
      </w:pPr>
      <w:r>
        <w:rPr>
          <w:rFonts w:cs="Times New Roman"/>
        </w:rPr>
        <w:t>The party</w:t>
      </w:r>
      <w:r w:rsidR="001B24CF">
        <w:rPr>
          <w:rFonts w:cs="Times New Roman"/>
        </w:rPr>
        <w:t xml:space="preserve"> or parties</w:t>
      </w:r>
      <w:r w:rsidRPr="006920DC">
        <w:rPr>
          <w:rFonts w:cs="Times New Roman"/>
        </w:rPr>
        <w:t xml:space="preserve"> responsible for compliance with this law</w:t>
      </w:r>
      <w:r w:rsidR="004819CE">
        <w:rPr>
          <w:rFonts w:cs="Times New Roman"/>
        </w:rPr>
        <w:t>.</w:t>
      </w:r>
    </w:p>
    <w:p w14:paraId="69366720" w14:textId="22513D55" w:rsidR="00BF0719" w:rsidRDefault="00BF0719" w:rsidP="00BF0719">
      <w:pPr>
        <w:pStyle w:val="ListParagraph"/>
        <w:numPr>
          <w:ilvl w:val="0"/>
          <w:numId w:val="21"/>
        </w:numPr>
        <w:spacing w:before="240"/>
        <w:contextualSpacing/>
        <w:rPr>
          <w:rFonts w:cs="Times New Roman"/>
        </w:rPr>
      </w:pPr>
      <w:r>
        <w:rPr>
          <w:rFonts w:cs="Times New Roman"/>
        </w:rPr>
        <w:t>Scope of covered product categories included in the requirements</w:t>
      </w:r>
      <w:r w:rsidR="004819CE">
        <w:rPr>
          <w:rFonts w:cs="Times New Roman"/>
        </w:rPr>
        <w:t>.</w:t>
      </w:r>
    </w:p>
    <w:p w14:paraId="671F2691" w14:textId="77777777" w:rsidR="00BF0719" w:rsidRDefault="00BF0719" w:rsidP="00B45A10">
      <w:pPr>
        <w:pStyle w:val="Paragraph"/>
        <w:ind w:left="360"/>
      </w:pPr>
      <w:r>
        <w:t xml:space="preserve">This rule implements RCW 70A.245(3)(a)(iv), which states: </w:t>
      </w:r>
      <w:r w:rsidRPr="009144EB">
        <w:t>(iv) By 2024, adopt rules to equitably determine annual fee payments by producers or their third-party representatives within each category of covered product.</w:t>
      </w:r>
    </w:p>
    <w:p w14:paraId="311787C1" w14:textId="0041AA4A" w:rsidR="00BF0719" w:rsidRPr="00086E3E" w:rsidRDefault="00BF0719" w:rsidP="00B45A10">
      <w:pPr>
        <w:pStyle w:val="Paragraph"/>
        <w:ind w:left="360"/>
      </w:pPr>
      <w:r>
        <w:t>See</w:t>
      </w:r>
      <w:r w:rsidRPr="00086E3E">
        <w:t xml:space="preserve"> </w:t>
      </w:r>
      <w:r w:rsidR="0081662E">
        <w:t xml:space="preserve">goals and objectives listed in </w:t>
      </w:r>
      <w:r w:rsidRPr="00086E3E">
        <w:t>Chapter 6.</w:t>
      </w:r>
    </w:p>
    <w:p w14:paraId="6EBFD359" w14:textId="77777777" w:rsidR="00BF0719" w:rsidRDefault="00BF0719" w:rsidP="00BF0719">
      <w:pPr>
        <w:pStyle w:val="ListParagraph"/>
        <w:numPr>
          <w:ilvl w:val="0"/>
          <w:numId w:val="19"/>
        </w:numPr>
        <w:spacing w:before="240"/>
        <w:ind w:left="360"/>
        <w:contextualSpacing/>
        <w:rPr>
          <w:rFonts w:cs="Times New Roman"/>
          <w:b/>
        </w:rPr>
      </w:pPr>
      <w:r w:rsidRPr="00002885">
        <w:rPr>
          <w:rFonts w:cs="Times New Roman"/>
          <w:b/>
        </w:rPr>
        <w:t xml:space="preserve">RCW 34.05.328(1)(b) – </w:t>
      </w:r>
    </w:p>
    <w:p w14:paraId="501BEE2C" w14:textId="77777777" w:rsidR="00BF0719" w:rsidRPr="00002885" w:rsidRDefault="00BF0719" w:rsidP="00BF0719">
      <w:pPr>
        <w:pStyle w:val="ListParagraph"/>
        <w:numPr>
          <w:ilvl w:val="0"/>
          <w:numId w:val="20"/>
        </w:numPr>
        <w:spacing w:before="240"/>
        <w:rPr>
          <w:rFonts w:cs="Times New Roman"/>
          <w:b/>
        </w:rPr>
      </w:pPr>
      <w:r w:rsidRPr="00002885">
        <w:rPr>
          <w:rFonts w:cs="Times New Roman"/>
          <w:b/>
        </w:rPr>
        <w:t xml:space="preserve">Determine that the rule is needed to achieve the general goals and specific objectives of the statute. </w:t>
      </w:r>
    </w:p>
    <w:p w14:paraId="5A8CFD1A" w14:textId="77777777" w:rsidR="00BF0719" w:rsidRPr="00086E3E" w:rsidRDefault="00BF0719" w:rsidP="00B45A10">
      <w:pPr>
        <w:pStyle w:val="Paragraph"/>
        <w:ind w:firstLine="360"/>
      </w:pPr>
      <w:r w:rsidRPr="00086E3E">
        <w:t>See chapters 1 and 2.</w:t>
      </w:r>
    </w:p>
    <w:p w14:paraId="6DD6B698" w14:textId="77777777" w:rsidR="00BF0719" w:rsidRPr="00086E3E" w:rsidRDefault="00BF0719" w:rsidP="00BF0719">
      <w:pPr>
        <w:pStyle w:val="ListParagraph"/>
        <w:numPr>
          <w:ilvl w:val="0"/>
          <w:numId w:val="20"/>
        </w:numPr>
        <w:spacing w:before="240"/>
        <w:rPr>
          <w:rFonts w:cs="Times New Roman"/>
          <w:b/>
        </w:rPr>
      </w:pPr>
      <w:r w:rsidRPr="00086E3E">
        <w:rPr>
          <w:rFonts w:cs="Times New Roman"/>
          <w:b/>
        </w:rPr>
        <w:t xml:space="preserve">Analyze alternatives to rulemaking and the consequences of not adopting this rule. </w:t>
      </w:r>
    </w:p>
    <w:p w14:paraId="6127D17D" w14:textId="528DCBEE" w:rsidR="00BF0719" w:rsidRPr="00BF0719" w:rsidRDefault="00BF0719" w:rsidP="00B45A10">
      <w:pPr>
        <w:pStyle w:val="Paragraph"/>
        <w:ind w:left="360"/>
      </w:pPr>
      <w:r w:rsidRPr="00BF0719">
        <w:t xml:space="preserve">If </w:t>
      </w:r>
      <w:r w:rsidR="00EC7732">
        <w:t xml:space="preserve">Ecology does not adopt </w:t>
      </w:r>
      <w:r w:rsidRPr="00BF0719">
        <w:t xml:space="preserve">this rule by 2024, then </w:t>
      </w:r>
      <w:r w:rsidR="00EC7732">
        <w:t>we would be</w:t>
      </w:r>
      <w:r w:rsidRPr="00BF0719">
        <w:t xml:space="preserve"> out of compliance with the </w:t>
      </w:r>
      <w:r w:rsidR="00EC7732">
        <w:t xml:space="preserve">law </w:t>
      </w:r>
      <w:r w:rsidRPr="00BF0719">
        <w:t xml:space="preserve">and would </w:t>
      </w:r>
      <w:r w:rsidR="0051038F">
        <w:t xml:space="preserve">need </w:t>
      </w:r>
      <w:r w:rsidRPr="00BF0719">
        <w:t>to annually issue general orders to equitably determine individual producer or third</w:t>
      </w:r>
      <w:r w:rsidR="00C85139">
        <w:t>-</w:t>
      </w:r>
      <w:r w:rsidRPr="00BF0719">
        <w:t>party fee amounts. If this rule is not adopted, the covered product categories remain unclear and there will be ongoing producer confusion as to who must take responsibility for compliance and for what kinds of products.</w:t>
      </w:r>
    </w:p>
    <w:p w14:paraId="4F9C9462" w14:textId="4ED48269" w:rsidR="00BF0719" w:rsidRPr="00086E3E" w:rsidRDefault="003074B8" w:rsidP="00B45A10">
      <w:pPr>
        <w:pStyle w:val="Paragraph"/>
        <w:ind w:left="360"/>
      </w:pPr>
      <w:r>
        <w:t>S</w:t>
      </w:r>
      <w:r w:rsidR="00BF0719" w:rsidRPr="00BF0719">
        <w:t>ee the Least Burdensome Alternative Analysis, Chapter 6 of this document, for discussion of alternative rule content considered.</w:t>
      </w:r>
    </w:p>
    <w:p w14:paraId="44F543A0" w14:textId="77777777" w:rsidR="00BF0719" w:rsidRPr="00002885" w:rsidRDefault="00BF0719" w:rsidP="00BF0719">
      <w:pPr>
        <w:pStyle w:val="ListParagraph"/>
        <w:numPr>
          <w:ilvl w:val="0"/>
          <w:numId w:val="19"/>
        </w:numPr>
        <w:spacing w:before="240"/>
        <w:ind w:left="360"/>
        <w:rPr>
          <w:rFonts w:cs="Times New Roman"/>
          <w:b/>
        </w:rPr>
      </w:pPr>
      <w:r w:rsidRPr="00002885">
        <w:rPr>
          <w:rFonts w:cs="Times New Roman"/>
          <w:b/>
        </w:rPr>
        <w:t>RCW 34.05.328(1)(c) - A preliminary cost-benefit analysis was made available</w:t>
      </w:r>
      <w:r>
        <w:rPr>
          <w:rFonts w:cs="Times New Roman"/>
          <w:b/>
        </w:rPr>
        <w:t>.</w:t>
      </w:r>
    </w:p>
    <w:p w14:paraId="10302AAB" w14:textId="77777777" w:rsidR="00BF0719" w:rsidRPr="00086E3E" w:rsidRDefault="00BF0719" w:rsidP="00B45A10">
      <w:pPr>
        <w:pStyle w:val="Paragraph"/>
        <w:ind w:left="360"/>
      </w:pPr>
      <w:r w:rsidRPr="00086E3E">
        <w:t>When filing a rule proposal (CR-102) under RCW 34.05.320, Ecology provides notice that a preliminary cost-benefit analysis is available. At adoption (CR-103 filing) under RCW 34.05.360, Ecology provides notice of the availability of the final cost-benefit analysis.</w:t>
      </w:r>
    </w:p>
    <w:p w14:paraId="22E197EC" w14:textId="722F8528" w:rsidR="00BF0719" w:rsidRPr="00086E3E" w:rsidRDefault="00BF0719" w:rsidP="00BF0719">
      <w:pPr>
        <w:pStyle w:val="ListParagraph"/>
        <w:numPr>
          <w:ilvl w:val="0"/>
          <w:numId w:val="19"/>
        </w:numPr>
        <w:spacing w:before="240"/>
        <w:ind w:left="360"/>
        <w:rPr>
          <w:rFonts w:cs="Times New Roman"/>
          <w:b/>
        </w:rPr>
      </w:pPr>
      <w:r w:rsidRPr="00086E3E">
        <w:rPr>
          <w:rFonts w:cs="Times New Roman"/>
          <w:b/>
        </w:rPr>
        <w:t xml:space="preserve">RCW 34.05.328(1)(d) – </w:t>
      </w:r>
      <w:r w:rsidR="001B24CF" w:rsidRPr="00086E3E">
        <w:rPr>
          <w:rFonts w:cs="Times New Roman"/>
          <w:b/>
        </w:rPr>
        <w:t xml:space="preserve">Determine </w:t>
      </w:r>
      <w:r w:rsidR="000F157D" w:rsidRPr="00086E3E">
        <w:rPr>
          <w:rFonts w:cs="Times New Roman"/>
          <w:b/>
        </w:rPr>
        <w:t>that probable</w:t>
      </w:r>
      <w:r w:rsidRPr="00086E3E">
        <w:rPr>
          <w:rFonts w:cs="Times New Roman"/>
          <w:b/>
        </w:rPr>
        <w:t xml:space="preserve"> benefits of this rule are greater </w:t>
      </w:r>
      <w:r w:rsidR="000F157D" w:rsidRPr="00086E3E">
        <w:rPr>
          <w:rFonts w:cs="Times New Roman"/>
          <w:b/>
        </w:rPr>
        <w:t>than its</w:t>
      </w:r>
      <w:r w:rsidRPr="00086E3E">
        <w:rPr>
          <w:rFonts w:cs="Times New Roman"/>
          <w:b/>
        </w:rPr>
        <w:t xml:space="preserve"> probable costs, taking into account both the qualitative and quantitative benefits and costs and the specific directives of the statute being implemented. </w:t>
      </w:r>
    </w:p>
    <w:p w14:paraId="438DFC3F" w14:textId="77777777" w:rsidR="00BF0719" w:rsidRPr="00086E3E" w:rsidRDefault="00BF0719" w:rsidP="00B45A10">
      <w:pPr>
        <w:pStyle w:val="Paragraph"/>
        <w:ind w:firstLine="360"/>
      </w:pPr>
      <w:r w:rsidRPr="00086E3E">
        <w:t>See Chapters 1 – 5.</w:t>
      </w:r>
    </w:p>
    <w:p w14:paraId="3912C99D" w14:textId="77777777" w:rsidR="00BF0719" w:rsidRPr="00086E3E" w:rsidRDefault="00BF0719" w:rsidP="00BF0719">
      <w:pPr>
        <w:pStyle w:val="ListParagraph"/>
        <w:numPr>
          <w:ilvl w:val="0"/>
          <w:numId w:val="19"/>
        </w:numPr>
        <w:spacing w:before="240"/>
        <w:ind w:left="360"/>
        <w:rPr>
          <w:rFonts w:cs="Times New Roman"/>
          <w:b/>
        </w:rPr>
      </w:pPr>
      <w:r>
        <w:rPr>
          <w:rFonts w:cs="Times New Roman"/>
          <w:b/>
        </w:rPr>
        <w:lastRenderedPageBreak/>
        <w:t>RCW 34.05.328 (1</w:t>
      </w:r>
      <w:r w:rsidRPr="00086E3E">
        <w:rPr>
          <w:rFonts w:cs="Times New Roman"/>
          <w:b/>
        </w:rPr>
        <w:t xml:space="preserve">)(e) - Determine, after considering alternative versions of the analysis required under RCW 34.05.328 (b), (c) and (d) that the rule being adopted is the least burdensome alternative for those required to comply with it that will achieve the general goals and specific objectives stated in Chapter 6. </w:t>
      </w:r>
    </w:p>
    <w:p w14:paraId="02CA140D" w14:textId="79392BB5" w:rsidR="00BF0719" w:rsidRPr="00086E3E" w:rsidRDefault="00F77E56" w:rsidP="00B45A10">
      <w:pPr>
        <w:pStyle w:val="Paragraph"/>
        <w:ind w:firstLine="360"/>
      </w:pPr>
      <w:r>
        <w:t>S</w:t>
      </w:r>
      <w:r w:rsidR="00BF0719" w:rsidRPr="00086E3E">
        <w:t>ee Chapter 6</w:t>
      </w:r>
      <w:r w:rsidR="00BF0719">
        <w:t>.</w:t>
      </w:r>
      <w:r w:rsidR="00BF0719" w:rsidRPr="00086E3E">
        <w:t xml:space="preserve"> </w:t>
      </w:r>
    </w:p>
    <w:p w14:paraId="1D6FE9C0" w14:textId="77777777" w:rsidR="00BF0719" w:rsidRPr="00195074" w:rsidRDefault="00BF0719" w:rsidP="00BF0719">
      <w:pPr>
        <w:pStyle w:val="ListParagraph"/>
        <w:numPr>
          <w:ilvl w:val="0"/>
          <w:numId w:val="19"/>
        </w:numPr>
        <w:spacing w:before="240"/>
        <w:ind w:left="360"/>
        <w:rPr>
          <w:rFonts w:cs="Times New Roman"/>
          <w:b/>
        </w:rPr>
      </w:pPr>
      <w:r w:rsidRPr="00086E3E">
        <w:rPr>
          <w:rFonts w:cs="Times New Roman"/>
          <w:b/>
        </w:rPr>
        <w:t>RCW 34.05.328(1)(f) - Determine that the rule does not require those to whom it applies to take an action that violates requirements of an</w:t>
      </w:r>
      <w:r>
        <w:rPr>
          <w:rFonts w:cs="Times New Roman"/>
          <w:b/>
        </w:rPr>
        <w:t>other federal or state law.</w:t>
      </w:r>
    </w:p>
    <w:p w14:paraId="696738FA" w14:textId="028C0ACB" w:rsidR="00BF0719" w:rsidRPr="00BF0719" w:rsidRDefault="00BF0719" w:rsidP="00B45A10">
      <w:pPr>
        <w:pStyle w:val="Paragraph"/>
        <w:ind w:left="360"/>
      </w:pPr>
      <w:r w:rsidRPr="00BF0719">
        <w:t xml:space="preserve">The rule maintains the original RCW’s exclusion of rigid plastic containers used for prescription and non-prescription drugs (and adds language clarifying that that includes all FDA regulated drugs), dietary supplements, and FDA regulated sterile medical devices or products. The rule also establishes an exclusion for aerosols sold in plastic containers upon research into 49 CFR Sec. 178.33b-6, states: “No used material other than production residues or regrind from the same manufacturing process may be used.” Washington’s </w:t>
      </w:r>
      <w:r w:rsidR="00C15D67">
        <w:t xml:space="preserve">PCRC </w:t>
      </w:r>
      <w:r w:rsidRPr="00BF0719">
        <w:t xml:space="preserve">requirements are “different than” this specific FIFRA regulatory “requirement” adopted for plastic aerosol containers, and therefore are expressly preempted by 7 U.S.C. § 136v(b) as to such containers. This exclusion is reflected in the rule language. The rule language also excluded federally regulated biomedical waste bags based upon stakeholder input. </w:t>
      </w:r>
    </w:p>
    <w:p w14:paraId="3801B194" w14:textId="77777777" w:rsidR="00BF0719" w:rsidRPr="009144EB" w:rsidRDefault="00BF0719" w:rsidP="00B45A10">
      <w:pPr>
        <w:pStyle w:val="Paragraph"/>
        <w:ind w:left="360"/>
      </w:pPr>
      <w:r w:rsidRPr="00BF0719">
        <w:t>The rule maintains the original RCW requirement for producers to annually request temporary exclusions for any other type of product that may fall under conflicting state and federal packaging regulations. The RCW names 21 C.F.R., chapter I, subchapter G, 7 U.S.C. Sec. 136, 15 U.S.C. Sec. 1471-1477, 49 C.F.R. Sec. 178.33b, 49 C.F.R. Sec. 173, 40 C.F.R. Sec. 152.10, 15 U.S.C. Sec. 1261-1278, 49 U.S.C. 5101 et seq., 49 C.F.R. Sec. 178.509, 49 C.F.R. Sec. 179.522, 49 C.F.R. Sec. 178.600-609, and other federal laws as potential justifications for requesting exclusions from PCRC requirements.</w:t>
      </w:r>
      <w:r w:rsidRPr="009144EB">
        <w:t xml:space="preserve"> </w:t>
      </w:r>
    </w:p>
    <w:p w14:paraId="34063DAD" w14:textId="77777777" w:rsidR="00BF0719" w:rsidRPr="00195074" w:rsidRDefault="00BF0719" w:rsidP="00BF0719">
      <w:pPr>
        <w:pStyle w:val="ListParagraph"/>
        <w:numPr>
          <w:ilvl w:val="0"/>
          <w:numId w:val="19"/>
        </w:numPr>
        <w:spacing w:before="240"/>
        <w:ind w:left="360"/>
        <w:rPr>
          <w:rFonts w:cs="Times New Roman"/>
          <w:b/>
        </w:rPr>
      </w:pPr>
      <w:r w:rsidRPr="00086E3E">
        <w:rPr>
          <w:rFonts w:cs="Times New Roman"/>
          <w:b/>
        </w:rPr>
        <w:t>RCW 34.05.328 (1)(g) - Determine that</w:t>
      </w:r>
      <w:r>
        <w:rPr>
          <w:rFonts w:cs="Times New Roman"/>
          <w:b/>
        </w:rPr>
        <w:t xml:space="preserve"> the rule does not </w:t>
      </w:r>
      <w:r w:rsidRPr="00086E3E">
        <w:rPr>
          <w:rFonts w:cs="Times New Roman"/>
          <w:b/>
        </w:rPr>
        <w:t xml:space="preserve">impose more stringent performance requirements on private entities than on public entities unless required to do so by federal or state law. </w:t>
      </w:r>
    </w:p>
    <w:p w14:paraId="6E78F78D" w14:textId="02BE96CD" w:rsidR="00BF0719" w:rsidRPr="00086E3E" w:rsidRDefault="00BF0719" w:rsidP="00B45A10">
      <w:pPr>
        <w:pStyle w:val="Paragraph"/>
        <w:ind w:left="360"/>
      </w:pPr>
      <w:r>
        <w:t xml:space="preserve">No. The rule does not impose more stringent performance requirements on private entities since public entities do not brand and sell plastic packaging </w:t>
      </w:r>
      <w:r w:rsidR="00091BB5">
        <w:t xml:space="preserve">or trash bags </w:t>
      </w:r>
      <w:r>
        <w:t xml:space="preserve">as regulated under this chapter. </w:t>
      </w:r>
    </w:p>
    <w:p w14:paraId="31BDD708" w14:textId="77777777" w:rsidR="00BF0719" w:rsidRPr="00346687" w:rsidRDefault="00BF0719" w:rsidP="00BF0719">
      <w:pPr>
        <w:pStyle w:val="ListParagraph"/>
        <w:numPr>
          <w:ilvl w:val="0"/>
          <w:numId w:val="19"/>
        </w:numPr>
        <w:spacing w:before="240"/>
        <w:ind w:left="360"/>
        <w:rPr>
          <w:rFonts w:cs="Times New Roman"/>
          <w:b/>
        </w:rPr>
      </w:pPr>
      <w:r w:rsidRPr="00086E3E">
        <w:rPr>
          <w:rFonts w:cs="Times New Roman"/>
          <w:b/>
        </w:rPr>
        <w:t xml:space="preserve">RCW 34.05.328 (1)(h) </w:t>
      </w:r>
      <w:r w:rsidRPr="00346687">
        <w:rPr>
          <w:rFonts w:cs="Times New Roman"/>
          <w:b/>
        </w:rPr>
        <w:t xml:space="preserve">Determine if the rule differs from any federal regulation or statute applicable to the same activity or subject matter.  </w:t>
      </w:r>
    </w:p>
    <w:p w14:paraId="5AEF1CA8" w14:textId="5C5C087B" w:rsidR="00BF0719" w:rsidRPr="00BF0719" w:rsidRDefault="00BF0719" w:rsidP="00B45A10">
      <w:pPr>
        <w:pStyle w:val="Paragraph"/>
        <w:ind w:left="360"/>
        <w:rPr>
          <w:rFonts w:cs="Times New Roman"/>
        </w:rPr>
      </w:pPr>
      <w:r w:rsidRPr="00BF0719">
        <w:t xml:space="preserve">Relevant to some of the products regulated under the RCW and rule definition of “household cleaning products” </w:t>
      </w:r>
      <w:hyperlink r:id="rId37" w:history="1">
        <w:r w:rsidRPr="00BF0719">
          <w:rPr>
            <w:rStyle w:val="Hyperlink"/>
          </w:rPr>
          <w:t>7 U.S. Code § 136v</w:t>
        </w:r>
      </w:hyperlink>
      <w:r w:rsidRPr="00BF0719">
        <w:t xml:space="preserve"> </w:t>
      </w:r>
      <w:r w:rsidRPr="00BF0719">
        <w:rPr>
          <w:rFonts w:cs="Times New Roman"/>
        </w:rPr>
        <w:t>says, for</w:t>
      </w:r>
      <w:r w:rsidR="00582F29">
        <w:rPr>
          <w:rFonts w:cs="Times New Roman"/>
        </w:rPr>
        <w:t xml:space="preserve"> </w:t>
      </w:r>
      <w:r w:rsidR="00582F29" w:rsidRPr="00582F29">
        <w:rPr>
          <w:rFonts w:cs="Times New Roman"/>
        </w:rPr>
        <w:t>Federal Insecticide, Fungicide, and Rodenticide Act</w:t>
      </w:r>
      <w:r w:rsidRPr="00BF0719">
        <w:rPr>
          <w:rFonts w:cs="Times New Roman"/>
        </w:rPr>
        <w:t xml:space="preserve"> </w:t>
      </w:r>
      <w:r w:rsidR="00582F29">
        <w:rPr>
          <w:rFonts w:cs="Times New Roman"/>
        </w:rPr>
        <w:t>(</w:t>
      </w:r>
      <w:r w:rsidRPr="00BF0719">
        <w:rPr>
          <w:rFonts w:cs="Times New Roman"/>
        </w:rPr>
        <w:t>FIFRA</w:t>
      </w:r>
      <w:r w:rsidR="00582F29">
        <w:rPr>
          <w:rFonts w:cs="Times New Roman"/>
        </w:rPr>
        <w:t>)</w:t>
      </w:r>
      <w:r w:rsidRPr="00BF0719">
        <w:rPr>
          <w:rFonts w:cs="Times New Roman"/>
        </w:rPr>
        <w:t xml:space="preserve"> products, any state “shall not impose or continue in effect any requirements for labeling or packaging in addition to or different from those required” under federal law.  However, there are two general ways that state law can be preempted by federal law pursuant to the Supremacy Clause of the U.S. Constitution: express </w:t>
      </w:r>
      <w:r w:rsidRPr="00BF0719">
        <w:rPr>
          <w:rFonts w:cs="Times New Roman"/>
        </w:rPr>
        <w:lastRenderedPageBreak/>
        <w:t xml:space="preserve">preemption and implied </w:t>
      </w:r>
      <w:r w:rsidR="001B24CF" w:rsidRPr="00BF0719">
        <w:rPr>
          <w:rFonts w:cs="Times New Roman"/>
        </w:rPr>
        <w:t>preemption. “Express</w:t>
      </w:r>
      <w:r w:rsidRPr="00BF0719">
        <w:rPr>
          <w:rFonts w:cs="Times New Roman"/>
        </w:rPr>
        <w:t xml:space="preserve"> preemption” occurs when congress has clearly expressed its intent to preempt state law, the only question remaining for the courts is the extent of preemption. “Implied preemption” occurs when state law conflicts with a federal law, and therefore is displaced by operation of the Supremacy clause, even when the federal law does not have a specific, express preemption provision. One type of implied preemption occurs when compliance with both federal and state regulations is a physical impossibility or technical infeasibility. When a party asserts impossibility preemption, the issue is whether it is really impossible to comply with both. An express preemption provision does not foreclose the possibility of implied preemption. Our interpretation reflected in the rule language is that FIFRA expressly preempts Washington’s </w:t>
      </w:r>
      <w:r w:rsidR="00C15D67">
        <w:t xml:space="preserve">PCRC </w:t>
      </w:r>
      <w:r w:rsidRPr="00BF0719">
        <w:rPr>
          <w:rFonts w:cs="Times New Roman"/>
        </w:rPr>
        <w:t xml:space="preserve">law (pursuant to 7 USC Sec. 136v(b)) </w:t>
      </w:r>
      <w:r w:rsidRPr="00BF0719">
        <w:rPr>
          <w:rFonts w:cs="Times New Roman"/>
          <w:i/>
          <w:iCs/>
        </w:rPr>
        <w:t>only</w:t>
      </w:r>
      <w:r w:rsidRPr="00BF0719">
        <w:rPr>
          <w:rFonts w:cs="Times New Roman"/>
        </w:rPr>
        <w:t xml:space="preserve"> </w:t>
      </w:r>
      <w:r w:rsidR="00A21E91">
        <w:rPr>
          <w:rFonts w:cs="Times New Roman"/>
        </w:rPr>
        <w:t>regarding</w:t>
      </w:r>
      <w:r w:rsidRPr="00BF0719">
        <w:rPr>
          <w:rFonts w:cs="Times New Roman"/>
        </w:rPr>
        <w:t xml:space="preserve"> aerosol packaging, where 49 CFR Sec. 178.33b-6, states: “No used material other than production residues or regrind from the same manufacturing process may be used.” In this case, Washington’s </w:t>
      </w:r>
      <w:r w:rsidR="00C15D67">
        <w:t xml:space="preserve">PCRC </w:t>
      </w:r>
      <w:r w:rsidRPr="00BF0719">
        <w:rPr>
          <w:rFonts w:cs="Times New Roman"/>
        </w:rPr>
        <w:t xml:space="preserve">requirements are “different than” this specific FIFRA regulatory “requirement” adopted for plastic aerosol containers, and therefore are expressly preempted by 7 U.S.C. § 136v(b) as to such containers. </w:t>
      </w:r>
    </w:p>
    <w:p w14:paraId="222B2F33" w14:textId="77777777" w:rsidR="00BF0719" w:rsidRPr="00BF0719" w:rsidRDefault="00BF0719" w:rsidP="00B45A10">
      <w:pPr>
        <w:pStyle w:val="Paragraph"/>
        <w:ind w:left="360"/>
        <w:rPr>
          <w:rFonts w:cs="Times New Roman"/>
        </w:rPr>
      </w:pPr>
      <w:r w:rsidRPr="00BF0719">
        <w:rPr>
          <w:rFonts w:cs="Times New Roman"/>
        </w:rPr>
        <w:t>The original RCW anticipates that at least some FIFRA regulated products would be in this category, as they listed FIFRA as one of the federal laws in subsection (7)(b)(v) of RCW 70A.245.020 under which producers can annually request a temporary exclusion. However, these products are clearly intended to remain in the definition of “covered products” in that producers must continue to register and report for such products, even when they qualify for temporary exclusion from the required PCRC content minimum percentages based on a showing of technical infeasibility of meeting Washington’s and the federal regulatory requirements.</w:t>
      </w:r>
    </w:p>
    <w:p w14:paraId="6DBE8D05" w14:textId="77777777" w:rsidR="00BF0719" w:rsidRPr="003C4346" w:rsidRDefault="00BF0719" w:rsidP="00B45A10">
      <w:pPr>
        <w:pStyle w:val="Paragraph"/>
        <w:ind w:left="360"/>
        <w:rPr>
          <w:rFonts w:cs="Times New Roman"/>
        </w:rPr>
      </w:pPr>
      <w:r w:rsidRPr="00BF0719">
        <w:rPr>
          <w:rFonts w:cs="Times New Roman"/>
        </w:rPr>
        <w:t>This is the only area in which the question of whether the rule differs from any federal regulation applicable to the same activity was disputed.</w:t>
      </w:r>
    </w:p>
    <w:p w14:paraId="4234DC52" w14:textId="3F7704C7" w:rsidR="00BF0719" w:rsidRPr="00086E3E" w:rsidRDefault="00000000" w:rsidP="00E37845">
      <w:pPr>
        <w:pStyle w:val="Paragraph"/>
        <w:tabs>
          <w:tab w:val="left" w:pos="1080"/>
        </w:tabs>
        <w:ind w:left="1080"/>
      </w:pPr>
      <w:sdt>
        <w:sdtPr>
          <w:id w:val="585123422"/>
          <w14:checkbox>
            <w14:checked w14:val="0"/>
            <w14:checkedState w14:val="2612" w14:font="MS Gothic"/>
            <w14:uncheckedState w14:val="2610" w14:font="MS Gothic"/>
          </w14:checkbox>
        </w:sdtPr>
        <w:sdtContent>
          <w:r w:rsidR="00BF0719">
            <w:rPr>
              <w:rFonts w:ascii="MS Gothic" w:eastAsia="MS Gothic" w:hAnsi="MS Gothic" w:hint="eastAsia"/>
            </w:rPr>
            <w:t>☐</w:t>
          </w:r>
        </w:sdtContent>
      </w:sdt>
      <w:r w:rsidR="00BF0719">
        <w:t xml:space="preserve"> (i) A</w:t>
      </w:r>
      <w:r w:rsidR="00BF0719" w:rsidRPr="00086E3E">
        <w:t xml:space="preserve"> state statute explicitly allows Ecology to differ from federal standards. </w:t>
      </w:r>
    </w:p>
    <w:p w14:paraId="00F51806" w14:textId="29949B8A" w:rsidR="00BF0719" w:rsidRDefault="00000000" w:rsidP="00E37845">
      <w:pPr>
        <w:pStyle w:val="Paragraph"/>
        <w:tabs>
          <w:tab w:val="left" w:pos="1080"/>
        </w:tabs>
        <w:ind w:left="1080"/>
      </w:pPr>
      <w:sdt>
        <w:sdtPr>
          <w:rPr>
            <w:rFonts w:ascii="Segoe UI Symbol" w:hAnsi="Segoe UI Symbol" w:cs="Segoe UI Symbol"/>
          </w:rPr>
          <w:id w:val="-531119234"/>
          <w14:checkbox>
            <w14:checked w14:val="1"/>
            <w14:checkedState w14:val="2612" w14:font="MS Gothic"/>
            <w14:uncheckedState w14:val="2610" w14:font="MS Gothic"/>
          </w14:checkbox>
        </w:sdtPr>
        <w:sdtContent>
          <w:r w:rsidR="009051D6">
            <w:rPr>
              <w:rFonts w:ascii="MS Gothic" w:eastAsia="MS Gothic" w:hAnsi="MS Gothic" w:cs="Segoe UI Symbol" w:hint="eastAsia"/>
            </w:rPr>
            <w:t>☒</w:t>
          </w:r>
        </w:sdtContent>
      </w:sdt>
      <w:r w:rsidR="00BF0719">
        <w:rPr>
          <w:rFonts w:ascii="Segoe UI Symbol" w:hAnsi="Segoe UI Symbol" w:cs="Segoe UI Symbol"/>
        </w:rPr>
        <w:t xml:space="preserve"> (ii) </w:t>
      </w:r>
      <w:r w:rsidR="00BF0719" w:rsidRPr="00086E3E">
        <w:t xml:space="preserve">Substantial evidence that the difference is necessary to achieve the general goals and specific objectives stated in Chapter 6. </w:t>
      </w:r>
    </w:p>
    <w:p w14:paraId="0FB5030B" w14:textId="76BF5D73" w:rsidR="00BF0719" w:rsidRPr="00002885" w:rsidRDefault="00BF0719" w:rsidP="00BF0719">
      <w:pPr>
        <w:pStyle w:val="ListParagraph"/>
        <w:numPr>
          <w:ilvl w:val="0"/>
          <w:numId w:val="19"/>
        </w:numPr>
        <w:spacing w:before="240"/>
        <w:ind w:left="360"/>
        <w:rPr>
          <w:rFonts w:cs="Times New Roman"/>
          <w:b/>
        </w:rPr>
      </w:pPr>
      <w:r w:rsidRPr="003F5C2F">
        <w:rPr>
          <w:rFonts w:cs="Times New Roman"/>
          <w:b/>
        </w:rPr>
        <w:t>RCW 34.05.328 (1)(</w:t>
      </w:r>
      <w:r>
        <w:rPr>
          <w:rFonts w:cs="Times New Roman"/>
          <w:b/>
        </w:rPr>
        <w:t>i</w:t>
      </w:r>
      <w:r w:rsidRPr="003F5C2F">
        <w:rPr>
          <w:rFonts w:cs="Times New Roman"/>
          <w:b/>
        </w:rPr>
        <w:t xml:space="preserve">) </w:t>
      </w:r>
      <w:r>
        <w:rPr>
          <w:rFonts w:cs="Times New Roman"/>
          <w:b/>
        </w:rPr>
        <w:t>–</w:t>
      </w:r>
      <w:r w:rsidRPr="003F5C2F">
        <w:rPr>
          <w:rFonts w:cs="Times New Roman"/>
          <w:b/>
        </w:rPr>
        <w:t xml:space="preserve"> </w:t>
      </w:r>
      <w:r>
        <w:rPr>
          <w:rFonts w:cs="Times New Roman"/>
          <w:b/>
        </w:rPr>
        <w:t xml:space="preserve">Coordinate the rule, </w:t>
      </w:r>
      <w:r w:rsidRPr="003F5C2F">
        <w:rPr>
          <w:rFonts w:cs="Times New Roman"/>
          <w:b/>
        </w:rPr>
        <w:t xml:space="preserve">to the maximum extent </w:t>
      </w:r>
      <w:r w:rsidR="001B24CF" w:rsidRPr="003F5C2F">
        <w:rPr>
          <w:rFonts w:cs="Times New Roman"/>
          <w:b/>
        </w:rPr>
        <w:t>practicable, with</w:t>
      </w:r>
      <w:r w:rsidRPr="003F5C2F">
        <w:rPr>
          <w:rFonts w:cs="Times New Roman"/>
          <w:b/>
        </w:rPr>
        <w:t xml:space="preserve"> other federal, state, and local laws applicable to the same subject matter.</w:t>
      </w:r>
    </w:p>
    <w:p w14:paraId="6D871F5B" w14:textId="4090EDD6" w:rsidR="00F77E56" w:rsidRDefault="00F77E56" w:rsidP="00E37845">
      <w:pPr>
        <w:pStyle w:val="Paragraph"/>
        <w:ind w:left="360"/>
      </w:pPr>
      <w:r>
        <w:t>As discussed above, the law and rule coordinate with federal laws that apply to plastic packaging. There are no other state or local laws applicable to the plastic packaging products required to comply with this law and rule.</w:t>
      </w:r>
    </w:p>
    <w:p w14:paraId="2E4273EC" w14:textId="62980B7D" w:rsidR="00BF0719" w:rsidRPr="00086E3E" w:rsidRDefault="002446E2" w:rsidP="00E37845">
      <w:pPr>
        <w:pStyle w:val="Paragraph"/>
        <w:ind w:left="360"/>
      </w:pPr>
      <w:r>
        <w:t xml:space="preserve">Ecology used </w:t>
      </w:r>
      <w:r w:rsidR="00BF0719">
        <w:t xml:space="preserve">some of the same research and rationale </w:t>
      </w:r>
      <w:r>
        <w:t xml:space="preserve">used </w:t>
      </w:r>
      <w:r w:rsidR="00BF0719">
        <w:t>in rulemaking for the Children’s Safe Product</w:t>
      </w:r>
      <w:r w:rsidR="00F77E56">
        <w:t>s</w:t>
      </w:r>
      <w:r w:rsidR="00BF0719">
        <w:t xml:space="preserve"> Act, which similarly sets registration and reporting requirements for producers of certain types of products. </w:t>
      </w:r>
    </w:p>
    <w:sectPr w:rsidR="00BF0719" w:rsidRPr="00086E3E" w:rsidSect="00962E1E">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7846" w14:textId="77777777" w:rsidR="00331376" w:rsidRDefault="00331376" w:rsidP="00402D9A">
      <w:r>
        <w:separator/>
      </w:r>
    </w:p>
  </w:endnote>
  <w:endnote w:type="continuationSeparator" w:id="0">
    <w:p w14:paraId="6F24D881" w14:textId="77777777" w:rsidR="00331376" w:rsidRDefault="00331376" w:rsidP="00402D9A">
      <w:r>
        <w:continuationSeparator/>
      </w:r>
    </w:p>
  </w:endnote>
  <w:endnote w:type="continuationNotice" w:id="1">
    <w:p w14:paraId="5DCFA52A" w14:textId="77777777" w:rsidR="00331376" w:rsidRDefault="003313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5164" w14:textId="77777777" w:rsidR="00087615" w:rsidRDefault="00087615" w:rsidP="00A54F8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863618"/>
      <w:docPartObj>
        <w:docPartGallery w:val="Page Numbers (Bottom of Page)"/>
        <w:docPartUnique/>
      </w:docPartObj>
    </w:sdtPr>
    <w:sdtEndPr>
      <w:rPr>
        <w:noProof/>
      </w:rPr>
    </w:sdtEndPr>
    <w:sdtContent>
      <w:p w14:paraId="44B1A3A9" w14:textId="77777777" w:rsidR="00087615" w:rsidRDefault="00000000">
        <w:pPr>
          <w:pStyle w:val="Footer"/>
          <w:jc w:val="center"/>
        </w:pPr>
      </w:p>
    </w:sdtContent>
  </w:sdt>
  <w:p w14:paraId="6DE06B80" w14:textId="77777777" w:rsidR="00087615" w:rsidRDefault="00087615" w:rsidP="009C4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AB75" w14:textId="77777777" w:rsidR="00CC7C68" w:rsidRPr="00CC7C68" w:rsidRDefault="00CC7C68" w:rsidP="00CC7C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4C5E" w14:textId="41277C71" w:rsidR="00CC7C68" w:rsidRPr="003F5F43" w:rsidRDefault="00CC7C68" w:rsidP="00CC7C68">
    <w:pPr>
      <w:pStyle w:val="Footer"/>
      <w:pBdr>
        <w:top w:val="single" w:sz="12" w:space="3" w:color="auto"/>
      </w:pBdr>
      <w:rPr>
        <w:rFonts w:cstheme="minorHAnsi"/>
        <w:szCs w:val="24"/>
      </w:rPr>
    </w:pPr>
    <w:r w:rsidRPr="003F5F43">
      <w:rPr>
        <w:rFonts w:cstheme="minorHAnsi"/>
        <w:szCs w:val="24"/>
      </w:rPr>
      <w:t xml:space="preserve">Publication </w:t>
    </w:r>
    <w:r w:rsidR="003264C9">
      <w:rPr>
        <w:rFonts w:cstheme="minorHAnsi"/>
        <w:szCs w:val="24"/>
      </w:rPr>
      <w:t>23-07-031</w:t>
    </w:r>
    <w:r w:rsidRPr="003F5F43">
      <w:rPr>
        <w:rFonts w:cstheme="minorHAnsi"/>
        <w:szCs w:val="24"/>
      </w:rPr>
      <w:t xml:space="preserve"> </w:t>
    </w:r>
    <w:r w:rsidRPr="003F5F43">
      <w:rPr>
        <w:rFonts w:cstheme="minorHAnsi"/>
        <w:szCs w:val="24"/>
      </w:rPr>
      <w:tab/>
      <w:t>Preliminary Regulatory Analys</w:t>
    </w:r>
    <w:r w:rsidR="00134A98" w:rsidRPr="003F5F43">
      <w:rPr>
        <w:rFonts w:cstheme="minorHAnsi"/>
        <w:szCs w:val="24"/>
      </w:rPr>
      <w:t>e</w:t>
    </w:r>
    <w:r w:rsidRPr="003F5F43">
      <w:rPr>
        <w:rFonts w:cstheme="minorHAnsi"/>
        <w:szCs w:val="24"/>
      </w:rPr>
      <w:t>s</w:t>
    </w:r>
    <w:r w:rsidRPr="003F5F43">
      <w:rPr>
        <w:rFonts w:cstheme="minorHAnsi"/>
        <w:szCs w:val="24"/>
      </w:rPr>
      <w:br/>
      <w:t xml:space="preserve">Page </w:t>
    </w:r>
    <w:r w:rsidRPr="003F5F43">
      <w:rPr>
        <w:rFonts w:cstheme="minorHAnsi"/>
        <w:szCs w:val="24"/>
      </w:rPr>
      <w:fldChar w:fldCharType="begin"/>
    </w:r>
    <w:r w:rsidRPr="003F5F43">
      <w:rPr>
        <w:rFonts w:cstheme="minorHAnsi"/>
        <w:szCs w:val="24"/>
      </w:rPr>
      <w:instrText xml:space="preserve"> PAGE   \* MERGEFORMAT </w:instrText>
    </w:r>
    <w:r w:rsidRPr="003F5F43">
      <w:rPr>
        <w:rFonts w:cstheme="minorHAnsi"/>
        <w:szCs w:val="24"/>
      </w:rPr>
      <w:fldChar w:fldCharType="separate"/>
    </w:r>
    <w:r w:rsidR="004F3482">
      <w:rPr>
        <w:rFonts w:cstheme="minorHAnsi"/>
        <w:noProof/>
        <w:szCs w:val="24"/>
      </w:rPr>
      <w:t>22</w:t>
    </w:r>
    <w:r w:rsidRPr="003F5F43">
      <w:rPr>
        <w:rFonts w:cstheme="minorHAnsi"/>
        <w:noProof/>
        <w:szCs w:val="24"/>
      </w:rPr>
      <w:fldChar w:fldCharType="end"/>
    </w:r>
    <w:r w:rsidRPr="003F5F43">
      <w:rPr>
        <w:rFonts w:cstheme="minorHAnsi"/>
        <w:szCs w:val="24"/>
      </w:rPr>
      <w:tab/>
    </w:r>
    <w:r w:rsidR="003264C9">
      <w:rPr>
        <w:rFonts w:cstheme="minorHAnsi"/>
        <w:szCs w:val="24"/>
      </w:rPr>
      <w:t>May</w:t>
    </w:r>
    <w:r w:rsidR="000268D6">
      <w:rPr>
        <w:rFonts w:cstheme="minorHAnsi"/>
        <w:szCs w:val="24"/>
      </w:rPr>
      <w:t xml:space="preserv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6EF4" w14:textId="77777777" w:rsidR="00087615" w:rsidRPr="009C4B1B" w:rsidRDefault="00087615" w:rsidP="009C4B1B">
    <w:pPr>
      <w:pStyle w:val="Footer"/>
      <w:rPr>
        <w:sz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rsidRPr="009C4B1B">
      <w:br/>
      <w:t xml:space="preserve">Page </w:t>
    </w:r>
    <w:r>
      <w:fldChar w:fldCharType="begin"/>
    </w:r>
    <w:r>
      <w:instrText xml:space="preserve"> PAGE   \* MERGEFORMAT </w:instrText>
    </w:r>
    <w:r>
      <w:fldChar w:fldCharType="separate"/>
    </w:r>
    <w:r>
      <w:rPr>
        <w:noProof/>
      </w:rPr>
      <w:t>1</w:t>
    </w:r>
    <w:r>
      <w:rPr>
        <w:noProof/>
      </w:rPr>
      <w:fldChar w:fldCharType="end"/>
    </w:r>
    <w:r w:rsidRPr="009C4B1B">
      <w:tab/>
    </w:r>
    <w:r w:rsidRPr="009C4B1B">
      <w:rPr>
        <w:highlight w:val="yellow"/>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9F66" w14:textId="77777777" w:rsidR="00331376" w:rsidRDefault="00331376" w:rsidP="00402D9A">
      <w:r>
        <w:separator/>
      </w:r>
    </w:p>
  </w:footnote>
  <w:footnote w:type="continuationSeparator" w:id="0">
    <w:p w14:paraId="3361D470" w14:textId="77777777" w:rsidR="00331376" w:rsidRDefault="00331376" w:rsidP="00402D9A">
      <w:r>
        <w:continuationSeparator/>
      </w:r>
    </w:p>
  </w:footnote>
  <w:footnote w:type="continuationNotice" w:id="1">
    <w:p w14:paraId="179AC259" w14:textId="77777777" w:rsidR="00331376" w:rsidRDefault="00331376">
      <w:pPr>
        <w:spacing w:after="0"/>
      </w:pPr>
    </w:p>
  </w:footnote>
  <w:footnote w:id="2">
    <w:p w14:paraId="44B7C547" w14:textId="03C44127" w:rsidR="00003AA0" w:rsidRDefault="00003AA0">
      <w:pPr>
        <w:pStyle w:val="FootnoteText"/>
      </w:pPr>
      <w:r>
        <w:rPr>
          <w:rStyle w:val="FootnoteReference"/>
        </w:rPr>
        <w:footnoteRef/>
      </w:r>
      <w:r>
        <w:t xml:space="preserve"> </w:t>
      </w:r>
      <w:r w:rsidRPr="00D65961">
        <w:t>www.ecology.wa.gov/contact</w:t>
      </w:r>
    </w:p>
  </w:footnote>
  <w:footnote w:id="3">
    <w:p w14:paraId="0F37A719" w14:textId="0E012435" w:rsidR="00EE71C2" w:rsidRDefault="00EE71C2" w:rsidP="00EE71C2">
      <w:pPr>
        <w:pStyle w:val="FootnoteText"/>
      </w:pPr>
      <w:r>
        <w:rPr>
          <w:rStyle w:val="FootnoteReference"/>
        </w:rPr>
        <w:footnoteRef/>
      </w:r>
      <w:r>
        <w:t xml:space="preserve"> Recycling Today, Retrieved from: </w:t>
      </w:r>
      <w:r w:rsidR="004819CE" w:rsidRPr="00A83732">
        <w:t>https://www.recyclingtoday.com/news/recycled-plastic-supply-demand-mismatched/.</w:t>
      </w:r>
    </w:p>
  </w:footnote>
  <w:footnote w:id="4">
    <w:p w14:paraId="7D7F8BCF" w14:textId="2121EB51" w:rsidR="005A034E" w:rsidRDefault="005A034E">
      <w:pPr>
        <w:pStyle w:val="FootnoteText"/>
      </w:pPr>
      <w:r>
        <w:rPr>
          <w:rStyle w:val="FootnoteReference"/>
        </w:rPr>
        <w:footnoteRef/>
      </w:r>
      <w:r>
        <w:t xml:space="preserve"> </w:t>
      </w:r>
      <w:hyperlink r:id="rId1" w:history="1">
        <w:r>
          <w:rPr>
            <w:rStyle w:val="cf01"/>
            <w:color w:val="0000FF"/>
            <w:u w:val="single"/>
          </w:rPr>
          <w:t>The Recycling Partnership and Columbia University, 2022</w:t>
        </w:r>
      </w:hyperlink>
    </w:p>
  </w:footnote>
  <w:footnote w:id="5">
    <w:p w14:paraId="38D4E3EA" w14:textId="74C2225B" w:rsidR="00F72393" w:rsidRDefault="00F72393" w:rsidP="00F72393">
      <w:pPr>
        <w:pStyle w:val="FootnoteText"/>
      </w:pPr>
      <w:r w:rsidRPr="00C9162F">
        <w:rPr>
          <w:rStyle w:val="FootnoteReference"/>
        </w:rPr>
        <w:footnoteRef/>
      </w:r>
      <w:r w:rsidRPr="00C9162F">
        <w:t xml:space="preserve"> </w:t>
      </w:r>
      <w:r w:rsidR="00C9162F" w:rsidRPr="00C9162F">
        <w:t>Dun &amp; Bradstreet, 2023. Market Insight database.</w:t>
      </w:r>
    </w:p>
  </w:footnote>
  <w:footnote w:id="6">
    <w:p w14:paraId="12E81A17" w14:textId="7EEA5547" w:rsidR="006B4B90" w:rsidRDefault="006B4B90">
      <w:pPr>
        <w:pStyle w:val="FootnoteText"/>
      </w:pPr>
      <w:r>
        <w:rPr>
          <w:rStyle w:val="FootnoteReference"/>
        </w:rPr>
        <w:footnoteRef/>
      </w:r>
      <w:r>
        <w:t xml:space="preserve"> Filtering by this variable incidentally eliminated companies outside of the United States.</w:t>
      </w:r>
    </w:p>
  </w:footnote>
  <w:footnote w:id="7">
    <w:p w14:paraId="04A1A5CB" w14:textId="2B0A65A8" w:rsidR="00150AE6" w:rsidRDefault="00150AE6">
      <w:pPr>
        <w:pStyle w:val="FootnoteText"/>
      </w:pPr>
      <w:r>
        <w:rPr>
          <w:rStyle w:val="FootnoteReference"/>
        </w:rPr>
        <w:footnoteRef/>
      </w:r>
      <w:r>
        <w:t xml:space="preserve"> </w:t>
      </w:r>
      <w:r w:rsidR="00F25603" w:rsidRPr="00F25603">
        <w:t xml:space="preserve">US Bureau of Labor Statistics, 2021. May 2021 State Occupational Employment and Wage Estimates, Washington. </w:t>
      </w:r>
      <w:hyperlink r:id="rId2" w:history="1">
        <w:r w:rsidR="00F25603" w:rsidRPr="00CA635F">
          <w:rPr>
            <w:rStyle w:val="Hyperlink"/>
          </w:rPr>
          <w:t>https://www.bls.gov/oes/current/oes_wa.htm</w:t>
        </w:r>
      </w:hyperlink>
      <w:r w:rsidR="00F25603">
        <w:t xml:space="preserve">. </w:t>
      </w:r>
      <w:r>
        <w:t>Average median hourly wage for manager</w:t>
      </w:r>
      <w:r w:rsidR="00F25603">
        <w:t>.</w:t>
      </w:r>
    </w:p>
  </w:footnote>
  <w:footnote w:id="8">
    <w:p w14:paraId="7D87B929" w14:textId="797E9654" w:rsidR="00B94683" w:rsidRDefault="00B94683" w:rsidP="00B94683">
      <w:pPr>
        <w:pStyle w:val="FootnoteText"/>
      </w:pPr>
      <w:r>
        <w:rPr>
          <w:rStyle w:val="FootnoteReference"/>
        </w:rPr>
        <w:footnoteRef/>
      </w:r>
      <w:r>
        <w:t xml:space="preserve"> </w:t>
      </w:r>
      <w:r w:rsidR="00EA2055">
        <w:t>Ibid.</w:t>
      </w:r>
    </w:p>
  </w:footnote>
  <w:footnote w:id="9">
    <w:p w14:paraId="681FFDF3" w14:textId="06B80ADE" w:rsidR="006C5334" w:rsidRDefault="006C5334">
      <w:pPr>
        <w:pStyle w:val="FootnoteText"/>
      </w:pPr>
      <w:r>
        <w:rPr>
          <w:rStyle w:val="FootnoteReference"/>
        </w:rPr>
        <w:footnoteRef/>
      </w:r>
      <w:r>
        <w:t xml:space="preserve"> The current long-run average real discount rate – also called the social rate of time preference – is 0.89 percent, based on historic inflation rates and rates of return on US Treasury I Bonds. </w:t>
      </w:r>
      <w:r w:rsidR="00F25603" w:rsidRPr="00F25603">
        <w:t xml:space="preserve">US Treasury Department, 2022. I bond interest rates. Historic average September 1998 through November 2022. </w:t>
      </w:r>
      <w:hyperlink r:id="rId3" w:anchor=":~:text=The%20composite%20rate%20for%20I,through%20April%202023%20is%206.89%25" w:history="1">
        <w:r w:rsidR="00F25603" w:rsidRPr="00CA635F">
          <w:rPr>
            <w:rStyle w:val="Hyperlink"/>
          </w:rPr>
          <w:t>https://treasurydirect.gov/savings-bonds/i-bonds/i-bonds-interest-rates/#:~:text=The%20composite%20rate%20for%20I,through%20April%202023%20is%206.89%25</w:t>
        </w:r>
      </w:hyperlink>
      <w:r w:rsidR="00F25603">
        <w:t xml:space="preserve"> </w:t>
      </w:r>
    </w:p>
  </w:footnote>
  <w:footnote w:id="10">
    <w:p w14:paraId="0C2C96CF" w14:textId="55E2D040" w:rsidR="00D54A99" w:rsidRDefault="00D54A99">
      <w:pPr>
        <w:pStyle w:val="FootnoteText"/>
      </w:pPr>
      <w:r w:rsidRPr="004875F3">
        <w:rPr>
          <w:rStyle w:val="FootnoteReference"/>
        </w:rPr>
        <w:footnoteRef/>
      </w:r>
      <w:r w:rsidRPr="004875F3">
        <w:t xml:space="preserve"> </w:t>
      </w:r>
      <w:r w:rsidR="005756D4" w:rsidRPr="005756D4">
        <w:t>Washington State Department of Ecology</w:t>
      </w:r>
      <w:r w:rsidR="00F25603">
        <w:t>, 2023</w:t>
      </w:r>
      <w:r w:rsidR="005756D4" w:rsidRPr="005756D4">
        <w:t>. “Plastics post-consumer recycled content Workload Analysis for fiscal year 2024.”</w:t>
      </w:r>
      <w:r w:rsidR="004875F3">
        <w:t xml:space="preserve"> h</w:t>
      </w:r>
      <w:r w:rsidR="004875F3" w:rsidRPr="005756D4">
        <w:t>ttps://</w:t>
      </w:r>
      <w:r w:rsidR="005756D4" w:rsidRPr="005756D4">
        <w:t>www.ecology.wa.gov, January 2023,</w:t>
      </w:r>
      <w:r w:rsidR="005756D4">
        <w:t xml:space="preserve"> h</w:t>
      </w:r>
      <w:r w:rsidR="005756D4" w:rsidRPr="005756D4">
        <w:t>ttps://apps.ecology.wa.gov/publications/SummaryPages/2307001.html. Accessed 2023</w:t>
      </w:r>
    </w:p>
  </w:footnote>
  <w:footnote w:id="11">
    <w:p w14:paraId="1B3242E5" w14:textId="3A2FB8D1" w:rsidR="00FB7885" w:rsidRDefault="00FB7885">
      <w:pPr>
        <w:pStyle w:val="FootnoteText"/>
      </w:pPr>
      <w:r>
        <w:rPr>
          <w:rStyle w:val="FootnoteReference"/>
        </w:rPr>
        <w:footnoteRef/>
      </w:r>
      <w:r>
        <w:t xml:space="preserve"> </w:t>
      </w:r>
      <w:r w:rsidR="004875F3">
        <w:t>Ibid.</w:t>
      </w:r>
    </w:p>
  </w:footnote>
  <w:footnote w:id="12">
    <w:p w14:paraId="6DEB11F7" w14:textId="3A109BC1" w:rsidR="00E13EFD" w:rsidRDefault="00E13EFD">
      <w:pPr>
        <w:pStyle w:val="FootnoteText"/>
      </w:pPr>
      <w:r>
        <w:rPr>
          <w:rStyle w:val="FootnoteReference"/>
        </w:rPr>
        <w:footnoteRef/>
      </w:r>
      <w:r>
        <w:t xml:space="preserve"> </w:t>
      </w:r>
      <w:r w:rsidRPr="00E13EFD">
        <w:t xml:space="preserve">Washington State Office of Financial Management, 2021. Multi-Agency Fiscal Note Summary.  5022 E2SSB AMH ENGR H1491.E, 2021 Legislative Session.  Pages 23-38.  Retrieved from </w:t>
      </w:r>
      <w:hyperlink r:id="rId4" w:history="1">
        <w:r w:rsidRPr="006E001E">
          <w:rPr>
            <w:rStyle w:val="Hyperlink"/>
          </w:rPr>
          <w:t>https://fnspublic.ofm.wa.gov/FNSPublicSearch/Search/bill/5022/67</w:t>
        </w:r>
      </w:hyperlink>
      <w:r>
        <w:t xml:space="preserve"> </w:t>
      </w:r>
    </w:p>
  </w:footnote>
  <w:footnote w:id="13">
    <w:p w14:paraId="6CB2C608" w14:textId="77777777" w:rsidR="00911CD2" w:rsidRDefault="00911CD2" w:rsidP="00911CD2">
      <w:pPr>
        <w:pStyle w:val="FootnoteText"/>
      </w:pPr>
      <w:r w:rsidRPr="00953390">
        <w:rPr>
          <w:rStyle w:val="FootnoteReference"/>
        </w:rPr>
        <w:footnoteRef/>
      </w:r>
      <w:r w:rsidRPr="00953390">
        <w:t xml:space="preserve"> US Treasury Department, 2022. I bond interest rates. Historic average September 1998 through November 2022. </w:t>
      </w:r>
      <w:hyperlink r:id="rId5" w:anchor=":~:text=The%20composite%20rate%20for%20I,through%20April%202023%20is%206.89%25" w:history="1">
        <w:r w:rsidRPr="00CA635F">
          <w:rPr>
            <w:rStyle w:val="Hyperlink"/>
          </w:rPr>
          <w:t>https://treasurydirect.gov/savings-bonds/i-bonds/i-bonds-interest-rates/#:~:text=The%20composite%20rate%20for%20I,through%20April%202023%20is%206.89%25</w:t>
        </w:r>
      </w:hyperlink>
      <w:r>
        <w:t xml:space="preserve"> </w:t>
      </w:r>
    </w:p>
  </w:footnote>
  <w:footnote w:id="14">
    <w:p w14:paraId="47A58A49" w14:textId="3CD75F29" w:rsidR="00402D2F" w:rsidRDefault="00402D2F">
      <w:pPr>
        <w:pStyle w:val="FootnoteText"/>
      </w:pPr>
      <w:r>
        <w:rPr>
          <w:rStyle w:val="FootnoteReference"/>
        </w:rPr>
        <w:footnoteRef/>
      </w:r>
      <w:r>
        <w:t xml:space="preserve"> </w:t>
      </w:r>
      <w:r w:rsidRPr="00402D2F">
        <w:t xml:space="preserve">Washington State Department of Ecology, 2023. “Plastics post-consumer recycled content Workload Analysis for fiscal year 2024.” https://www.ecology.wa.gov, January 2023, </w:t>
      </w:r>
      <w:hyperlink r:id="rId6" w:history="1">
        <w:r w:rsidRPr="006E001E">
          <w:rPr>
            <w:rStyle w:val="Hyperlink"/>
          </w:rPr>
          <w:t>https://apps.ecology.wa.gov/publications/SummaryPages/2307001.html</w:t>
        </w:r>
      </w:hyperlink>
      <w:r w:rsidRPr="00402D2F">
        <w:t>. Accessed 2023.</w:t>
      </w:r>
    </w:p>
  </w:footnote>
  <w:footnote w:id="15">
    <w:p w14:paraId="5AB850F5" w14:textId="6D2C6E64" w:rsidR="002405AF" w:rsidRDefault="007C34D2">
      <w:pPr>
        <w:pStyle w:val="FootnoteText"/>
      </w:pPr>
      <w:r>
        <w:rPr>
          <w:rStyle w:val="FootnoteReference"/>
        </w:rPr>
        <w:footnoteRef/>
      </w:r>
      <w:r>
        <w:t xml:space="preserve"> CA Government </w:t>
      </w:r>
      <w:r w:rsidRPr="007C34D2">
        <w:t>Department of Resources Recycling and Recovery, Division of Recycling</w:t>
      </w:r>
      <w:r w:rsidR="00953390">
        <w:t>, 2023</w:t>
      </w:r>
      <w:r>
        <w:t xml:space="preserve">. </w:t>
      </w:r>
      <w:r w:rsidRPr="007C34D2">
        <w:t>AB 793 Plastic Content Reporting and Compliance Permanent Regulations</w:t>
      </w:r>
      <w:r>
        <w:t xml:space="preserve">, </w:t>
      </w:r>
      <w:r w:rsidRPr="007C34D2">
        <w:t>Economic Impact Statement Supplemental Information</w:t>
      </w:r>
      <w:r>
        <w:t xml:space="preserve">. Retrieved from </w:t>
      </w:r>
      <w:hyperlink r:id="rId7" w:history="1">
        <w:r w:rsidR="002405AF" w:rsidRPr="00523FB3">
          <w:rPr>
            <w:rStyle w:val="Hyperlink"/>
          </w:rPr>
          <w:t>https://calrecycle.ca.gov/laws/rulemaking/plasticcontent/</w:t>
        </w:r>
      </w:hyperlink>
    </w:p>
  </w:footnote>
  <w:footnote w:id="16">
    <w:p w14:paraId="73A0AFB0" w14:textId="3E92E2AD" w:rsidR="002405AF" w:rsidRDefault="00283222">
      <w:pPr>
        <w:pStyle w:val="FootnoteText"/>
      </w:pPr>
      <w:r>
        <w:rPr>
          <w:rStyle w:val="FootnoteReference"/>
        </w:rPr>
        <w:footnoteRef/>
      </w:r>
      <w:r>
        <w:t xml:space="preserve"> </w:t>
      </w:r>
      <w:r w:rsidR="003343D9" w:rsidRPr="003343D9">
        <w:t xml:space="preserve">US Bureau of Labor Statistics, 2021. May 2021 State Occupational Employment and Wage Estimates, Washington. </w:t>
      </w:r>
      <w:hyperlink r:id="rId8" w:history="1">
        <w:r w:rsidR="003343D9" w:rsidRPr="00CA635F">
          <w:rPr>
            <w:rStyle w:val="Hyperlink"/>
          </w:rPr>
          <w:t>https://www.bls.gov/oes/current/oes_wa.htm</w:t>
        </w:r>
      </w:hyperlink>
      <w:r w:rsidR="003343D9">
        <w:t xml:space="preserve"> </w:t>
      </w:r>
      <w:r>
        <w:t>Average median hourly wage for manage</w:t>
      </w:r>
      <w:r w:rsidR="00B0141E">
        <w:t>ment occupation</w:t>
      </w:r>
      <w:r w:rsidR="003343D9">
        <w:t xml:space="preserve">. </w:t>
      </w:r>
    </w:p>
  </w:footnote>
  <w:footnote w:id="17">
    <w:p w14:paraId="720573D8" w14:textId="26EFC374" w:rsidR="00D60950" w:rsidRDefault="00D60950">
      <w:pPr>
        <w:pStyle w:val="FootnoteText"/>
      </w:pPr>
      <w:r>
        <w:rPr>
          <w:rStyle w:val="FootnoteReference"/>
        </w:rPr>
        <w:footnoteRef/>
      </w:r>
      <w:r>
        <w:t xml:space="preserve"> </w:t>
      </w:r>
      <w:r w:rsidR="006C2D24">
        <w:t>State of California</w:t>
      </w:r>
      <w:r>
        <w:t xml:space="preserve"> </w:t>
      </w:r>
      <w:r w:rsidRPr="007C34D2">
        <w:t>Department of Resources Recycling and Recovery, Division of Recycling</w:t>
      </w:r>
      <w:r w:rsidR="003343D9">
        <w:t>, 2023</w:t>
      </w:r>
      <w:r>
        <w:t xml:space="preserve">. </w:t>
      </w:r>
      <w:r w:rsidRPr="007C34D2">
        <w:t>AB 793 Plastic Content Reporting and Compliance Permanent Regulations</w:t>
      </w:r>
      <w:r>
        <w:t xml:space="preserve">, </w:t>
      </w:r>
      <w:r w:rsidRPr="007C34D2">
        <w:t>Economic Impact Statement Supplemental Information</w:t>
      </w:r>
      <w:r>
        <w:t xml:space="preserve">. Retrieved from </w:t>
      </w:r>
      <w:hyperlink r:id="rId9" w:history="1">
        <w:r w:rsidRPr="00523FB3">
          <w:rPr>
            <w:rStyle w:val="Hyperlink"/>
          </w:rPr>
          <w:t>https://calrecycle.ca.gov/laws/rulemaking/plasticcontent/</w:t>
        </w:r>
      </w:hyperlink>
    </w:p>
  </w:footnote>
  <w:footnote w:id="18">
    <w:p w14:paraId="2ED2F0C8" w14:textId="06604618" w:rsidR="00CB4D8C" w:rsidRDefault="00CB4D8C" w:rsidP="00CB4D8C">
      <w:pPr>
        <w:pStyle w:val="FootnoteText"/>
      </w:pPr>
      <w:r>
        <w:rPr>
          <w:rStyle w:val="FootnoteReference"/>
        </w:rPr>
        <w:footnoteRef/>
      </w:r>
      <w:r>
        <w:t xml:space="preserve"> </w:t>
      </w:r>
      <w:bookmarkStart w:id="53" w:name="_Hlk127185155"/>
      <w:r w:rsidR="009478A7">
        <w:t>State of California</w:t>
      </w:r>
      <w:r>
        <w:t xml:space="preserve"> </w:t>
      </w:r>
      <w:r w:rsidRPr="007C34D2">
        <w:t>Department of Resources Recycling and Recovery, Division of Recyclin</w:t>
      </w:r>
      <w:bookmarkEnd w:id="53"/>
      <w:r w:rsidRPr="007C34D2">
        <w:t>g</w:t>
      </w:r>
      <w:r>
        <w:t xml:space="preserve">. </w:t>
      </w:r>
      <w:r w:rsidRPr="007C34D2">
        <w:t>AB 793 Plastic Content Reporting and Compliance Permanent Regulations</w:t>
      </w:r>
      <w:r>
        <w:t xml:space="preserve">, </w:t>
      </w:r>
      <w:r w:rsidRPr="007C34D2">
        <w:t>Economic Impact Statement Supplemental Information</w:t>
      </w:r>
      <w:r>
        <w:t xml:space="preserve">. Retrieved from </w:t>
      </w:r>
      <w:hyperlink r:id="rId10" w:history="1">
        <w:r w:rsidRPr="00523FB3">
          <w:rPr>
            <w:rStyle w:val="Hyperlink"/>
          </w:rPr>
          <w:t>https://calrecycle.ca.gov/laws/rulemaking/plasticcontent/</w:t>
        </w:r>
      </w:hyperlink>
    </w:p>
  </w:footnote>
  <w:footnote w:id="19">
    <w:p w14:paraId="5FF11E9D" w14:textId="35FC7518" w:rsidR="00CB4D8C" w:rsidRDefault="00CB4D8C" w:rsidP="00CB4D8C">
      <w:pPr>
        <w:pStyle w:val="FootnoteText"/>
      </w:pPr>
      <w:r>
        <w:rPr>
          <w:rStyle w:val="FootnoteReference"/>
        </w:rPr>
        <w:footnoteRef/>
      </w:r>
      <w:r>
        <w:t xml:space="preserve"> Average median hourly wage for manager, retrieved from </w:t>
      </w:r>
      <w:hyperlink r:id="rId11" w:history="1">
        <w:r w:rsidRPr="00523FB3">
          <w:rPr>
            <w:rStyle w:val="Hyperlink"/>
          </w:rPr>
          <w:t>https://www.bls.gov/oes/current/oes_wa.htm</w:t>
        </w:r>
      </w:hyperlink>
    </w:p>
  </w:footnote>
  <w:footnote w:id="20">
    <w:p w14:paraId="6C442557" w14:textId="52F82285" w:rsidR="00CA3FDB" w:rsidRDefault="00CA3FDB">
      <w:pPr>
        <w:pStyle w:val="FootnoteText"/>
      </w:pPr>
      <w:r>
        <w:rPr>
          <w:rStyle w:val="FootnoteReference"/>
        </w:rPr>
        <w:footnoteRef/>
      </w:r>
      <w:r>
        <w:t xml:space="preserve"> Even in the event of exceeding 30 days, Ecology would still likely work with the producers to get needed documentation.</w:t>
      </w:r>
    </w:p>
  </w:footnote>
  <w:footnote w:id="21">
    <w:p w14:paraId="5D2E2C18" w14:textId="2D3B3F20" w:rsidR="00C16C6F" w:rsidRDefault="00C16C6F">
      <w:pPr>
        <w:pStyle w:val="FootnoteText"/>
      </w:pPr>
      <w:r>
        <w:rPr>
          <w:rStyle w:val="FootnoteReference"/>
        </w:rPr>
        <w:footnoteRef/>
      </w:r>
      <w:r>
        <w:t xml:space="preserve"> Relative costs are based on the difference in present value of each dollar, based on the current long-run average rate of risk-free return. </w:t>
      </w:r>
      <w:r w:rsidR="00996FB6" w:rsidRPr="00996FB6">
        <w:t xml:space="preserve">US Treasury Department, 2022. I bond interest rates. Historic average September 1998 through November 2022. </w:t>
      </w:r>
      <w:hyperlink r:id="rId12" w:anchor=":~:text=The%20composite%20rate%20for%20I,through%20April%202023%20is%206.89%25" w:history="1">
        <w:r w:rsidR="00996FB6" w:rsidRPr="00CA635F">
          <w:rPr>
            <w:rStyle w:val="Hyperlink"/>
          </w:rPr>
          <w:t>https://treasurydirect.gov/savings-bonds/i-bonds/i-bonds-interest-rates/#:~:text=The%20composite%20rate%20for%20I,through%20April%202023%20is%206.89%25</w:t>
        </w:r>
      </w:hyperlink>
      <w:r w:rsidR="00996FB6">
        <w:t xml:space="preserve"> </w:t>
      </w:r>
    </w:p>
  </w:footnote>
  <w:footnote w:id="22">
    <w:p w14:paraId="06D74F67" w14:textId="0113F5DC" w:rsidR="00953BAB" w:rsidRDefault="00953BAB" w:rsidP="00953BAB">
      <w:pPr>
        <w:pStyle w:val="FootnoteText"/>
      </w:pPr>
      <w:r>
        <w:rPr>
          <w:rStyle w:val="FootnoteReference"/>
        </w:rPr>
        <w:footnoteRef/>
      </w:r>
      <w:r>
        <w:t xml:space="preserve"> Relative costs are based on the difference in present value of each dollar, based on the current long-run average rate of risk-free return. </w:t>
      </w:r>
      <w:r w:rsidR="00C9562A" w:rsidRPr="00C9562A">
        <w:t xml:space="preserve">US Treasury Department, 2022. I bond interest rates. Historic average September 1998 through November 2022. </w:t>
      </w:r>
      <w:hyperlink r:id="rId13" w:anchor=":~:text=The%20composite%20rate%20for%20I,through%20April%202023%20is%206.89%25" w:history="1">
        <w:r w:rsidR="00C9562A" w:rsidRPr="00CA635F">
          <w:rPr>
            <w:rStyle w:val="Hyperlink"/>
          </w:rPr>
          <w:t>https://treasurydirect.gov/savings-bonds/i-bonds/i-bonds-interest-rates/#:~:text=The%20composite%20rate%20for%20I,through%20April%202023%20is%206.89%25</w:t>
        </w:r>
      </w:hyperlink>
      <w:r w:rsidR="00C9562A">
        <w:t xml:space="preserve"> </w:t>
      </w:r>
    </w:p>
  </w:footnote>
  <w:footnote w:id="23">
    <w:p w14:paraId="55A3D2E6" w14:textId="1617B386" w:rsidR="00A83732" w:rsidRDefault="00A83732">
      <w:pPr>
        <w:pStyle w:val="FootnoteText"/>
      </w:pPr>
      <w:r>
        <w:rPr>
          <w:rStyle w:val="FootnoteReference"/>
        </w:rPr>
        <w:footnoteRef/>
      </w:r>
      <w:r>
        <w:t xml:space="preserve"> </w:t>
      </w:r>
      <w:r w:rsidR="000156F3">
        <w:t>Recycling</w:t>
      </w:r>
      <w:r>
        <w:t xml:space="preserve"> Today, Retrieve</w:t>
      </w:r>
      <w:r w:rsidR="00C9562A">
        <w:t>d</w:t>
      </w:r>
      <w:r>
        <w:t xml:space="preserve"> from: </w:t>
      </w:r>
      <w:r w:rsidR="004819CE" w:rsidRPr="00A83732">
        <w:t>https://www.recyclingtoday.com/news/recycled-plastic-supply-demand-mismatched/.</w:t>
      </w:r>
    </w:p>
  </w:footnote>
  <w:footnote w:id="24">
    <w:p w14:paraId="4DE23D63" w14:textId="77777777" w:rsidR="000965F6" w:rsidRDefault="000965F6" w:rsidP="000965F6">
      <w:pPr>
        <w:pStyle w:val="FootnoteText"/>
      </w:pPr>
      <w:r>
        <w:rPr>
          <w:rStyle w:val="FootnoteReference"/>
        </w:rPr>
        <w:footnoteRef/>
      </w:r>
      <w:r>
        <w:t xml:space="preserve"> Recycling Today, Retrieved from: </w:t>
      </w:r>
      <w:r w:rsidRPr="00A83732">
        <w:t>https://www.recyclingtoday.com/news/recycled-plastic-supply-demand-mismatched/.</w:t>
      </w:r>
    </w:p>
  </w:footnote>
  <w:footnote w:id="25">
    <w:p w14:paraId="7B59CACA" w14:textId="77777777" w:rsidR="000965F6" w:rsidRDefault="000965F6" w:rsidP="000965F6">
      <w:pPr>
        <w:pStyle w:val="FootnoteText"/>
      </w:pPr>
      <w:r>
        <w:rPr>
          <w:rStyle w:val="FootnoteReference"/>
        </w:rPr>
        <w:footnoteRef/>
      </w:r>
      <w:r>
        <w:t xml:space="preserve"> </w:t>
      </w:r>
      <w:hyperlink r:id="rId14" w:history="1">
        <w:r>
          <w:rPr>
            <w:rStyle w:val="cf01"/>
            <w:color w:val="0000FF"/>
            <w:u w:val="single"/>
          </w:rPr>
          <w:t>The Recycling Partnership and Columbia University, 2022</w:t>
        </w:r>
      </w:hyperlink>
    </w:p>
  </w:footnote>
  <w:footnote w:id="26">
    <w:p w14:paraId="17B6977F" w14:textId="2E999BEA" w:rsidR="00281E62" w:rsidRDefault="00281E62">
      <w:pPr>
        <w:pStyle w:val="FootnoteText"/>
      </w:pPr>
      <w:r w:rsidRPr="00C9562A">
        <w:rPr>
          <w:rStyle w:val="FootnoteReference"/>
        </w:rPr>
        <w:footnoteRef/>
      </w:r>
      <w:r w:rsidRPr="00C9562A">
        <w:t xml:space="preserve"> </w:t>
      </w:r>
      <w:r w:rsidR="00C9562A" w:rsidRPr="00C9562A">
        <w:t>REMI E3+ baseline forecast, model version 3.0.0.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EE0"/>
    <w:multiLevelType w:val="hybridMultilevel"/>
    <w:tmpl w:val="43C2CA3A"/>
    <w:lvl w:ilvl="0" w:tplc="6DC0F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7179"/>
    <w:multiLevelType w:val="hybridMultilevel"/>
    <w:tmpl w:val="11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7206"/>
    <w:multiLevelType w:val="hybridMultilevel"/>
    <w:tmpl w:val="5C8AAC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263F8E"/>
    <w:multiLevelType w:val="hybridMultilevel"/>
    <w:tmpl w:val="CF5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4154A"/>
    <w:multiLevelType w:val="hybridMultilevel"/>
    <w:tmpl w:val="B73870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6DD063F"/>
    <w:multiLevelType w:val="hybridMultilevel"/>
    <w:tmpl w:val="A34C3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73D5105"/>
    <w:multiLevelType w:val="hybridMultilevel"/>
    <w:tmpl w:val="0A5A7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53750"/>
    <w:multiLevelType w:val="hybridMultilevel"/>
    <w:tmpl w:val="5658E02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15ED613B"/>
    <w:multiLevelType w:val="hybridMultilevel"/>
    <w:tmpl w:val="B0F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618D1"/>
    <w:multiLevelType w:val="hybridMultilevel"/>
    <w:tmpl w:val="0F603BDC"/>
    <w:lvl w:ilvl="0" w:tplc="B37AC732">
      <w:start w:val="1"/>
      <w:numFmt w:val="decimal"/>
      <w:pStyle w:val="Focusbody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F63F2"/>
    <w:multiLevelType w:val="hybridMultilevel"/>
    <w:tmpl w:val="43B0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83349"/>
    <w:multiLevelType w:val="hybridMultilevel"/>
    <w:tmpl w:val="6DFE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B5DA1"/>
    <w:multiLevelType w:val="hybridMultilevel"/>
    <w:tmpl w:val="71BC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248D4"/>
    <w:multiLevelType w:val="hybridMultilevel"/>
    <w:tmpl w:val="6EA6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02337"/>
    <w:multiLevelType w:val="hybridMultilevel"/>
    <w:tmpl w:val="382E975A"/>
    <w:lvl w:ilvl="0" w:tplc="0AB0569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74361BE"/>
    <w:multiLevelType w:val="hybridMultilevel"/>
    <w:tmpl w:val="646A8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46833"/>
    <w:multiLevelType w:val="hybridMultilevel"/>
    <w:tmpl w:val="5822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2759B"/>
    <w:multiLevelType w:val="hybridMultilevel"/>
    <w:tmpl w:val="32962C72"/>
    <w:lvl w:ilvl="0" w:tplc="04090001">
      <w:start w:val="1"/>
      <w:numFmt w:val="bullet"/>
      <w:lvlText w:val=""/>
      <w:lvlJc w:val="left"/>
      <w:pPr>
        <w:ind w:left="288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8" w15:restartNumberingAfterBreak="0">
    <w:nsid w:val="32676766"/>
    <w:multiLevelType w:val="hybridMultilevel"/>
    <w:tmpl w:val="E50A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234A5"/>
    <w:multiLevelType w:val="hybridMultilevel"/>
    <w:tmpl w:val="C308A8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5F52625"/>
    <w:multiLevelType w:val="hybridMultilevel"/>
    <w:tmpl w:val="21CA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F36E3"/>
    <w:multiLevelType w:val="hybridMultilevel"/>
    <w:tmpl w:val="CC24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1D0892"/>
    <w:multiLevelType w:val="hybridMultilevel"/>
    <w:tmpl w:val="9CACDEE0"/>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2D53A40"/>
    <w:multiLevelType w:val="hybridMultilevel"/>
    <w:tmpl w:val="BDC6100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476E09E6"/>
    <w:multiLevelType w:val="hybridMultilevel"/>
    <w:tmpl w:val="EFFAF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E52CE"/>
    <w:multiLevelType w:val="hybridMultilevel"/>
    <w:tmpl w:val="C3FC30FA"/>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977807"/>
    <w:multiLevelType w:val="hybridMultilevel"/>
    <w:tmpl w:val="FA16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80B3D"/>
    <w:multiLevelType w:val="hybridMultilevel"/>
    <w:tmpl w:val="BE1C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368F5"/>
    <w:multiLevelType w:val="hybridMultilevel"/>
    <w:tmpl w:val="B2F4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23FBF"/>
    <w:multiLevelType w:val="hybridMultilevel"/>
    <w:tmpl w:val="6AFA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74802"/>
    <w:multiLevelType w:val="hybridMultilevel"/>
    <w:tmpl w:val="83AE1F7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55090856"/>
    <w:multiLevelType w:val="hybridMultilevel"/>
    <w:tmpl w:val="17AED81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3" w15:restartNumberingAfterBreak="0">
    <w:nsid w:val="55B07E26"/>
    <w:multiLevelType w:val="hybridMultilevel"/>
    <w:tmpl w:val="83F2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05E94"/>
    <w:multiLevelType w:val="hybridMultilevel"/>
    <w:tmpl w:val="452AA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A5136"/>
    <w:multiLevelType w:val="hybridMultilevel"/>
    <w:tmpl w:val="E7741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F95BD4"/>
    <w:multiLevelType w:val="hybridMultilevel"/>
    <w:tmpl w:val="453E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52F70"/>
    <w:multiLevelType w:val="hybridMultilevel"/>
    <w:tmpl w:val="6CA69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73390"/>
    <w:multiLevelType w:val="hybridMultilevel"/>
    <w:tmpl w:val="8CE2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E6DCC"/>
    <w:multiLevelType w:val="hybridMultilevel"/>
    <w:tmpl w:val="0BBA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E02FD"/>
    <w:multiLevelType w:val="hybridMultilevel"/>
    <w:tmpl w:val="0A407A54"/>
    <w:lvl w:ilvl="0" w:tplc="5842754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F302D"/>
    <w:multiLevelType w:val="hybridMultilevel"/>
    <w:tmpl w:val="D4A2F9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6D0479CC"/>
    <w:multiLevelType w:val="hybridMultilevel"/>
    <w:tmpl w:val="B39E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5744D"/>
    <w:multiLevelType w:val="hybridMultilevel"/>
    <w:tmpl w:val="E2323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E5C79"/>
    <w:multiLevelType w:val="hybridMultilevel"/>
    <w:tmpl w:val="0EA0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C47F7"/>
    <w:multiLevelType w:val="multilevel"/>
    <w:tmpl w:val="02A00FE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4D2CDB"/>
    <w:multiLevelType w:val="hybridMultilevel"/>
    <w:tmpl w:val="0D28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D6F2F"/>
    <w:multiLevelType w:val="hybridMultilevel"/>
    <w:tmpl w:val="808A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710087">
    <w:abstractNumId w:val="22"/>
  </w:num>
  <w:num w:numId="2" w16cid:durableId="1422291343">
    <w:abstractNumId w:val="9"/>
  </w:num>
  <w:num w:numId="3" w16cid:durableId="1871913836">
    <w:abstractNumId w:val="40"/>
  </w:num>
  <w:num w:numId="4" w16cid:durableId="986587814">
    <w:abstractNumId w:val="14"/>
  </w:num>
  <w:num w:numId="5" w16cid:durableId="564099156">
    <w:abstractNumId w:val="42"/>
  </w:num>
  <w:num w:numId="6" w16cid:durableId="1792045923">
    <w:abstractNumId w:val="35"/>
  </w:num>
  <w:num w:numId="7" w16cid:durableId="1573614299">
    <w:abstractNumId w:val="44"/>
  </w:num>
  <w:num w:numId="8" w16cid:durableId="1667050213">
    <w:abstractNumId w:val="30"/>
  </w:num>
  <w:num w:numId="9" w16cid:durableId="613244074">
    <w:abstractNumId w:val="46"/>
  </w:num>
  <w:num w:numId="10" w16cid:durableId="1849099518">
    <w:abstractNumId w:val="21"/>
  </w:num>
  <w:num w:numId="11" w16cid:durableId="1683817515">
    <w:abstractNumId w:val="12"/>
  </w:num>
  <w:num w:numId="12" w16cid:durableId="1607419381">
    <w:abstractNumId w:val="11"/>
  </w:num>
  <w:num w:numId="13" w16cid:durableId="457995710">
    <w:abstractNumId w:val="27"/>
  </w:num>
  <w:num w:numId="14" w16cid:durableId="325400256">
    <w:abstractNumId w:val="18"/>
  </w:num>
  <w:num w:numId="15" w16cid:durableId="1462991036">
    <w:abstractNumId w:val="36"/>
  </w:num>
  <w:num w:numId="16" w16cid:durableId="1243220472">
    <w:abstractNumId w:val="16"/>
  </w:num>
  <w:num w:numId="17" w16cid:durableId="1276526185">
    <w:abstractNumId w:val="43"/>
  </w:num>
  <w:num w:numId="18" w16cid:durableId="1265042606">
    <w:abstractNumId w:val="13"/>
  </w:num>
  <w:num w:numId="19" w16cid:durableId="1726298179">
    <w:abstractNumId w:val="37"/>
  </w:num>
  <w:num w:numId="20" w16cid:durableId="442578228">
    <w:abstractNumId w:val="0"/>
  </w:num>
  <w:num w:numId="21" w16cid:durableId="1207185227">
    <w:abstractNumId w:val="41"/>
  </w:num>
  <w:num w:numId="22" w16cid:durableId="2003511514">
    <w:abstractNumId w:val="47"/>
  </w:num>
  <w:num w:numId="23" w16cid:durableId="66272028">
    <w:abstractNumId w:val="28"/>
  </w:num>
  <w:num w:numId="24" w16cid:durableId="211698774">
    <w:abstractNumId w:val="39"/>
  </w:num>
  <w:num w:numId="25" w16cid:durableId="213349727">
    <w:abstractNumId w:val="20"/>
  </w:num>
  <w:num w:numId="26" w16cid:durableId="475875525">
    <w:abstractNumId w:val="38"/>
  </w:num>
  <w:num w:numId="27" w16cid:durableId="1477062634">
    <w:abstractNumId w:val="45"/>
  </w:num>
  <w:num w:numId="28" w16cid:durableId="340622141">
    <w:abstractNumId w:val="1"/>
  </w:num>
  <w:num w:numId="29" w16cid:durableId="352071216">
    <w:abstractNumId w:val="3"/>
  </w:num>
  <w:num w:numId="30" w16cid:durableId="1905600166">
    <w:abstractNumId w:val="10"/>
  </w:num>
  <w:num w:numId="31" w16cid:durableId="199628648">
    <w:abstractNumId w:val="7"/>
  </w:num>
  <w:num w:numId="32" w16cid:durableId="808477391">
    <w:abstractNumId w:val="31"/>
  </w:num>
  <w:num w:numId="33" w16cid:durableId="1092169072">
    <w:abstractNumId w:val="29"/>
  </w:num>
  <w:num w:numId="34" w16cid:durableId="965768640">
    <w:abstractNumId w:val="8"/>
  </w:num>
  <w:num w:numId="35" w16cid:durableId="1444767065">
    <w:abstractNumId w:val="33"/>
  </w:num>
  <w:num w:numId="36" w16cid:durableId="1268998191">
    <w:abstractNumId w:val="24"/>
  </w:num>
  <w:num w:numId="37" w16cid:durableId="1238327397">
    <w:abstractNumId w:val="32"/>
  </w:num>
  <w:num w:numId="38" w16cid:durableId="2132237545">
    <w:abstractNumId w:val="17"/>
  </w:num>
  <w:num w:numId="39" w16cid:durableId="314114167">
    <w:abstractNumId w:val="5"/>
  </w:num>
  <w:num w:numId="40" w16cid:durableId="1236547727">
    <w:abstractNumId w:val="2"/>
  </w:num>
  <w:num w:numId="41" w16cid:durableId="1377044311">
    <w:abstractNumId w:val="19"/>
  </w:num>
  <w:num w:numId="42" w16cid:durableId="838696533">
    <w:abstractNumId w:val="25"/>
  </w:num>
  <w:num w:numId="43" w16cid:durableId="717436548">
    <w:abstractNumId w:val="34"/>
  </w:num>
  <w:num w:numId="44" w16cid:durableId="2129664309">
    <w:abstractNumId w:val="23"/>
  </w:num>
  <w:num w:numId="45" w16cid:durableId="871958554">
    <w:abstractNumId w:val="6"/>
  </w:num>
  <w:num w:numId="46" w16cid:durableId="1257908667">
    <w:abstractNumId w:val="15"/>
  </w:num>
  <w:num w:numId="47" w16cid:durableId="1731734489">
    <w:abstractNumId w:val="26"/>
  </w:num>
  <w:num w:numId="48" w16cid:durableId="76284577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NTQ1NzAyNzA3MjRX0lEKTi0uzszPAykwMq0FAOF3QaItAAAA"/>
  </w:docVars>
  <w:rsids>
    <w:rsidRoot w:val="00C60861"/>
    <w:rsid w:val="00002125"/>
    <w:rsid w:val="0000371A"/>
    <w:rsid w:val="00003AA0"/>
    <w:rsid w:val="00004946"/>
    <w:rsid w:val="00004D2A"/>
    <w:rsid w:val="0000765F"/>
    <w:rsid w:val="00007E0E"/>
    <w:rsid w:val="000125CD"/>
    <w:rsid w:val="00013757"/>
    <w:rsid w:val="0001553C"/>
    <w:rsid w:val="000156F3"/>
    <w:rsid w:val="0001731C"/>
    <w:rsid w:val="00017A3D"/>
    <w:rsid w:val="000213E2"/>
    <w:rsid w:val="00023C8B"/>
    <w:rsid w:val="0002447E"/>
    <w:rsid w:val="000246FD"/>
    <w:rsid w:val="000268D6"/>
    <w:rsid w:val="0002694A"/>
    <w:rsid w:val="000308CA"/>
    <w:rsid w:val="0003247E"/>
    <w:rsid w:val="00033A83"/>
    <w:rsid w:val="00034DBE"/>
    <w:rsid w:val="00035993"/>
    <w:rsid w:val="00037097"/>
    <w:rsid w:val="00043104"/>
    <w:rsid w:val="00043419"/>
    <w:rsid w:val="00043DBF"/>
    <w:rsid w:val="00045DA7"/>
    <w:rsid w:val="0004641A"/>
    <w:rsid w:val="00046F72"/>
    <w:rsid w:val="000524DD"/>
    <w:rsid w:val="00053C8B"/>
    <w:rsid w:val="000543B0"/>
    <w:rsid w:val="00054A03"/>
    <w:rsid w:val="000574C1"/>
    <w:rsid w:val="000576B5"/>
    <w:rsid w:val="00057CE9"/>
    <w:rsid w:val="00062A4C"/>
    <w:rsid w:val="00062E3B"/>
    <w:rsid w:val="0006652F"/>
    <w:rsid w:val="0006677C"/>
    <w:rsid w:val="00070EF9"/>
    <w:rsid w:val="00071138"/>
    <w:rsid w:val="000715E4"/>
    <w:rsid w:val="000746A1"/>
    <w:rsid w:val="00075F00"/>
    <w:rsid w:val="00076B85"/>
    <w:rsid w:val="00076B97"/>
    <w:rsid w:val="0008070C"/>
    <w:rsid w:val="00081140"/>
    <w:rsid w:val="000824C9"/>
    <w:rsid w:val="00083979"/>
    <w:rsid w:val="00084508"/>
    <w:rsid w:val="000860B9"/>
    <w:rsid w:val="000866A2"/>
    <w:rsid w:val="00087615"/>
    <w:rsid w:val="00091BB5"/>
    <w:rsid w:val="00091FDF"/>
    <w:rsid w:val="000920FB"/>
    <w:rsid w:val="00092539"/>
    <w:rsid w:val="00092A2E"/>
    <w:rsid w:val="00092D8C"/>
    <w:rsid w:val="00093E53"/>
    <w:rsid w:val="00094F00"/>
    <w:rsid w:val="000958AB"/>
    <w:rsid w:val="00095D26"/>
    <w:rsid w:val="000965F6"/>
    <w:rsid w:val="00096A0C"/>
    <w:rsid w:val="0009731D"/>
    <w:rsid w:val="000A0B15"/>
    <w:rsid w:val="000A0E1F"/>
    <w:rsid w:val="000A138D"/>
    <w:rsid w:val="000A3D12"/>
    <w:rsid w:val="000A4257"/>
    <w:rsid w:val="000A4C83"/>
    <w:rsid w:val="000A4CF3"/>
    <w:rsid w:val="000A5877"/>
    <w:rsid w:val="000A61F9"/>
    <w:rsid w:val="000A6EDD"/>
    <w:rsid w:val="000A7038"/>
    <w:rsid w:val="000A7C28"/>
    <w:rsid w:val="000B0E9A"/>
    <w:rsid w:val="000B1998"/>
    <w:rsid w:val="000B363C"/>
    <w:rsid w:val="000B4A0E"/>
    <w:rsid w:val="000B6B59"/>
    <w:rsid w:val="000C06E8"/>
    <w:rsid w:val="000C11EC"/>
    <w:rsid w:val="000C36D6"/>
    <w:rsid w:val="000C3F38"/>
    <w:rsid w:val="000C4230"/>
    <w:rsid w:val="000C7507"/>
    <w:rsid w:val="000C7CE9"/>
    <w:rsid w:val="000C7E1D"/>
    <w:rsid w:val="000D018C"/>
    <w:rsid w:val="000D033F"/>
    <w:rsid w:val="000D2B73"/>
    <w:rsid w:val="000D4B91"/>
    <w:rsid w:val="000D4BCD"/>
    <w:rsid w:val="000D4ECF"/>
    <w:rsid w:val="000D7228"/>
    <w:rsid w:val="000D7C60"/>
    <w:rsid w:val="000E0D87"/>
    <w:rsid w:val="000E1199"/>
    <w:rsid w:val="000E207A"/>
    <w:rsid w:val="000E211F"/>
    <w:rsid w:val="000E2A44"/>
    <w:rsid w:val="000E2A53"/>
    <w:rsid w:val="000E32EB"/>
    <w:rsid w:val="000E5BDE"/>
    <w:rsid w:val="000F08BC"/>
    <w:rsid w:val="000F157D"/>
    <w:rsid w:val="000F1EC8"/>
    <w:rsid w:val="000F2ECA"/>
    <w:rsid w:val="000F49A0"/>
    <w:rsid w:val="000F4FBB"/>
    <w:rsid w:val="000F5779"/>
    <w:rsid w:val="000F5D41"/>
    <w:rsid w:val="000F5E36"/>
    <w:rsid w:val="000F61B2"/>
    <w:rsid w:val="000F78E9"/>
    <w:rsid w:val="001012C9"/>
    <w:rsid w:val="001015BC"/>
    <w:rsid w:val="001016C8"/>
    <w:rsid w:val="0010263F"/>
    <w:rsid w:val="00102A7D"/>
    <w:rsid w:val="0010302E"/>
    <w:rsid w:val="00103C29"/>
    <w:rsid w:val="001047E5"/>
    <w:rsid w:val="00105E01"/>
    <w:rsid w:val="00106C3F"/>
    <w:rsid w:val="00107AA8"/>
    <w:rsid w:val="0011066E"/>
    <w:rsid w:val="00112397"/>
    <w:rsid w:val="001161ED"/>
    <w:rsid w:val="001166C5"/>
    <w:rsid w:val="001170F9"/>
    <w:rsid w:val="00117F6A"/>
    <w:rsid w:val="00121392"/>
    <w:rsid w:val="0012152B"/>
    <w:rsid w:val="0012159F"/>
    <w:rsid w:val="0012222B"/>
    <w:rsid w:val="001239CA"/>
    <w:rsid w:val="00123E15"/>
    <w:rsid w:val="00123EF6"/>
    <w:rsid w:val="0012407A"/>
    <w:rsid w:val="00124EC2"/>
    <w:rsid w:val="0012564E"/>
    <w:rsid w:val="00125EA7"/>
    <w:rsid w:val="00126145"/>
    <w:rsid w:val="0012650C"/>
    <w:rsid w:val="001271C1"/>
    <w:rsid w:val="0012786E"/>
    <w:rsid w:val="001279D8"/>
    <w:rsid w:val="001302E3"/>
    <w:rsid w:val="00130772"/>
    <w:rsid w:val="00131BE7"/>
    <w:rsid w:val="00132116"/>
    <w:rsid w:val="00133CE2"/>
    <w:rsid w:val="00134A98"/>
    <w:rsid w:val="0013559D"/>
    <w:rsid w:val="00135C65"/>
    <w:rsid w:val="00136073"/>
    <w:rsid w:val="001361A9"/>
    <w:rsid w:val="00136CD7"/>
    <w:rsid w:val="00136D23"/>
    <w:rsid w:val="001403AB"/>
    <w:rsid w:val="00140B65"/>
    <w:rsid w:val="00141483"/>
    <w:rsid w:val="00142058"/>
    <w:rsid w:val="001427AC"/>
    <w:rsid w:val="00143626"/>
    <w:rsid w:val="00144C52"/>
    <w:rsid w:val="001456AB"/>
    <w:rsid w:val="0015070E"/>
    <w:rsid w:val="00150742"/>
    <w:rsid w:val="00150AE6"/>
    <w:rsid w:val="00151260"/>
    <w:rsid w:val="00152462"/>
    <w:rsid w:val="00152590"/>
    <w:rsid w:val="00152B52"/>
    <w:rsid w:val="00152E5B"/>
    <w:rsid w:val="0015328D"/>
    <w:rsid w:val="00154237"/>
    <w:rsid w:val="0015433A"/>
    <w:rsid w:val="001548DF"/>
    <w:rsid w:val="00154A26"/>
    <w:rsid w:val="00154B94"/>
    <w:rsid w:val="001557DC"/>
    <w:rsid w:val="001606C6"/>
    <w:rsid w:val="00161039"/>
    <w:rsid w:val="0016160B"/>
    <w:rsid w:val="0016197A"/>
    <w:rsid w:val="00161CC1"/>
    <w:rsid w:val="00162661"/>
    <w:rsid w:val="001664A9"/>
    <w:rsid w:val="00166547"/>
    <w:rsid w:val="001703A1"/>
    <w:rsid w:val="00172326"/>
    <w:rsid w:val="001724F5"/>
    <w:rsid w:val="0017514D"/>
    <w:rsid w:val="00175302"/>
    <w:rsid w:val="001762D8"/>
    <w:rsid w:val="00177255"/>
    <w:rsid w:val="00181F63"/>
    <w:rsid w:val="001827BC"/>
    <w:rsid w:val="00182B94"/>
    <w:rsid w:val="00183824"/>
    <w:rsid w:val="00183A8C"/>
    <w:rsid w:val="00183B3B"/>
    <w:rsid w:val="00185A2C"/>
    <w:rsid w:val="00186137"/>
    <w:rsid w:val="00186864"/>
    <w:rsid w:val="00186A2C"/>
    <w:rsid w:val="00186ABA"/>
    <w:rsid w:val="00186BE5"/>
    <w:rsid w:val="0019036C"/>
    <w:rsid w:val="00190D28"/>
    <w:rsid w:val="00190F66"/>
    <w:rsid w:val="00192578"/>
    <w:rsid w:val="00192E69"/>
    <w:rsid w:val="001934CB"/>
    <w:rsid w:val="0019395F"/>
    <w:rsid w:val="00193ADF"/>
    <w:rsid w:val="001942BE"/>
    <w:rsid w:val="001959B8"/>
    <w:rsid w:val="00196B5F"/>
    <w:rsid w:val="00197988"/>
    <w:rsid w:val="001A0E9F"/>
    <w:rsid w:val="001A1BA1"/>
    <w:rsid w:val="001A536B"/>
    <w:rsid w:val="001A5AD6"/>
    <w:rsid w:val="001A6F3C"/>
    <w:rsid w:val="001A7DF4"/>
    <w:rsid w:val="001B00DF"/>
    <w:rsid w:val="001B12E6"/>
    <w:rsid w:val="001B130B"/>
    <w:rsid w:val="001B24CF"/>
    <w:rsid w:val="001B26AC"/>
    <w:rsid w:val="001B633C"/>
    <w:rsid w:val="001B66F5"/>
    <w:rsid w:val="001B6C22"/>
    <w:rsid w:val="001B75EF"/>
    <w:rsid w:val="001B7B8E"/>
    <w:rsid w:val="001C0A07"/>
    <w:rsid w:val="001C4B56"/>
    <w:rsid w:val="001C50FB"/>
    <w:rsid w:val="001C575E"/>
    <w:rsid w:val="001C71BB"/>
    <w:rsid w:val="001C7AE9"/>
    <w:rsid w:val="001D0FF8"/>
    <w:rsid w:val="001D2705"/>
    <w:rsid w:val="001D2769"/>
    <w:rsid w:val="001D2DD3"/>
    <w:rsid w:val="001D364A"/>
    <w:rsid w:val="001D398B"/>
    <w:rsid w:val="001D466C"/>
    <w:rsid w:val="001D55AA"/>
    <w:rsid w:val="001D7917"/>
    <w:rsid w:val="001E1DF9"/>
    <w:rsid w:val="001E21CC"/>
    <w:rsid w:val="001E3990"/>
    <w:rsid w:val="001E4074"/>
    <w:rsid w:val="001E4285"/>
    <w:rsid w:val="001E4D63"/>
    <w:rsid w:val="001E5075"/>
    <w:rsid w:val="001E59CB"/>
    <w:rsid w:val="001E5B99"/>
    <w:rsid w:val="001E75B6"/>
    <w:rsid w:val="001F0FE3"/>
    <w:rsid w:val="001F12DF"/>
    <w:rsid w:val="001F146A"/>
    <w:rsid w:val="001F1A42"/>
    <w:rsid w:val="001F210D"/>
    <w:rsid w:val="001F241A"/>
    <w:rsid w:val="001F2C36"/>
    <w:rsid w:val="001F37B9"/>
    <w:rsid w:val="001F442A"/>
    <w:rsid w:val="001F57E6"/>
    <w:rsid w:val="001F5E8B"/>
    <w:rsid w:val="001F5F8E"/>
    <w:rsid w:val="001F7D8D"/>
    <w:rsid w:val="00207ABE"/>
    <w:rsid w:val="00207BE9"/>
    <w:rsid w:val="00207EA8"/>
    <w:rsid w:val="00207FE9"/>
    <w:rsid w:val="0021162F"/>
    <w:rsid w:val="00211881"/>
    <w:rsid w:val="0021236D"/>
    <w:rsid w:val="00212E25"/>
    <w:rsid w:val="0021438E"/>
    <w:rsid w:val="00214B0D"/>
    <w:rsid w:val="00215F35"/>
    <w:rsid w:val="00215FB1"/>
    <w:rsid w:val="002167A1"/>
    <w:rsid w:val="00216C63"/>
    <w:rsid w:val="00217F20"/>
    <w:rsid w:val="00223345"/>
    <w:rsid w:val="002234FF"/>
    <w:rsid w:val="00224285"/>
    <w:rsid w:val="00225BBF"/>
    <w:rsid w:val="00225D80"/>
    <w:rsid w:val="0022614A"/>
    <w:rsid w:val="00226625"/>
    <w:rsid w:val="00226BCE"/>
    <w:rsid w:val="00227D4C"/>
    <w:rsid w:val="00230B4E"/>
    <w:rsid w:val="002320B0"/>
    <w:rsid w:val="00233167"/>
    <w:rsid w:val="0023361A"/>
    <w:rsid w:val="00233666"/>
    <w:rsid w:val="00233B44"/>
    <w:rsid w:val="0023655D"/>
    <w:rsid w:val="002405AF"/>
    <w:rsid w:val="002411B5"/>
    <w:rsid w:val="00241E49"/>
    <w:rsid w:val="00242557"/>
    <w:rsid w:val="002434CE"/>
    <w:rsid w:val="00244328"/>
    <w:rsid w:val="002446E2"/>
    <w:rsid w:val="00244B19"/>
    <w:rsid w:val="00244E40"/>
    <w:rsid w:val="00245579"/>
    <w:rsid w:val="00246D7F"/>
    <w:rsid w:val="00254150"/>
    <w:rsid w:val="0025472D"/>
    <w:rsid w:val="00254AA3"/>
    <w:rsid w:val="0025689E"/>
    <w:rsid w:val="00257276"/>
    <w:rsid w:val="0025743D"/>
    <w:rsid w:val="00260167"/>
    <w:rsid w:val="002601DB"/>
    <w:rsid w:val="00262B3A"/>
    <w:rsid w:val="00263998"/>
    <w:rsid w:val="00270FD9"/>
    <w:rsid w:val="0027188C"/>
    <w:rsid w:val="00271E00"/>
    <w:rsid w:val="00271F61"/>
    <w:rsid w:val="00272A7C"/>
    <w:rsid w:val="00274253"/>
    <w:rsid w:val="0027633B"/>
    <w:rsid w:val="002765D7"/>
    <w:rsid w:val="002771ED"/>
    <w:rsid w:val="002773AB"/>
    <w:rsid w:val="0027770E"/>
    <w:rsid w:val="0027784F"/>
    <w:rsid w:val="00281B5D"/>
    <w:rsid w:val="00281E62"/>
    <w:rsid w:val="00282D3F"/>
    <w:rsid w:val="00282F3A"/>
    <w:rsid w:val="00283222"/>
    <w:rsid w:val="002847B0"/>
    <w:rsid w:val="0028583C"/>
    <w:rsid w:val="00285BFF"/>
    <w:rsid w:val="002872B7"/>
    <w:rsid w:val="00287B49"/>
    <w:rsid w:val="00290FF7"/>
    <w:rsid w:val="00291687"/>
    <w:rsid w:val="002917F1"/>
    <w:rsid w:val="00291D0C"/>
    <w:rsid w:val="00292AC2"/>
    <w:rsid w:val="00293C7A"/>
    <w:rsid w:val="0029450F"/>
    <w:rsid w:val="0029476A"/>
    <w:rsid w:val="002955E9"/>
    <w:rsid w:val="0029640A"/>
    <w:rsid w:val="002A0928"/>
    <w:rsid w:val="002A2369"/>
    <w:rsid w:val="002A29D3"/>
    <w:rsid w:val="002A486A"/>
    <w:rsid w:val="002A4F52"/>
    <w:rsid w:val="002A51AD"/>
    <w:rsid w:val="002A6D71"/>
    <w:rsid w:val="002A7534"/>
    <w:rsid w:val="002A76E5"/>
    <w:rsid w:val="002B00C8"/>
    <w:rsid w:val="002B0174"/>
    <w:rsid w:val="002B06B3"/>
    <w:rsid w:val="002B2EFF"/>
    <w:rsid w:val="002B34AB"/>
    <w:rsid w:val="002B3FDC"/>
    <w:rsid w:val="002B4A10"/>
    <w:rsid w:val="002B58CF"/>
    <w:rsid w:val="002B5AE9"/>
    <w:rsid w:val="002B635E"/>
    <w:rsid w:val="002B67D4"/>
    <w:rsid w:val="002B6A83"/>
    <w:rsid w:val="002B6AA5"/>
    <w:rsid w:val="002B7CE4"/>
    <w:rsid w:val="002B7F93"/>
    <w:rsid w:val="002C0204"/>
    <w:rsid w:val="002C1873"/>
    <w:rsid w:val="002C4289"/>
    <w:rsid w:val="002C555D"/>
    <w:rsid w:val="002C6E5E"/>
    <w:rsid w:val="002D0357"/>
    <w:rsid w:val="002D0514"/>
    <w:rsid w:val="002D204F"/>
    <w:rsid w:val="002D2A12"/>
    <w:rsid w:val="002D2AFE"/>
    <w:rsid w:val="002D2C59"/>
    <w:rsid w:val="002D2EAE"/>
    <w:rsid w:val="002D57A3"/>
    <w:rsid w:val="002D5CCD"/>
    <w:rsid w:val="002D606E"/>
    <w:rsid w:val="002D61C1"/>
    <w:rsid w:val="002E1D92"/>
    <w:rsid w:val="002E1FDA"/>
    <w:rsid w:val="002E6113"/>
    <w:rsid w:val="002E648D"/>
    <w:rsid w:val="002E785C"/>
    <w:rsid w:val="002E7D61"/>
    <w:rsid w:val="002F173E"/>
    <w:rsid w:val="002F276C"/>
    <w:rsid w:val="002F2F70"/>
    <w:rsid w:val="002F38E9"/>
    <w:rsid w:val="002F41A3"/>
    <w:rsid w:val="002F55CA"/>
    <w:rsid w:val="002F6DD3"/>
    <w:rsid w:val="00300E00"/>
    <w:rsid w:val="00301F93"/>
    <w:rsid w:val="0030432D"/>
    <w:rsid w:val="0030658C"/>
    <w:rsid w:val="003074B8"/>
    <w:rsid w:val="003077F8"/>
    <w:rsid w:val="00312740"/>
    <w:rsid w:val="0031343D"/>
    <w:rsid w:val="0031471E"/>
    <w:rsid w:val="003149A6"/>
    <w:rsid w:val="003159FA"/>
    <w:rsid w:val="003167AD"/>
    <w:rsid w:val="00316942"/>
    <w:rsid w:val="00316974"/>
    <w:rsid w:val="0031787B"/>
    <w:rsid w:val="00320A63"/>
    <w:rsid w:val="003212EE"/>
    <w:rsid w:val="0032172A"/>
    <w:rsid w:val="003229A7"/>
    <w:rsid w:val="00322F10"/>
    <w:rsid w:val="00323D57"/>
    <w:rsid w:val="00324CB3"/>
    <w:rsid w:val="003255E6"/>
    <w:rsid w:val="00325EFF"/>
    <w:rsid w:val="00325F32"/>
    <w:rsid w:val="003264C9"/>
    <w:rsid w:val="00326CD1"/>
    <w:rsid w:val="00327E83"/>
    <w:rsid w:val="00330940"/>
    <w:rsid w:val="00331376"/>
    <w:rsid w:val="003313A6"/>
    <w:rsid w:val="00331F0C"/>
    <w:rsid w:val="00332299"/>
    <w:rsid w:val="003343D9"/>
    <w:rsid w:val="00334877"/>
    <w:rsid w:val="00334B2D"/>
    <w:rsid w:val="00334E79"/>
    <w:rsid w:val="0033525B"/>
    <w:rsid w:val="00335283"/>
    <w:rsid w:val="00335D38"/>
    <w:rsid w:val="00335E51"/>
    <w:rsid w:val="00340548"/>
    <w:rsid w:val="00344146"/>
    <w:rsid w:val="00344523"/>
    <w:rsid w:val="00344B3F"/>
    <w:rsid w:val="0035029E"/>
    <w:rsid w:val="0035147C"/>
    <w:rsid w:val="00353A14"/>
    <w:rsid w:val="00354491"/>
    <w:rsid w:val="003554FF"/>
    <w:rsid w:val="00356108"/>
    <w:rsid w:val="00356234"/>
    <w:rsid w:val="003600D0"/>
    <w:rsid w:val="00360465"/>
    <w:rsid w:val="00361878"/>
    <w:rsid w:val="00361A1C"/>
    <w:rsid w:val="00361DEA"/>
    <w:rsid w:val="00361FEC"/>
    <w:rsid w:val="00363D74"/>
    <w:rsid w:val="00365856"/>
    <w:rsid w:val="00365A5B"/>
    <w:rsid w:val="003664C8"/>
    <w:rsid w:val="00366B34"/>
    <w:rsid w:val="003675E6"/>
    <w:rsid w:val="00367E55"/>
    <w:rsid w:val="0037056E"/>
    <w:rsid w:val="003706B1"/>
    <w:rsid w:val="00370A8C"/>
    <w:rsid w:val="003714E6"/>
    <w:rsid w:val="003722A5"/>
    <w:rsid w:val="00373D2F"/>
    <w:rsid w:val="00373EBC"/>
    <w:rsid w:val="0037427D"/>
    <w:rsid w:val="00374A1D"/>
    <w:rsid w:val="00376C3F"/>
    <w:rsid w:val="0037790E"/>
    <w:rsid w:val="003807B9"/>
    <w:rsid w:val="00381731"/>
    <w:rsid w:val="00383135"/>
    <w:rsid w:val="00385643"/>
    <w:rsid w:val="00385DF7"/>
    <w:rsid w:val="00386558"/>
    <w:rsid w:val="003905EA"/>
    <w:rsid w:val="00393780"/>
    <w:rsid w:val="00393E10"/>
    <w:rsid w:val="003971AF"/>
    <w:rsid w:val="003975FB"/>
    <w:rsid w:val="00397AF6"/>
    <w:rsid w:val="003A07EE"/>
    <w:rsid w:val="003A0E89"/>
    <w:rsid w:val="003A112A"/>
    <w:rsid w:val="003A278A"/>
    <w:rsid w:val="003A2D6D"/>
    <w:rsid w:val="003A30A5"/>
    <w:rsid w:val="003A3943"/>
    <w:rsid w:val="003A3B72"/>
    <w:rsid w:val="003A4507"/>
    <w:rsid w:val="003A584F"/>
    <w:rsid w:val="003A588C"/>
    <w:rsid w:val="003A7050"/>
    <w:rsid w:val="003B08CF"/>
    <w:rsid w:val="003B1872"/>
    <w:rsid w:val="003B1C00"/>
    <w:rsid w:val="003B4B21"/>
    <w:rsid w:val="003B5031"/>
    <w:rsid w:val="003B65F3"/>
    <w:rsid w:val="003B6944"/>
    <w:rsid w:val="003B77F1"/>
    <w:rsid w:val="003C0E0A"/>
    <w:rsid w:val="003C35B0"/>
    <w:rsid w:val="003C4670"/>
    <w:rsid w:val="003C4C8D"/>
    <w:rsid w:val="003C4D60"/>
    <w:rsid w:val="003C4E83"/>
    <w:rsid w:val="003C55B6"/>
    <w:rsid w:val="003C6847"/>
    <w:rsid w:val="003C723B"/>
    <w:rsid w:val="003D12D1"/>
    <w:rsid w:val="003D2169"/>
    <w:rsid w:val="003D323D"/>
    <w:rsid w:val="003D3F5A"/>
    <w:rsid w:val="003D4566"/>
    <w:rsid w:val="003D6659"/>
    <w:rsid w:val="003D696F"/>
    <w:rsid w:val="003D7006"/>
    <w:rsid w:val="003E209C"/>
    <w:rsid w:val="003E267E"/>
    <w:rsid w:val="003E5C9A"/>
    <w:rsid w:val="003E698B"/>
    <w:rsid w:val="003E73B5"/>
    <w:rsid w:val="003F07C3"/>
    <w:rsid w:val="003F2095"/>
    <w:rsid w:val="003F336B"/>
    <w:rsid w:val="003F3861"/>
    <w:rsid w:val="003F3941"/>
    <w:rsid w:val="003F42C4"/>
    <w:rsid w:val="003F526A"/>
    <w:rsid w:val="003F5F43"/>
    <w:rsid w:val="003F6471"/>
    <w:rsid w:val="003F6619"/>
    <w:rsid w:val="003F66C3"/>
    <w:rsid w:val="003F7694"/>
    <w:rsid w:val="003F76E1"/>
    <w:rsid w:val="003F79E9"/>
    <w:rsid w:val="004010DD"/>
    <w:rsid w:val="004012F9"/>
    <w:rsid w:val="004018A8"/>
    <w:rsid w:val="00401B83"/>
    <w:rsid w:val="00402AC4"/>
    <w:rsid w:val="00402D2F"/>
    <w:rsid w:val="00402D9A"/>
    <w:rsid w:val="00403904"/>
    <w:rsid w:val="004039A7"/>
    <w:rsid w:val="004044C7"/>
    <w:rsid w:val="00406958"/>
    <w:rsid w:val="00406A98"/>
    <w:rsid w:val="0040728E"/>
    <w:rsid w:val="00407EA8"/>
    <w:rsid w:val="0041088A"/>
    <w:rsid w:val="00410D8B"/>
    <w:rsid w:val="0041121E"/>
    <w:rsid w:val="00412FF7"/>
    <w:rsid w:val="0041320C"/>
    <w:rsid w:val="004139D2"/>
    <w:rsid w:val="00414C4A"/>
    <w:rsid w:val="00415F12"/>
    <w:rsid w:val="00416C85"/>
    <w:rsid w:val="00420BC5"/>
    <w:rsid w:val="004258D7"/>
    <w:rsid w:val="004258F0"/>
    <w:rsid w:val="00427014"/>
    <w:rsid w:val="00427898"/>
    <w:rsid w:val="0043035F"/>
    <w:rsid w:val="00430407"/>
    <w:rsid w:val="00431152"/>
    <w:rsid w:val="0043169A"/>
    <w:rsid w:val="00432CCA"/>
    <w:rsid w:val="00433A2F"/>
    <w:rsid w:val="00434821"/>
    <w:rsid w:val="004366F2"/>
    <w:rsid w:val="00437A03"/>
    <w:rsid w:val="0044017F"/>
    <w:rsid w:val="00440246"/>
    <w:rsid w:val="00442F3F"/>
    <w:rsid w:val="00443B1B"/>
    <w:rsid w:val="0044505E"/>
    <w:rsid w:val="004469D9"/>
    <w:rsid w:val="00447030"/>
    <w:rsid w:val="00450CE0"/>
    <w:rsid w:val="00451835"/>
    <w:rsid w:val="00455B86"/>
    <w:rsid w:val="00455F3D"/>
    <w:rsid w:val="00461523"/>
    <w:rsid w:val="0046238E"/>
    <w:rsid w:val="004624E6"/>
    <w:rsid w:val="00463CC8"/>
    <w:rsid w:val="00464ABF"/>
    <w:rsid w:val="00464ED8"/>
    <w:rsid w:val="00465692"/>
    <w:rsid w:val="0046721B"/>
    <w:rsid w:val="0046730B"/>
    <w:rsid w:val="00467E2C"/>
    <w:rsid w:val="00470D1B"/>
    <w:rsid w:val="00471647"/>
    <w:rsid w:val="00471924"/>
    <w:rsid w:val="00472306"/>
    <w:rsid w:val="00472AD8"/>
    <w:rsid w:val="00473788"/>
    <w:rsid w:val="004745A8"/>
    <w:rsid w:val="00475223"/>
    <w:rsid w:val="00475EE7"/>
    <w:rsid w:val="00476B19"/>
    <w:rsid w:val="0048012C"/>
    <w:rsid w:val="0048066A"/>
    <w:rsid w:val="00481441"/>
    <w:rsid w:val="004819CE"/>
    <w:rsid w:val="00482426"/>
    <w:rsid w:val="00483017"/>
    <w:rsid w:val="0048377E"/>
    <w:rsid w:val="004840B7"/>
    <w:rsid w:val="00484C9E"/>
    <w:rsid w:val="00486092"/>
    <w:rsid w:val="004861B3"/>
    <w:rsid w:val="004869A8"/>
    <w:rsid w:val="00486FAF"/>
    <w:rsid w:val="004875F3"/>
    <w:rsid w:val="0048765C"/>
    <w:rsid w:val="00490913"/>
    <w:rsid w:val="00492083"/>
    <w:rsid w:val="0049447D"/>
    <w:rsid w:val="004948DC"/>
    <w:rsid w:val="0049500D"/>
    <w:rsid w:val="00495B44"/>
    <w:rsid w:val="004A2959"/>
    <w:rsid w:val="004A2A54"/>
    <w:rsid w:val="004A31B7"/>
    <w:rsid w:val="004A33E6"/>
    <w:rsid w:val="004A3743"/>
    <w:rsid w:val="004A452D"/>
    <w:rsid w:val="004A512B"/>
    <w:rsid w:val="004A5DF9"/>
    <w:rsid w:val="004A5F65"/>
    <w:rsid w:val="004B0620"/>
    <w:rsid w:val="004B12DA"/>
    <w:rsid w:val="004B4468"/>
    <w:rsid w:val="004B6B8C"/>
    <w:rsid w:val="004B6C02"/>
    <w:rsid w:val="004B6C9F"/>
    <w:rsid w:val="004B705B"/>
    <w:rsid w:val="004B7D5E"/>
    <w:rsid w:val="004C2330"/>
    <w:rsid w:val="004C425A"/>
    <w:rsid w:val="004C4490"/>
    <w:rsid w:val="004C4CD5"/>
    <w:rsid w:val="004C5503"/>
    <w:rsid w:val="004C5E59"/>
    <w:rsid w:val="004C6094"/>
    <w:rsid w:val="004D0006"/>
    <w:rsid w:val="004D275C"/>
    <w:rsid w:val="004D2ED1"/>
    <w:rsid w:val="004D33DB"/>
    <w:rsid w:val="004D4B78"/>
    <w:rsid w:val="004D68C8"/>
    <w:rsid w:val="004D6E06"/>
    <w:rsid w:val="004D783C"/>
    <w:rsid w:val="004E19E4"/>
    <w:rsid w:val="004E2D00"/>
    <w:rsid w:val="004E35A8"/>
    <w:rsid w:val="004E44EF"/>
    <w:rsid w:val="004E46F3"/>
    <w:rsid w:val="004E51C4"/>
    <w:rsid w:val="004E5BE9"/>
    <w:rsid w:val="004E6A51"/>
    <w:rsid w:val="004E6BE8"/>
    <w:rsid w:val="004E78F8"/>
    <w:rsid w:val="004F0700"/>
    <w:rsid w:val="004F12BB"/>
    <w:rsid w:val="004F14E9"/>
    <w:rsid w:val="004F1A40"/>
    <w:rsid w:val="004F2984"/>
    <w:rsid w:val="004F2DC4"/>
    <w:rsid w:val="004F3482"/>
    <w:rsid w:val="004F41AB"/>
    <w:rsid w:val="004F5493"/>
    <w:rsid w:val="004F6631"/>
    <w:rsid w:val="004F6853"/>
    <w:rsid w:val="004F691C"/>
    <w:rsid w:val="004F7A29"/>
    <w:rsid w:val="00500B10"/>
    <w:rsid w:val="005021D0"/>
    <w:rsid w:val="005069DB"/>
    <w:rsid w:val="00507A0F"/>
    <w:rsid w:val="0051038F"/>
    <w:rsid w:val="005105B2"/>
    <w:rsid w:val="00511802"/>
    <w:rsid w:val="00512E29"/>
    <w:rsid w:val="00513790"/>
    <w:rsid w:val="00514881"/>
    <w:rsid w:val="00516FC6"/>
    <w:rsid w:val="005204F2"/>
    <w:rsid w:val="005207DC"/>
    <w:rsid w:val="005227CA"/>
    <w:rsid w:val="00522B34"/>
    <w:rsid w:val="005238DD"/>
    <w:rsid w:val="00523B4D"/>
    <w:rsid w:val="00523DB2"/>
    <w:rsid w:val="0052537A"/>
    <w:rsid w:val="0052557E"/>
    <w:rsid w:val="00530766"/>
    <w:rsid w:val="00530A88"/>
    <w:rsid w:val="00532E12"/>
    <w:rsid w:val="00535083"/>
    <w:rsid w:val="00536042"/>
    <w:rsid w:val="00541589"/>
    <w:rsid w:val="00541B3B"/>
    <w:rsid w:val="00542048"/>
    <w:rsid w:val="005432DD"/>
    <w:rsid w:val="00544EA6"/>
    <w:rsid w:val="00545930"/>
    <w:rsid w:val="00545C04"/>
    <w:rsid w:val="005506CE"/>
    <w:rsid w:val="005513C4"/>
    <w:rsid w:val="00551686"/>
    <w:rsid w:val="00551C14"/>
    <w:rsid w:val="0055376E"/>
    <w:rsid w:val="00553C7D"/>
    <w:rsid w:val="00553F73"/>
    <w:rsid w:val="00556627"/>
    <w:rsid w:val="00557112"/>
    <w:rsid w:val="00557EC6"/>
    <w:rsid w:val="00560639"/>
    <w:rsid w:val="005609B5"/>
    <w:rsid w:val="00561A84"/>
    <w:rsid w:val="00562E9F"/>
    <w:rsid w:val="00562ED5"/>
    <w:rsid w:val="005631F2"/>
    <w:rsid w:val="005639FE"/>
    <w:rsid w:val="00563F49"/>
    <w:rsid w:val="005648E3"/>
    <w:rsid w:val="00564B2F"/>
    <w:rsid w:val="0056657A"/>
    <w:rsid w:val="00566905"/>
    <w:rsid w:val="00566E34"/>
    <w:rsid w:val="005675C1"/>
    <w:rsid w:val="00570722"/>
    <w:rsid w:val="0057130D"/>
    <w:rsid w:val="00571908"/>
    <w:rsid w:val="00572DF9"/>
    <w:rsid w:val="005730AC"/>
    <w:rsid w:val="005732E1"/>
    <w:rsid w:val="005756D4"/>
    <w:rsid w:val="00577EDE"/>
    <w:rsid w:val="00580FCC"/>
    <w:rsid w:val="005814A7"/>
    <w:rsid w:val="005814C7"/>
    <w:rsid w:val="00582218"/>
    <w:rsid w:val="00582799"/>
    <w:rsid w:val="00582F29"/>
    <w:rsid w:val="0058339D"/>
    <w:rsid w:val="005838A3"/>
    <w:rsid w:val="00584B3F"/>
    <w:rsid w:val="0058622F"/>
    <w:rsid w:val="00586AAC"/>
    <w:rsid w:val="0058751C"/>
    <w:rsid w:val="005875B0"/>
    <w:rsid w:val="00591042"/>
    <w:rsid w:val="0059144E"/>
    <w:rsid w:val="00592473"/>
    <w:rsid w:val="005926D8"/>
    <w:rsid w:val="00592716"/>
    <w:rsid w:val="00593690"/>
    <w:rsid w:val="005939C1"/>
    <w:rsid w:val="00593D02"/>
    <w:rsid w:val="00594F83"/>
    <w:rsid w:val="00596A82"/>
    <w:rsid w:val="005A010D"/>
    <w:rsid w:val="005A0201"/>
    <w:rsid w:val="005A034E"/>
    <w:rsid w:val="005A078C"/>
    <w:rsid w:val="005A0FB2"/>
    <w:rsid w:val="005A2698"/>
    <w:rsid w:val="005A2A0B"/>
    <w:rsid w:val="005A395C"/>
    <w:rsid w:val="005A3D57"/>
    <w:rsid w:val="005A412C"/>
    <w:rsid w:val="005A5435"/>
    <w:rsid w:val="005A5E72"/>
    <w:rsid w:val="005A6D36"/>
    <w:rsid w:val="005B020E"/>
    <w:rsid w:val="005B04AB"/>
    <w:rsid w:val="005B0A8D"/>
    <w:rsid w:val="005B0C5E"/>
    <w:rsid w:val="005B2BAD"/>
    <w:rsid w:val="005B2F5B"/>
    <w:rsid w:val="005B326B"/>
    <w:rsid w:val="005B4B85"/>
    <w:rsid w:val="005B4B8E"/>
    <w:rsid w:val="005B53EC"/>
    <w:rsid w:val="005B581E"/>
    <w:rsid w:val="005B677A"/>
    <w:rsid w:val="005B781F"/>
    <w:rsid w:val="005C017C"/>
    <w:rsid w:val="005C303C"/>
    <w:rsid w:val="005C3080"/>
    <w:rsid w:val="005C36F7"/>
    <w:rsid w:val="005C3929"/>
    <w:rsid w:val="005C42F9"/>
    <w:rsid w:val="005C5A79"/>
    <w:rsid w:val="005C78EA"/>
    <w:rsid w:val="005D1906"/>
    <w:rsid w:val="005D1B40"/>
    <w:rsid w:val="005D331A"/>
    <w:rsid w:val="005D3B31"/>
    <w:rsid w:val="005D4A2B"/>
    <w:rsid w:val="005E0BA4"/>
    <w:rsid w:val="005E0D77"/>
    <w:rsid w:val="005E1F0F"/>
    <w:rsid w:val="005E1F7E"/>
    <w:rsid w:val="005E2645"/>
    <w:rsid w:val="005E40A8"/>
    <w:rsid w:val="005E48E8"/>
    <w:rsid w:val="005E507D"/>
    <w:rsid w:val="005E6879"/>
    <w:rsid w:val="005E7764"/>
    <w:rsid w:val="005F06DC"/>
    <w:rsid w:val="005F07F7"/>
    <w:rsid w:val="005F45E6"/>
    <w:rsid w:val="005F4666"/>
    <w:rsid w:val="005F6C76"/>
    <w:rsid w:val="005F7F35"/>
    <w:rsid w:val="00600320"/>
    <w:rsid w:val="0060050B"/>
    <w:rsid w:val="006005B5"/>
    <w:rsid w:val="00600796"/>
    <w:rsid w:val="00600AAB"/>
    <w:rsid w:val="00601607"/>
    <w:rsid w:val="00602C81"/>
    <w:rsid w:val="00607BA5"/>
    <w:rsid w:val="0061012C"/>
    <w:rsid w:val="00610FA9"/>
    <w:rsid w:val="00610FD5"/>
    <w:rsid w:val="00611246"/>
    <w:rsid w:val="00611426"/>
    <w:rsid w:val="00612A4E"/>
    <w:rsid w:val="00615B38"/>
    <w:rsid w:val="00616A45"/>
    <w:rsid w:val="0062216A"/>
    <w:rsid w:val="006221E1"/>
    <w:rsid w:val="0062412A"/>
    <w:rsid w:val="0062430E"/>
    <w:rsid w:val="006260F9"/>
    <w:rsid w:val="00626920"/>
    <w:rsid w:val="00626C02"/>
    <w:rsid w:val="00627222"/>
    <w:rsid w:val="00627BAB"/>
    <w:rsid w:val="00630761"/>
    <w:rsid w:val="00631285"/>
    <w:rsid w:val="00640624"/>
    <w:rsid w:val="00641D8F"/>
    <w:rsid w:val="00643932"/>
    <w:rsid w:val="00643B89"/>
    <w:rsid w:val="00644214"/>
    <w:rsid w:val="00644627"/>
    <w:rsid w:val="006462E8"/>
    <w:rsid w:val="00647224"/>
    <w:rsid w:val="00647404"/>
    <w:rsid w:val="00647B75"/>
    <w:rsid w:val="00651397"/>
    <w:rsid w:val="00651AB9"/>
    <w:rsid w:val="006529BB"/>
    <w:rsid w:val="00653116"/>
    <w:rsid w:val="00653CC5"/>
    <w:rsid w:val="00654337"/>
    <w:rsid w:val="00654E54"/>
    <w:rsid w:val="00655988"/>
    <w:rsid w:val="00657447"/>
    <w:rsid w:val="00657F80"/>
    <w:rsid w:val="006607F1"/>
    <w:rsid w:val="006619CE"/>
    <w:rsid w:val="00661FFE"/>
    <w:rsid w:val="006632CB"/>
    <w:rsid w:val="00663DD5"/>
    <w:rsid w:val="0066696A"/>
    <w:rsid w:val="00666A94"/>
    <w:rsid w:val="006673DC"/>
    <w:rsid w:val="00667416"/>
    <w:rsid w:val="00671D5A"/>
    <w:rsid w:val="0067406F"/>
    <w:rsid w:val="00676259"/>
    <w:rsid w:val="0067707E"/>
    <w:rsid w:val="00677B21"/>
    <w:rsid w:val="00677B7E"/>
    <w:rsid w:val="0068016B"/>
    <w:rsid w:val="00681475"/>
    <w:rsid w:val="00681759"/>
    <w:rsid w:val="00682E9B"/>
    <w:rsid w:val="00683D40"/>
    <w:rsid w:val="00683FA3"/>
    <w:rsid w:val="00685771"/>
    <w:rsid w:val="006866E9"/>
    <w:rsid w:val="00686CED"/>
    <w:rsid w:val="006876E5"/>
    <w:rsid w:val="00687938"/>
    <w:rsid w:val="0069031B"/>
    <w:rsid w:val="0069130E"/>
    <w:rsid w:val="00692EB0"/>
    <w:rsid w:val="006939B2"/>
    <w:rsid w:val="006946F4"/>
    <w:rsid w:val="00694D7C"/>
    <w:rsid w:val="00694E3C"/>
    <w:rsid w:val="00695748"/>
    <w:rsid w:val="00696BC0"/>
    <w:rsid w:val="006979B9"/>
    <w:rsid w:val="006A0908"/>
    <w:rsid w:val="006A18EC"/>
    <w:rsid w:val="006A1F25"/>
    <w:rsid w:val="006A2990"/>
    <w:rsid w:val="006A4188"/>
    <w:rsid w:val="006A75DA"/>
    <w:rsid w:val="006B020C"/>
    <w:rsid w:val="006B1133"/>
    <w:rsid w:val="006B18DC"/>
    <w:rsid w:val="006B1AFE"/>
    <w:rsid w:val="006B2013"/>
    <w:rsid w:val="006B22F7"/>
    <w:rsid w:val="006B2ADD"/>
    <w:rsid w:val="006B2BA6"/>
    <w:rsid w:val="006B3A22"/>
    <w:rsid w:val="006B409E"/>
    <w:rsid w:val="006B4B90"/>
    <w:rsid w:val="006B5E92"/>
    <w:rsid w:val="006B62E4"/>
    <w:rsid w:val="006B7AA9"/>
    <w:rsid w:val="006C10AF"/>
    <w:rsid w:val="006C1E67"/>
    <w:rsid w:val="006C2122"/>
    <w:rsid w:val="006C242E"/>
    <w:rsid w:val="006C277B"/>
    <w:rsid w:val="006C2D24"/>
    <w:rsid w:val="006C3F7A"/>
    <w:rsid w:val="006C5334"/>
    <w:rsid w:val="006C609D"/>
    <w:rsid w:val="006C6FB4"/>
    <w:rsid w:val="006C7EDD"/>
    <w:rsid w:val="006D0959"/>
    <w:rsid w:val="006D0A5E"/>
    <w:rsid w:val="006D1743"/>
    <w:rsid w:val="006D2162"/>
    <w:rsid w:val="006D3F7C"/>
    <w:rsid w:val="006D5357"/>
    <w:rsid w:val="006D5615"/>
    <w:rsid w:val="006D5FFE"/>
    <w:rsid w:val="006D678C"/>
    <w:rsid w:val="006D71EF"/>
    <w:rsid w:val="006D766F"/>
    <w:rsid w:val="006D76D5"/>
    <w:rsid w:val="006D7B2A"/>
    <w:rsid w:val="006E04C9"/>
    <w:rsid w:val="006E083A"/>
    <w:rsid w:val="006E084B"/>
    <w:rsid w:val="006E2975"/>
    <w:rsid w:val="006E2D27"/>
    <w:rsid w:val="006E57E2"/>
    <w:rsid w:val="006E5B39"/>
    <w:rsid w:val="006E6856"/>
    <w:rsid w:val="006E7C85"/>
    <w:rsid w:val="006E7D88"/>
    <w:rsid w:val="006F00FD"/>
    <w:rsid w:val="006F1463"/>
    <w:rsid w:val="006F1D98"/>
    <w:rsid w:val="006F25B6"/>
    <w:rsid w:val="006F28C9"/>
    <w:rsid w:val="006F36DD"/>
    <w:rsid w:val="006F4ACA"/>
    <w:rsid w:val="006F4BD6"/>
    <w:rsid w:val="006F4CCE"/>
    <w:rsid w:val="006F5B76"/>
    <w:rsid w:val="006F6225"/>
    <w:rsid w:val="006F77D8"/>
    <w:rsid w:val="007006D0"/>
    <w:rsid w:val="00700788"/>
    <w:rsid w:val="00701D26"/>
    <w:rsid w:val="00702325"/>
    <w:rsid w:val="00702356"/>
    <w:rsid w:val="0070385A"/>
    <w:rsid w:val="00705BED"/>
    <w:rsid w:val="00707298"/>
    <w:rsid w:val="00710C39"/>
    <w:rsid w:val="00711AFD"/>
    <w:rsid w:val="007156B9"/>
    <w:rsid w:val="00720084"/>
    <w:rsid w:val="00720491"/>
    <w:rsid w:val="00721C01"/>
    <w:rsid w:val="007223E2"/>
    <w:rsid w:val="00724717"/>
    <w:rsid w:val="0072489B"/>
    <w:rsid w:val="00724BE8"/>
    <w:rsid w:val="00724D6E"/>
    <w:rsid w:val="00725094"/>
    <w:rsid w:val="00725B23"/>
    <w:rsid w:val="007268BD"/>
    <w:rsid w:val="00726ABF"/>
    <w:rsid w:val="00726B91"/>
    <w:rsid w:val="007278EB"/>
    <w:rsid w:val="00730709"/>
    <w:rsid w:val="00731D62"/>
    <w:rsid w:val="00732203"/>
    <w:rsid w:val="00732993"/>
    <w:rsid w:val="00735486"/>
    <w:rsid w:val="00740419"/>
    <w:rsid w:val="00740DD8"/>
    <w:rsid w:val="00741054"/>
    <w:rsid w:val="00742177"/>
    <w:rsid w:val="00743606"/>
    <w:rsid w:val="0074428F"/>
    <w:rsid w:val="00745D34"/>
    <w:rsid w:val="00745FAA"/>
    <w:rsid w:val="00746DA9"/>
    <w:rsid w:val="007525A3"/>
    <w:rsid w:val="0075285A"/>
    <w:rsid w:val="00753447"/>
    <w:rsid w:val="007542A2"/>
    <w:rsid w:val="0075467F"/>
    <w:rsid w:val="00755081"/>
    <w:rsid w:val="007555DA"/>
    <w:rsid w:val="00755658"/>
    <w:rsid w:val="00755CAD"/>
    <w:rsid w:val="00755D42"/>
    <w:rsid w:val="00755D60"/>
    <w:rsid w:val="007565D6"/>
    <w:rsid w:val="0076194D"/>
    <w:rsid w:val="007623BF"/>
    <w:rsid w:val="007628DF"/>
    <w:rsid w:val="00762EFC"/>
    <w:rsid w:val="00764413"/>
    <w:rsid w:val="00764753"/>
    <w:rsid w:val="00764795"/>
    <w:rsid w:val="00765772"/>
    <w:rsid w:val="00765C60"/>
    <w:rsid w:val="00766956"/>
    <w:rsid w:val="00766C89"/>
    <w:rsid w:val="007702EF"/>
    <w:rsid w:val="00770774"/>
    <w:rsid w:val="00770D90"/>
    <w:rsid w:val="00771CDB"/>
    <w:rsid w:val="00774DF6"/>
    <w:rsid w:val="0077516B"/>
    <w:rsid w:val="00775D6C"/>
    <w:rsid w:val="00775DD7"/>
    <w:rsid w:val="00776115"/>
    <w:rsid w:val="0077611B"/>
    <w:rsid w:val="007762DF"/>
    <w:rsid w:val="00776A76"/>
    <w:rsid w:val="00777A95"/>
    <w:rsid w:val="0078046E"/>
    <w:rsid w:val="0078065C"/>
    <w:rsid w:val="00782D66"/>
    <w:rsid w:val="007838D3"/>
    <w:rsid w:val="00783F55"/>
    <w:rsid w:val="00785C33"/>
    <w:rsid w:val="007900E1"/>
    <w:rsid w:val="00790D63"/>
    <w:rsid w:val="00792AFF"/>
    <w:rsid w:val="00792B46"/>
    <w:rsid w:val="00794A1D"/>
    <w:rsid w:val="0079670F"/>
    <w:rsid w:val="00797064"/>
    <w:rsid w:val="0079769D"/>
    <w:rsid w:val="007A133E"/>
    <w:rsid w:val="007A139C"/>
    <w:rsid w:val="007A189C"/>
    <w:rsid w:val="007A26E9"/>
    <w:rsid w:val="007A2A4C"/>
    <w:rsid w:val="007A5A25"/>
    <w:rsid w:val="007A62CE"/>
    <w:rsid w:val="007A69B1"/>
    <w:rsid w:val="007B0655"/>
    <w:rsid w:val="007B1820"/>
    <w:rsid w:val="007B32AA"/>
    <w:rsid w:val="007B4CB6"/>
    <w:rsid w:val="007B6442"/>
    <w:rsid w:val="007B7C03"/>
    <w:rsid w:val="007C031A"/>
    <w:rsid w:val="007C09D3"/>
    <w:rsid w:val="007C1B1F"/>
    <w:rsid w:val="007C2336"/>
    <w:rsid w:val="007C34D2"/>
    <w:rsid w:val="007C381D"/>
    <w:rsid w:val="007C3FBA"/>
    <w:rsid w:val="007C57FD"/>
    <w:rsid w:val="007C625A"/>
    <w:rsid w:val="007D0B8B"/>
    <w:rsid w:val="007D1486"/>
    <w:rsid w:val="007D2461"/>
    <w:rsid w:val="007D2C84"/>
    <w:rsid w:val="007D3F8A"/>
    <w:rsid w:val="007D5780"/>
    <w:rsid w:val="007D6612"/>
    <w:rsid w:val="007D6F8B"/>
    <w:rsid w:val="007D7D2C"/>
    <w:rsid w:val="007D7E23"/>
    <w:rsid w:val="007E2792"/>
    <w:rsid w:val="007E39DD"/>
    <w:rsid w:val="007E51EB"/>
    <w:rsid w:val="007E56F0"/>
    <w:rsid w:val="007E6D38"/>
    <w:rsid w:val="007E7B54"/>
    <w:rsid w:val="007F028C"/>
    <w:rsid w:val="007F147A"/>
    <w:rsid w:val="007F32E6"/>
    <w:rsid w:val="007F3ED4"/>
    <w:rsid w:val="007F46B1"/>
    <w:rsid w:val="007F4CA0"/>
    <w:rsid w:val="007F717B"/>
    <w:rsid w:val="00800C3C"/>
    <w:rsid w:val="00801817"/>
    <w:rsid w:val="00801D06"/>
    <w:rsid w:val="00802909"/>
    <w:rsid w:val="008031BC"/>
    <w:rsid w:val="0080672D"/>
    <w:rsid w:val="00806E08"/>
    <w:rsid w:val="008075B2"/>
    <w:rsid w:val="00807DBD"/>
    <w:rsid w:val="00811D0A"/>
    <w:rsid w:val="008134C4"/>
    <w:rsid w:val="00813876"/>
    <w:rsid w:val="00815580"/>
    <w:rsid w:val="0081662E"/>
    <w:rsid w:val="00816B3A"/>
    <w:rsid w:val="00817276"/>
    <w:rsid w:val="00817CD0"/>
    <w:rsid w:val="00817FED"/>
    <w:rsid w:val="0082054B"/>
    <w:rsid w:val="00821384"/>
    <w:rsid w:val="00822332"/>
    <w:rsid w:val="00824EAA"/>
    <w:rsid w:val="008257E2"/>
    <w:rsid w:val="00826344"/>
    <w:rsid w:val="00826A1C"/>
    <w:rsid w:val="0082723A"/>
    <w:rsid w:val="00830A29"/>
    <w:rsid w:val="00831B96"/>
    <w:rsid w:val="008339EF"/>
    <w:rsid w:val="00834D6D"/>
    <w:rsid w:val="00835881"/>
    <w:rsid w:val="008374A7"/>
    <w:rsid w:val="00841778"/>
    <w:rsid w:val="00841F3C"/>
    <w:rsid w:val="008426B7"/>
    <w:rsid w:val="00842D11"/>
    <w:rsid w:val="00843ADE"/>
    <w:rsid w:val="0084417D"/>
    <w:rsid w:val="008462E0"/>
    <w:rsid w:val="00847BDA"/>
    <w:rsid w:val="00847E23"/>
    <w:rsid w:val="00850121"/>
    <w:rsid w:val="00850246"/>
    <w:rsid w:val="00853580"/>
    <w:rsid w:val="00855DE9"/>
    <w:rsid w:val="00855F95"/>
    <w:rsid w:val="00856BD6"/>
    <w:rsid w:val="00857910"/>
    <w:rsid w:val="0086061D"/>
    <w:rsid w:val="00860A8D"/>
    <w:rsid w:val="00861E7F"/>
    <w:rsid w:val="00862837"/>
    <w:rsid w:val="00862BDA"/>
    <w:rsid w:val="00863D1A"/>
    <w:rsid w:val="008640ED"/>
    <w:rsid w:val="0086549F"/>
    <w:rsid w:val="00870023"/>
    <w:rsid w:val="008707AD"/>
    <w:rsid w:val="00870CC8"/>
    <w:rsid w:val="00871489"/>
    <w:rsid w:val="00871BB4"/>
    <w:rsid w:val="00871DC8"/>
    <w:rsid w:val="00871F15"/>
    <w:rsid w:val="00872BA8"/>
    <w:rsid w:val="00882553"/>
    <w:rsid w:val="0088305A"/>
    <w:rsid w:val="008851C3"/>
    <w:rsid w:val="00887545"/>
    <w:rsid w:val="00887B89"/>
    <w:rsid w:val="00890152"/>
    <w:rsid w:val="00891091"/>
    <w:rsid w:val="0089189E"/>
    <w:rsid w:val="00892C64"/>
    <w:rsid w:val="008932FA"/>
    <w:rsid w:val="008936DF"/>
    <w:rsid w:val="00896E6F"/>
    <w:rsid w:val="00897DFF"/>
    <w:rsid w:val="00897E86"/>
    <w:rsid w:val="008A02A1"/>
    <w:rsid w:val="008A097E"/>
    <w:rsid w:val="008A0D84"/>
    <w:rsid w:val="008A1609"/>
    <w:rsid w:val="008A22BF"/>
    <w:rsid w:val="008A24B3"/>
    <w:rsid w:val="008A32E9"/>
    <w:rsid w:val="008A350D"/>
    <w:rsid w:val="008A3744"/>
    <w:rsid w:val="008A4DFB"/>
    <w:rsid w:val="008A6E09"/>
    <w:rsid w:val="008A7C56"/>
    <w:rsid w:val="008B2787"/>
    <w:rsid w:val="008B3D16"/>
    <w:rsid w:val="008B3F46"/>
    <w:rsid w:val="008B4521"/>
    <w:rsid w:val="008B45C1"/>
    <w:rsid w:val="008B543B"/>
    <w:rsid w:val="008B5E8D"/>
    <w:rsid w:val="008B68EC"/>
    <w:rsid w:val="008B79FF"/>
    <w:rsid w:val="008C04EA"/>
    <w:rsid w:val="008C078F"/>
    <w:rsid w:val="008C1175"/>
    <w:rsid w:val="008C191E"/>
    <w:rsid w:val="008C1F56"/>
    <w:rsid w:val="008C24E3"/>
    <w:rsid w:val="008C35E2"/>
    <w:rsid w:val="008C4219"/>
    <w:rsid w:val="008C4A84"/>
    <w:rsid w:val="008C57E7"/>
    <w:rsid w:val="008C6B5C"/>
    <w:rsid w:val="008C6EF9"/>
    <w:rsid w:val="008C7D98"/>
    <w:rsid w:val="008C7DCE"/>
    <w:rsid w:val="008D0427"/>
    <w:rsid w:val="008D090A"/>
    <w:rsid w:val="008D0A67"/>
    <w:rsid w:val="008D286E"/>
    <w:rsid w:val="008D37C1"/>
    <w:rsid w:val="008D4A99"/>
    <w:rsid w:val="008D5B1E"/>
    <w:rsid w:val="008D7E10"/>
    <w:rsid w:val="008E0E81"/>
    <w:rsid w:val="008E1607"/>
    <w:rsid w:val="008E1963"/>
    <w:rsid w:val="008E1BD3"/>
    <w:rsid w:val="008E20E3"/>
    <w:rsid w:val="008E24E3"/>
    <w:rsid w:val="008E26D0"/>
    <w:rsid w:val="008E28F8"/>
    <w:rsid w:val="008E2A16"/>
    <w:rsid w:val="008E2AD5"/>
    <w:rsid w:val="008E2C46"/>
    <w:rsid w:val="008E2E31"/>
    <w:rsid w:val="008E4FDF"/>
    <w:rsid w:val="008E5356"/>
    <w:rsid w:val="008E581E"/>
    <w:rsid w:val="008E6392"/>
    <w:rsid w:val="008E6E65"/>
    <w:rsid w:val="008F01A1"/>
    <w:rsid w:val="008F1041"/>
    <w:rsid w:val="008F10C5"/>
    <w:rsid w:val="008F2CF7"/>
    <w:rsid w:val="008F3065"/>
    <w:rsid w:val="008F30CA"/>
    <w:rsid w:val="008F3BA1"/>
    <w:rsid w:val="008F4451"/>
    <w:rsid w:val="008F4913"/>
    <w:rsid w:val="008F4D7A"/>
    <w:rsid w:val="008F6B7B"/>
    <w:rsid w:val="008F723E"/>
    <w:rsid w:val="00900BA7"/>
    <w:rsid w:val="009011C8"/>
    <w:rsid w:val="009019B1"/>
    <w:rsid w:val="0090321D"/>
    <w:rsid w:val="00903387"/>
    <w:rsid w:val="00903587"/>
    <w:rsid w:val="0090370E"/>
    <w:rsid w:val="00904E2B"/>
    <w:rsid w:val="009051D6"/>
    <w:rsid w:val="0090566F"/>
    <w:rsid w:val="00907517"/>
    <w:rsid w:val="00911A0B"/>
    <w:rsid w:val="00911CD2"/>
    <w:rsid w:val="00913263"/>
    <w:rsid w:val="00915F7A"/>
    <w:rsid w:val="00916891"/>
    <w:rsid w:val="00916D7A"/>
    <w:rsid w:val="00917279"/>
    <w:rsid w:val="00917443"/>
    <w:rsid w:val="009207B2"/>
    <w:rsid w:val="00923899"/>
    <w:rsid w:val="00923DDC"/>
    <w:rsid w:val="00923ECF"/>
    <w:rsid w:val="00925BAE"/>
    <w:rsid w:val="00925CC0"/>
    <w:rsid w:val="0092699A"/>
    <w:rsid w:val="00926EEB"/>
    <w:rsid w:val="0092734D"/>
    <w:rsid w:val="00930280"/>
    <w:rsid w:val="009310EA"/>
    <w:rsid w:val="009311D4"/>
    <w:rsid w:val="009320C4"/>
    <w:rsid w:val="00932AD1"/>
    <w:rsid w:val="00932F00"/>
    <w:rsid w:val="00934B89"/>
    <w:rsid w:val="0094105A"/>
    <w:rsid w:val="00942507"/>
    <w:rsid w:val="00942807"/>
    <w:rsid w:val="00943071"/>
    <w:rsid w:val="00944276"/>
    <w:rsid w:val="00944E4D"/>
    <w:rsid w:val="009472EC"/>
    <w:rsid w:val="0094742F"/>
    <w:rsid w:val="009478A7"/>
    <w:rsid w:val="00950033"/>
    <w:rsid w:val="00950B0A"/>
    <w:rsid w:val="00951022"/>
    <w:rsid w:val="00952025"/>
    <w:rsid w:val="00952A0A"/>
    <w:rsid w:val="00952C11"/>
    <w:rsid w:val="00953390"/>
    <w:rsid w:val="00953BAB"/>
    <w:rsid w:val="00953FDC"/>
    <w:rsid w:val="00954FD8"/>
    <w:rsid w:val="009556F7"/>
    <w:rsid w:val="00955F9F"/>
    <w:rsid w:val="009560C4"/>
    <w:rsid w:val="00957043"/>
    <w:rsid w:val="0096066A"/>
    <w:rsid w:val="00961448"/>
    <w:rsid w:val="0096163F"/>
    <w:rsid w:val="00962E1E"/>
    <w:rsid w:val="00965B9B"/>
    <w:rsid w:val="00967369"/>
    <w:rsid w:val="009678C6"/>
    <w:rsid w:val="0097115C"/>
    <w:rsid w:val="00971B16"/>
    <w:rsid w:val="009723CA"/>
    <w:rsid w:val="009731B3"/>
    <w:rsid w:val="0097794C"/>
    <w:rsid w:val="00977F14"/>
    <w:rsid w:val="009811C0"/>
    <w:rsid w:val="00982B74"/>
    <w:rsid w:val="00985005"/>
    <w:rsid w:val="00985E66"/>
    <w:rsid w:val="00987E25"/>
    <w:rsid w:val="00990024"/>
    <w:rsid w:val="00991105"/>
    <w:rsid w:val="00991135"/>
    <w:rsid w:val="00991BA8"/>
    <w:rsid w:val="00992406"/>
    <w:rsid w:val="0099269E"/>
    <w:rsid w:val="009944E4"/>
    <w:rsid w:val="00994CBE"/>
    <w:rsid w:val="00994F95"/>
    <w:rsid w:val="009961D6"/>
    <w:rsid w:val="00996FB6"/>
    <w:rsid w:val="009A05B5"/>
    <w:rsid w:val="009A1811"/>
    <w:rsid w:val="009A41D1"/>
    <w:rsid w:val="009A5718"/>
    <w:rsid w:val="009A6434"/>
    <w:rsid w:val="009A7BDF"/>
    <w:rsid w:val="009B0F13"/>
    <w:rsid w:val="009B1AF2"/>
    <w:rsid w:val="009B301D"/>
    <w:rsid w:val="009B4261"/>
    <w:rsid w:val="009B44AF"/>
    <w:rsid w:val="009B59AC"/>
    <w:rsid w:val="009B6EEA"/>
    <w:rsid w:val="009B72B9"/>
    <w:rsid w:val="009B7E00"/>
    <w:rsid w:val="009C2D19"/>
    <w:rsid w:val="009C2D38"/>
    <w:rsid w:val="009C3CDC"/>
    <w:rsid w:val="009C4B1B"/>
    <w:rsid w:val="009D1947"/>
    <w:rsid w:val="009D25E3"/>
    <w:rsid w:val="009D3CDD"/>
    <w:rsid w:val="009D3FA1"/>
    <w:rsid w:val="009D57CD"/>
    <w:rsid w:val="009D59FF"/>
    <w:rsid w:val="009D5D6F"/>
    <w:rsid w:val="009D7C3F"/>
    <w:rsid w:val="009E0DA6"/>
    <w:rsid w:val="009E1486"/>
    <w:rsid w:val="009E1B16"/>
    <w:rsid w:val="009E1B58"/>
    <w:rsid w:val="009E1BB2"/>
    <w:rsid w:val="009E272D"/>
    <w:rsid w:val="009E430F"/>
    <w:rsid w:val="009E6428"/>
    <w:rsid w:val="009E6ED3"/>
    <w:rsid w:val="009E78FE"/>
    <w:rsid w:val="009F007B"/>
    <w:rsid w:val="009F2347"/>
    <w:rsid w:val="009F3A67"/>
    <w:rsid w:val="009F5296"/>
    <w:rsid w:val="009F6CE9"/>
    <w:rsid w:val="009F729B"/>
    <w:rsid w:val="009F743A"/>
    <w:rsid w:val="009F7A74"/>
    <w:rsid w:val="00A0072F"/>
    <w:rsid w:val="00A02E30"/>
    <w:rsid w:val="00A04465"/>
    <w:rsid w:val="00A05EA2"/>
    <w:rsid w:val="00A0762B"/>
    <w:rsid w:val="00A0795D"/>
    <w:rsid w:val="00A10514"/>
    <w:rsid w:val="00A10AFA"/>
    <w:rsid w:val="00A12584"/>
    <w:rsid w:val="00A12BD7"/>
    <w:rsid w:val="00A139A3"/>
    <w:rsid w:val="00A142BE"/>
    <w:rsid w:val="00A15241"/>
    <w:rsid w:val="00A15BD9"/>
    <w:rsid w:val="00A16667"/>
    <w:rsid w:val="00A17AA6"/>
    <w:rsid w:val="00A21B7C"/>
    <w:rsid w:val="00A21BFE"/>
    <w:rsid w:val="00A21E91"/>
    <w:rsid w:val="00A22A08"/>
    <w:rsid w:val="00A22B26"/>
    <w:rsid w:val="00A2351A"/>
    <w:rsid w:val="00A2353E"/>
    <w:rsid w:val="00A235FA"/>
    <w:rsid w:val="00A24073"/>
    <w:rsid w:val="00A2535C"/>
    <w:rsid w:val="00A260A1"/>
    <w:rsid w:val="00A27F64"/>
    <w:rsid w:val="00A3107D"/>
    <w:rsid w:val="00A3121A"/>
    <w:rsid w:val="00A3163B"/>
    <w:rsid w:val="00A32C16"/>
    <w:rsid w:val="00A33E35"/>
    <w:rsid w:val="00A3453C"/>
    <w:rsid w:val="00A361F9"/>
    <w:rsid w:val="00A37190"/>
    <w:rsid w:val="00A37396"/>
    <w:rsid w:val="00A3758E"/>
    <w:rsid w:val="00A37E70"/>
    <w:rsid w:val="00A401A2"/>
    <w:rsid w:val="00A407F2"/>
    <w:rsid w:val="00A41DF1"/>
    <w:rsid w:val="00A426C9"/>
    <w:rsid w:val="00A43984"/>
    <w:rsid w:val="00A43CCC"/>
    <w:rsid w:val="00A444E1"/>
    <w:rsid w:val="00A452F7"/>
    <w:rsid w:val="00A46D74"/>
    <w:rsid w:val="00A505A1"/>
    <w:rsid w:val="00A507DE"/>
    <w:rsid w:val="00A51B5A"/>
    <w:rsid w:val="00A52169"/>
    <w:rsid w:val="00A524A3"/>
    <w:rsid w:val="00A52963"/>
    <w:rsid w:val="00A54498"/>
    <w:rsid w:val="00A54F85"/>
    <w:rsid w:val="00A550BA"/>
    <w:rsid w:val="00A56749"/>
    <w:rsid w:val="00A573BD"/>
    <w:rsid w:val="00A5742F"/>
    <w:rsid w:val="00A57681"/>
    <w:rsid w:val="00A60184"/>
    <w:rsid w:val="00A6042A"/>
    <w:rsid w:val="00A6325A"/>
    <w:rsid w:val="00A63D88"/>
    <w:rsid w:val="00A6489C"/>
    <w:rsid w:val="00A649FC"/>
    <w:rsid w:val="00A66E9E"/>
    <w:rsid w:val="00A67129"/>
    <w:rsid w:val="00A70B6B"/>
    <w:rsid w:val="00A710AC"/>
    <w:rsid w:val="00A7364E"/>
    <w:rsid w:val="00A746E4"/>
    <w:rsid w:val="00A75CA5"/>
    <w:rsid w:val="00A77CD3"/>
    <w:rsid w:val="00A82805"/>
    <w:rsid w:val="00A83732"/>
    <w:rsid w:val="00A84ACB"/>
    <w:rsid w:val="00A85558"/>
    <w:rsid w:val="00A8592C"/>
    <w:rsid w:val="00A860D8"/>
    <w:rsid w:val="00A874F4"/>
    <w:rsid w:val="00A875BC"/>
    <w:rsid w:val="00A91BBA"/>
    <w:rsid w:val="00A9205D"/>
    <w:rsid w:val="00A92BF6"/>
    <w:rsid w:val="00A9316E"/>
    <w:rsid w:val="00A946CF"/>
    <w:rsid w:val="00A946F8"/>
    <w:rsid w:val="00A9484E"/>
    <w:rsid w:val="00A94C4A"/>
    <w:rsid w:val="00A951F3"/>
    <w:rsid w:val="00A95A56"/>
    <w:rsid w:val="00A9606F"/>
    <w:rsid w:val="00A96757"/>
    <w:rsid w:val="00A97EE6"/>
    <w:rsid w:val="00AA0691"/>
    <w:rsid w:val="00AA2BD1"/>
    <w:rsid w:val="00AA40BD"/>
    <w:rsid w:val="00AA4CB5"/>
    <w:rsid w:val="00AA7DC6"/>
    <w:rsid w:val="00AB18B9"/>
    <w:rsid w:val="00AB2021"/>
    <w:rsid w:val="00AB38CA"/>
    <w:rsid w:val="00AC0D86"/>
    <w:rsid w:val="00AC197F"/>
    <w:rsid w:val="00AC5777"/>
    <w:rsid w:val="00AC5E6E"/>
    <w:rsid w:val="00AC6A43"/>
    <w:rsid w:val="00AC7449"/>
    <w:rsid w:val="00AD19B1"/>
    <w:rsid w:val="00AD2886"/>
    <w:rsid w:val="00AD7248"/>
    <w:rsid w:val="00AD73AF"/>
    <w:rsid w:val="00AD76DD"/>
    <w:rsid w:val="00AD7925"/>
    <w:rsid w:val="00AE0646"/>
    <w:rsid w:val="00AE13A2"/>
    <w:rsid w:val="00AE5542"/>
    <w:rsid w:val="00AE72B2"/>
    <w:rsid w:val="00AF0538"/>
    <w:rsid w:val="00AF0F30"/>
    <w:rsid w:val="00AF133A"/>
    <w:rsid w:val="00AF2F03"/>
    <w:rsid w:val="00AF39AC"/>
    <w:rsid w:val="00AF3E02"/>
    <w:rsid w:val="00AF4B2F"/>
    <w:rsid w:val="00AF50A4"/>
    <w:rsid w:val="00AF5F59"/>
    <w:rsid w:val="00B0141E"/>
    <w:rsid w:val="00B01E4A"/>
    <w:rsid w:val="00B01F67"/>
    <w:rsid w:val="00B01F85"/>
    <w:rsid w:val="00B027AA"/>
    <w:rsid w:val="00B03190"/>
    <w:rsid w:val="00B03295"/>
    <w:rsid w:val="00B03967"/>
    <w:rsid w:val="00B050F9"/>
    <w:rsid w:val="00B07E3E"/>
    <w:rsid w:val="00B10AD4"/>
    <w:rsid w:val="00B11CB7"/>
    <w:rsid w:val="00B120B6"/>
    <w:rsid w:val="00B12360"/>
    <w:rsid w:val="00B12DA7"/>
    <w:rsid w:val="00B13586"/>
    <w:rsid w:val="00B13CFF"/>
    <w:rsid w:val="00B154E7"/>
    <w:rsid w:val="00B16796"/>
    <w:rsid w:val="00B1696A"/>
    <w:rsid w:val="00B16C6F"/>
    <w:rsid w:val="00B175E4"/>
    <w:rsid w:val="00B17952"/>
    <w:rsid w:val="00B20301"/>
    <w:rsid w:val="00B20432"/>
    <w:rsid w:val="00B23893"/>
    <w:rsid w:val="00B243DE"/>
    <w:rsid w:val="00B247C8"/>
    <w:rsid w:val="00B25959"/>
    <w:rsid w:val="00B26283"/>
    <w:rsid w:val="00B305AF"/>
    <w:rsid w:val="00B30B87"/>
    <w:rsid w:val="00B31D85"/>
    <w:rsid w:val="00B32EE7"/>
    <w:rsid w:val="00B34C2A"/>
    <w:rsid w:val="00B37193"/>
    <w:rsid w:val="00B401D6"/>
    <w:rsid w:val="00B402C8"/>
    <w:rsid w:val="00B409E8"/>
    <w:rsid w:val="00B4190A"/>
    <w:rsid w:val="00B41DBB"/>
    <w:rsid w:val="00B42153"/>
    <w:rsid w:val="00B429C7"/>
    <w:rsid w:val="00B4469D"/>
    <w:rsid w:val="00B44A19"/>
    <w:rsid w:val="00B44EBF"/>
    <w:rsid w:val="00B45A10"/>
    <w:rsid w:val="00B472EF"/>
    <w:rsid w:val="00B47B07"/>
    <w:rsid w:val="00B50168"/>
    <w:rsid w:val="00B50468"/>
    <w:rsid w:val="00B5101E"/>
    <w:rsid w:val="00B513C3"/>
    <w:rsid w:val="00B52A59"/>
    <w:rsid w:val="00B5351F"/>
    <w:rsid w:val="00B5356C"/>
    <w:rsid w:val="00B56D0D"/>
    <w:rsid w:val="00B60A26"/>
    <w:rsid w:val="00B61082"/>
    <w:rsid w:val="00B61B50"/>
    <w:rsid w:val="00B622BC"/>
    <w:rsid w:val="00B64D60"/>
    <w:rsid w:val="00B64E05"/>
    <w:rsid w:val="00B6605B"/>
    <w:rsid w:val="00B661B4"/>
    <w:rsid w:val="00B66326"/>
    <w:rsid w:val="00B7079A"/>
    <w:rsid w:val="00B72976"/>
    <w:rsid w:val="00B74503"/>
    <w:rsid w:val="00B7580B"/>
    <w:rsid w:val="00B764E3"/>
    <w:rsid w:val="00B771A0"/>
    <w:rsid w:val="00B77FFD"/>
    <w:rsid w:val="00B80E8A"/>
    <w:rsid w:val="00B8249E"/>
    <w:rsid w:val="00B83980"/>
    <w:rsid w:val="00B84D5D"/>
    <w:rsid w:val="00B863C8"/>
    <w:rsid w:val="00B8676F"/>
    <w:rsid w:val="00B8727C"/>
    <w:rsid w:val="00B877D2"/>
    <w:rsid w:val="00B87870"/>
    <w:rsid w:val="00B90C95"/>
    <w:rsid w:val="00B91653"/>
    <w:rsid w:val="00B92377"/>
    <w:rsid w:val="00B92A3F"/>
    <w:rsid w:val="00B94190"/>
    <w:rsid w:val="00B94460"/>
    <w:rsid w:val="00B94683"/>
    <w:rsid w:val="00B95D1D"/>
    <w:rsid w:val="00B964B0"/>
    <w:rsid w:val="00B96CDF"/>
    <w:rsid w:val="00B97295"/>
    <w:rsid w:val="00BA01CE"/>
    <w:rsid w:val="00BA0401"/>
    <w:rsid w:val="00BA21C8"/>
    <w:rsid w:val="00BA268B"/>
    <w:rsid w:val="00BA422E"/>
    <w:rsid w:val="00BA499B"/>
    <w:rsid w:val="00BA4AA0"/>
    <w:rsid w:val="00BA4D8D"/>
    <w:rsid w:val="00BA5372"/>
    <w:rsid w:val="00BA5FFB"/>
    <w:rsid w:val="00BA6144"/>
    <w:rsid w:val="00BA7087"/>
    <w:rsid w:val="00BA7BC3"/>
    <w:rsid w:val="00BB0040"/>
    <w:rsid w:val="00BB0D03"/>
    <w:rsid w:val="00BB1900"/>
    <w:rsid w:val="00BB1CDF"/>
    <w:rsid w:val="00BB20B7"/>
    <w:rsid w:val="00BB2451"/>
    <w:rsid w:val="00BB3C19"/>
    <w:rsid w:val="00BB3D25"/>
    <w:rsid w:val="00BB428A"/>
    <w:rsid w:val="00BB4975"/>
    <w:rsid w:val="00BB50FC"/>
    <w:rsid w:val="00BB63EF"/>
    <w:rsid w:val="00BB6D2C"/>
    <w:rsid w:val="00BC1677"/>
    <w:rsid w:val="00BC2682"/>
    <w:rsid w:val="00BC2BC3"/>
    <w:rsid w:val="00BC5E0E"/>
    <w:rsid w:val="00BC755B"/>
    <w:rsid w:val="00BD0191"/>
    <w:rsid w:val="00BD08D3"/>
    <w:rsid w:val="00BD0ED4"/>
    <w:rsid w:val="00BD136A"/>
    <w:rsid w:val="00BD16D7"/>
    <w:rsid w:val="00BD2CF2"/>
    <w:rsid w:val="00BD40E6"/>
    <w:rsid w:val="00BD4630"/>
    <w:rsid w:val="00BD4B8B"/>
    <w:rsid w:val="00BD4F63"/>
    <w:rsid w:val="00BD5B6D"/>
    <w:rsid w:val="00BD5F0B"/>
    <w:rsid w:val="00BE127C"/>
    <w:rsid w:val="00BE21F4"/>
    <w:rsid w:val="00BE26BC"/>
    <w:rsid w:val="00BE395B"/>
    <w:rsid w:val="00BE3A45"/>
    <w:rsid w:val="00BE4156"/>
    <w:rsid w:val="00BE4DE4"/>
    <w:rsid w:val="00BE5574"/>
    <w:rsid w:val="00BE719C"/>
    <w:rsid w:val="00BE7247"/>
    <w:rsid w:val="00BF01E7"/>
    <w:rsid w:val="00BF0719"/>
    <w:rsid w:val="00BF0D32"/>
    <w:rsid w:val="00BF118E"/>
    <w:rsid w:val="00BF1294"/>
    <w:rsid w:val="00BF2848"/>
    <w:rsid w:val="00BF338F"/>
    <w:rsid w:val="00BF3D81"/>
    <w:rsid w:val="00BF4ADE"/>
    <w:rsid w:val="00BF52D4"/>
    <w:rsid w:val="00BF6560"/>
    <w:rsid w:val="00BF665F"/>
    <w:rsid w:val="00BF682A"/>
    <w:rsid w:val="00BF6A82"/>
    <w:rsid w:val="00C00008"/>
    <w:rsid w:val="00C001BD"/>
    <w:rsid w:val="00C007C6"/>
    <w:rsid w:val="00C03569"/>
    <w:rsid w:val="00C04B1E"/>
    <w:rsid w:val="00C060F4"/>
    <w:rsid w:val="00C07728"/>
    <w:rsid w:val="00C07CC8"/>
    <w:rsid w:val="00C111F8"/>
    <w:rsid w:val="00C12B3D"/>
    <w:rsid w:val="00C1304A"/>
    <w:rsid w:val="00C14149"/>
    <w:rsid w:val="00C14EDD"/>
    <w:rsid w:val="00C15D67"/>
    <w:rsid w:val="00C16C6F"/>
    <w:rsid w:val="00C1781A"/>
    <w:rsid w:val="00C21FB5"/>
    <w:rsid w:val="00C21FFF"/>
    <w:rsid w:val="00C22849"/>
    <w:rsid w:val="00C25EC1"/>
    <w:rsid w:val="00C2699C"/>
    <w:rsid w:val="00C30A9B"/>
    <w:rsid w:val="00C315BD"/>
    <w:rsid w:val="00C31690"/>
    <w:rsid w:val="00C31FBD"/>
    <w:rsid w:val="00C32035"/>
    <w:rsid w:val="00C3247A"/>
    <w:rsid w:val="00C3459F"/>
    <w:rsid w:val="00C351D9"/>
    <w:rsid w:val="00C356D2"/>
    <w:rsid w:val="00C374A2"/>
    <w:rsid w:val="00C41801"/>
    <w:rsid w:val="00C41AE9"/>
    <w:rsid w:val="00C43331"/>
    <w:rsid w:val="00C44074"/>
    <w:rsid w:val="00C44FA8"/>
    <w:rsid w:val="00C458CB"/>
    <w:rsid w:val="00C46D33"/>
    <w:rsid w:val="00C474FC"/>
    <w:rsid w:val="00C47B73"/>
    <w:rsid w:val="00C505AE"/>
    <w:rsid w:val="00C513C5"/>
    <w:rsid w:val="00C51F63"/>
    <w:rsid w:val="00C52219"/>
    <w:rsid w:val="00C53BFD"/>
    <w:rsid w:val="00C55BC9"/>
    <w:rsid w:val="00C55D31"/>
    <w:rsid w:val="00C56DC0"/>
    <w:rsid w:val="00C60861"/>
    <w:rsid w:val="00C61CB1"/>
    <w:rsid w:val="00C6215A"/>
    <w:rsid w:val="00C62BB4"/>
    <w:rsid w:val="00C63872"/>
    <w:rsid w:val="00C651F9"/>
    <w:rsid w:val="00C658D6"/>
    <w:rsid w:val="00C66391"/>
    <w:rsid w:val="00C6738B"/>
    <w:rsid w:val="00C70EDE"/>
    <w:rsid w:val="00C71A1D"/>
    <w:rsid w:val="00C72E5B"/>
    <w:rsid w:val="00C74043"/>
    <w:rsid w:val="00C743D7"/>
    <w:rsid w:val="00C746F9"/>
    <w:rsid w:val="00C74C71"/>
    <w:rsid w:val="00C75025"/>
    <w:rsid w:val="00C7594E"/>
    <w:rsid w:val="00C76F05"/>
    <w:rsid w:val="00C8062E"/>
    <w:rsid w:val="00C80B70"/>
    <w:rsid w:val="00C80E0C"/>
    <w:rsid w:val="00C81342"/>
    <w:rsid w:val="00C839B6"/>
    <w:rsid w:val="00C83C6E"/>
    <w:rsid w:val="00C83D03"/>
    <w:rsid w:val="00C84433"/>
    <w:rsid w:val="00C84A01"/>
    <w:rsid w:val="00C84E71"/>
    <w:rsid w:val="00C85139"/>
    <w:rsid w:val="00C85505"/>
    <w:rsid w:val="00C85828"/>
    <w:rsid w:val="00C863E2"/>
    <w:rsid w:val="00C864A2"/>
    <w:rsid w:val="00C86B3D"/>
    <w:rsid w:val="00C87263"/>
    <w:rsid w:val="00C8768D"/>
    <w:rsid w:val="00C87F2A"/>
    <w:rsid w:val="00C9162F"/>
    <w:rsid w:val="00C93592"/>
    <w:rsid w:val="00C93C05"/>
    <w:rsid w:val="00C93D0E"/>
    <w:rsid w:val="00C93EFC"/>
    <w:rsid w:val="00C94631"/>
    <w:rsid w:val="00C9503C"/>
    <w:rsid w:val="00C9562A"/>
    <w:rsid w:val="00C957F4"/>
    <w:rsid w:val="00C967AF"/>
    <w:rsid w:val="00CA0D94"/>
    <w:rsid w:val="00CA14BA"/>
    <w:rsid w:val="00CA2346"/>
    <w:rsid w:val="00CA3558"/>
    <w:rsid w:val="00CA386E"/>
    <w:rsid w:val="00CA3FDB"/>
    <w:rsid w:val="00CA5480"/>
    <w:rsid w:val="00CA646E"/>
    <w:rsid w:val="00CA6B08"/>
    <w:rsid w:val="00CB00B6"/>
    <w:rsid w:val="00CB0150"/>
    <w:rsid w:val="00CB0EBF"/>
    <w:rsid w:val="00CB3B35"/>
    <w:rsid w:val="00CB4D8C"/>
    <w:rsid w:val="00CB5381"/>
    <w:rsid w:val="00CB5B44"/>
    <w:rsid w:val="00CB64CE"/>
    <w:rsid w:val="00CB67B4"/>
    <w:rsid w:val="00CB7380"/>
    <w:rsid w:val="00CC0299"/>
    <w:rsid w:val="00CC10D4"/>
    <w:rsid w:val="00CC17C8"/>
    <w:rsid w:val="00CC187C"/>
    <w:rsid w:val="00CC1FC9"/>
    <w:rsid w:val="00CC26A7"/>
    <w:rsid w:val="00CC75A1"/>
    <w:rsid w:val="00CC75E1"/>
    <w:rsid w:val="00CC79B3"/>
    <w:rsid w:val="00CC7C68"/>
    <w:rsid w:val="00CD1414"/>
    <w:rsid w:val="00CD33C0"/>
    <w:rsid w:val="00CD66B1"/>
    <w:rsid w:val="00CE0694"/>
    <w:rsid w:val="00CE1604"/>
    <w:rsid w:val="00CE19C1"/>
    <w:rsid w:val="00CE20D3"/>
    <w:rsid w:val="00CE363D"/>
    <w:rsid w:val="00CE3C68"/>
    <w:rsid w:val="00CE4258"/>
    <w:rsid w:val="00CE4873"/>
    <w:rsid w:val="00CE4EEB"/>
    <w:rsid w:val="00CE59C7"/>
    <w:rsid w:val="00CE6724"/>
    <w:rsid w:val="00CE79E8"/>
    <w:rsid w:val="00CF02BB"/>
    <w:rsid w:val="00CF0374"/>
    <w:rsid w:val="00CF0A5F"/>
    <w:rsid w:val="00CF2278"/>
    <w:rsid w:val="00CF2778"/>
    <w:rsid w:val="00CF35A6"/>
    <w:rsid w:val="00CF40C7"/>
    <w:rsid w:val="00CF44B2"/>
    <w:rsid w:val="00CF67F2"/>
    <w:rsid w:val="00CF7A45"/>
    <w:rsid w:val="00CF7BE5"/>
    <w:rsid w:val="00D00981"/>
    <w:rsid w:val="00D00ECF"/>
    <w:rsid w:val="00D018C1"/>
    <w:rsid w:val="00D02568"/>
    <w:rsid w:val="00D044A1"/>
    <w:rsid w:val="00D05A96"/>
    <w:rsid w:val="00D05D7C"/>
    <w:rsid w:val="00D06050"/>
    <w:rsid w:val="00D066BE"/>
    <w:rsid w:val="00D0712A"/>
    <w:rsid w:val="00D104AC"/>
    <w:rsid w:val="00D113A9"/>
    <w:rsid w:val="00D13984"/>
    <w:rsid w:val="00D153C0"/>
    <w:rsid w:val="00D1601C"/>
    <w:rsid w:val="00D16BED"/>
    <w:rsid w:val="00D17290"/>
    <w:rsid w:val="00D17728"/>
    <w:rsid w:val="00D17A26"/>
    <w:rsid w:val="00D20AB3"/>
    <w:rsid w:val="00D212BE"/>
    <w:rsid w:val="00D23FB6"/>
    <w:rsid w:val="00D2402C"/>
    <w:rsid w:val="00D2622A"/>
    <w:rsid w:val="00D26F70"/>
    <w:rsid w:val="00D27DF3"/>
    <w:rsid w:val="00D31232"/>
    <w:rsid w:val="00D329A5"/>
    <w:rsid w:val="00D33304"/>
    <w:rsid w:val="00D33DE3"/>
    <w:rsid w:val="00D34139"/>
    <w:rsid w:val="00D353BC"/>
    <w:rsid w:val="00D359BA"/>
    <w:rsid w:val="00D359C9"/>
    <w:rsid w:val="00D40B8D"/>
    <w:rsid w:val="00D40D4B"/>
    <w:rsid w:val="00D41121"/>
    <w:rsid w:val="00D411C1"/>
    <w:rsid w:val="00D41F6E"/>
    <w:rsid w:val="00D41F88"/>
    <w:rsid w:val="00D46D98"/>
    <w:rsid w:val="00D47329"/>
    <w:rsid w:val="00D5083C"/>
    <w:rsid w:val="00D52122"/>
    <w:rsid w:val="00D52995"/>
    <w:rsid w:val="00D54A99"/>
    <w:rsid w:val="00D5571C"/>
    <w:rsid w:val="00D56817"/>
    <w:rsid w:val="00D56AA1"/>
    <w:rsid w:val="00D57D4C"/>
    <w:rsid w:val="00D60950"/>
    <w:rsid w:val="00D60D50"/>
    <w:rsid w:val="00D61FBE"/>
    <w:rsid w:val="00D62174"/>
    <w:rsid w:val="00D62BE1"/>
    <w:rsid w:val="00D6388B"/>
    <w:rsid w:val="00D65961"/>
    <w:rsid w:val="00D67CF2"/>
    <w:rsid w:val="00D72F48"/>
    <w:rsid w:val="00D73BE6"/>
    <w:rsid w:val="00D7469E"/>
    <w:rsid w:val="00D74E04"/>
    <w:rsid w:val="00D762B6"/>
    <w:rsid w:val="00D77064"/>
    <w:rsid w:val="00D8319C"/>
    <w:rsid w:val="00D831CA"/>
    <w:rsid w:val="00D832BE"/>
    <w:rsid w:val="00D84CF1"/>
    <w:rsid w:val="00D8752C"/>
    <w:rsid w:val="00D877DF"/>
    <w:rsid w:val="00D90B4B"/>
    <w:rsid w:val="00D9104A"/>
    <w:rsid w:val="00D925A1"/>
    <w:rsid w:val="00D93C75"/>
    <w:rsid w:val="00D96196"/>
    <w:rsid w:val="00D96BAB"/>
    <w:rsid w:val="00D97530"/>
    <w:rsid w:val="00DA19F2"/>
    <w:rsid w:val="00DA2DFC"/>
    <w:rsid w:val="00DA3D44"/>
    <w:rsid w:val="00DA55F2"/>
    <w:rsid w:val="00DB05D9"/>
    <w:rsid w:val="00DB17E2"/>
    <w:rsid w:val="00DB2E03"/>
    <w:rsid w:val="00DB403C"/>
    <w:rsid w:val="00DB4850"/>
    <w:rsid w:val="00DB7054"/>
    <w:rsid w:val="00DC00ED"/>
    <w:rsid w:val="00DC0361"/>
    <w:rsid w:val="00DC0794"/>
    <w:rsid w:val="00DC1006"/>
    <w:rsid w:val="00DC2224"/>
    <w:rsid w:val="00DC2596"/>
    <w:rsid w:val="00DC2865"/>
    <w:rsid w:val="00DC333F"/>
    <w:rsid w:val="00DC4495"/>
    <w:rsid w:val="00DC487C"/>
    <w:rsid w:val="00DC7113"/>
    <w:rsid w:val="00DC72C8"/>
    <w:rsid w:val="00DD03EA"/>
    <w:rsid w:val="00DD0818"/>
    <w:rsid w:val="00DD0F67"/>
    <w:rsid w:val="00DD1795"/>
    <w:rsid w:val="00DD2CCC"/>
    <w:rsid w:val="00DD525B"/>
    <w:rsid w:val="00DD76AC"/>
    <w:rsid w:val="00DE0DA2"/>
    <w:rsid w:val="00DE153A"/>
    <w:rsid w:val="00DE1A35"/>
    <w:rsid w:val="00DE57C4"/>
    <w:rsid w:val="00DE7C4E"/>
    <w:rsid w:val="00DF05B1"/>
    <w:rsid w:val="00DF07FB"/>
    <w:rsid w:val="00DF1201"/>
    <w:rsid w:val="00DF15A3"/>
    <w:rsid w:val="00DF2EDC"/>
    <w:rsid w:val="00DF4ADA"/>
    <w:rsid w:val="00DF554A"/>
    <w:rsid w:val="00DF5E02"/>
    <w:rsid w:val="00DF6ADC"/>
    <w:rsid w:val="00DF6E90"/>
    <w:rsid w:val="00DF6FF4"/>
    <w:rsid w:val="00E00086"/>
    <w:rsid w:val="00E018B9"/>
    <w:rsid w:val="00E02AE7"/>
    <w:rsid w:val="00E03A76"/>
    <w:rsid w:val="00E03C32"/>
    <w:rsid w:val="00E06EB8"/>
    <w:rsid w:val="00E070F8"/>
    <w:rsid w:val="00E07729"/>
    <w:rsid w:val="00E111DD"/>
    <w:rsid w:val="00E1277C"/>
    <w:rsid w:val="00E13B54"/>
    <w:rsid w:val="00E13C14"/>
    <w:rsid w:val="00E13EFD"/>
    <w:rsid w:val="00E14EBE"/>
    <w:rsid w:val="00E15402"/>
    <w:rsid w:val="00E20207"/>
    <w:rsid w:val="00E2126E"/>
    <w:rsid w:val="00E2171E"/>
    <w:rsid w:val="00E21A92"/>
    <w:rsid w:val="00E21F48"/>
    <w:rsid w:val="00E22113"/>
    <w:rsid w:val="00E23913"/>
    <w:rsid w:val="00E24360"/>
    <w:rsid w:val="00E24C07"/>
    <w:rsid w:val="00E25A01"/>
    <w:rsid w:val="00E25C1F"/>
    <w:rsid w:val="00E263B4"/>
    <w:rsid w:val="00E27007"/>
    <w:rsid w:val="00E2779F"/>
    <w:rsid w:val="00E278B7"/>
    <w:rsid w:val="00E3020D"/>
    <w:rsid w:val="00E31473"/>
    <w:rsid w:val="00E322AC"/>
    <w:rsid w:val="00E334FA"/>
    <w:rsid w:val="00E336FB"/>
    <w:rsid w:val="00E3385F"/>
    <w:rsid w:val="00E33E3C"/>
    <w:rsid w:val="00E33EDB"/>
    <w:rsid w:val="00E34DCA"/>
    <w:rsid w:val="00E37845"/>
    <w:rsid w:val="00E37D9D"/>
    <w:rsid w:val="00E40241"/>
    <w:rsid w:val="00E40317"/>
    <w:rsid w:val="00E42B68"/>
    <w:rsid w:val="00E43750"/>
    <w:rsid w:val="00E4532F"/>
    <w:rsid w:val="00E45A33"/>
    <w:rsid w:val="00E45C6F"/>
    <w:rsid w:val="00E47319"/>
    <w:rsid w:val="00E47CBF"/>
    <w:rsid w:val="00E50D1B"/>
    <w:rsid w:val="00E5204A"/>
    <w:rsid w:val="00E52155"/>
    <w:rsid w:val="00E52D57"/>
    <w:rsid w:val="00E53ABC"/>
    <w:rsid w:val="00E54C40"/>
    <w:rsid w:val="00E553E8"/>
    <w:rsid w:val="00E56210"/>
    <w:rsid w:val="00E57725"/>
    <w:rsid w:val="00E62447"/>
    <w:rsid w:val="00E70B75"/>
    <w:rsid w:val="00E71DB0"/>
    <w:rsid w:val="00E73A22"/>
    <w:rsid w:val="00E73C51"/>
    <w:rsid w:val="00E77C45"/>
    <w:rsid w:val="00E81E64"/>
    <w:rsid w:val="00E8294E"/>
    <w:rsid w:val="00E82F34"/>
    <w:rsid w:val="00E83111"/>
    <w:rsid w:val="00E8605B"/>
    <w:rsid w:val="00E872EA"/>
    <w:rsid w:val="00E87515"/>
    <w:rsid w:val="00E90712"/>
    <w:rsid w:val="00E90772"/>
    <w:rsid w:val="00E91945"/>
    <w:rsid w:val="00E935F0"/>
    <w:rsid w:val="00E93EB2"/>
    <w:rsid w:val="00E94D62"/>
    <w:rsid w:val="00E9708B"/>
    <w:rsid w:val="00E97D2D"/>
    <w:rsid w:val="00EA00C7"/>
    <w:rsid w:val="00EA0BFD"/>
    <w:rsid w:val="00EA2055"/>
    <w:rsid w:val="00EA212C"/>
    <w:rsid w:val="00EA2407"/>
    <w:rsid w:val="00EA3423"/>
    <w:rsid w:val="00EA3CDA"/>
    <w:rsid w:val="00EA494B"/>
    <w:rsid w:val="00EA52C7"/>
    <w:rsid w:val="00EA6A3C"/>
    <w:rsid w:val="00EA715B"/>
    <w:rsid w:val="00EB24AC"/>
    <w:rsid w:val="00EB27C2"/>
    <w:rsid w:val="00EB2B84"/>
    <w:rsid w:val="00EB4BF5"/>
    <w:rsid w:val="00EB5A13"/>
    <w:rsid w:val="00EB78B0"/>
    <w:rsid w:val="00EB794E"/>
    <w:rsid w:val="00EC0C40"/>
    <w:rsid w:val="00EC0DD9"/>
    <w:rsid w:val="00EC2AC8"/>
    <w:rsid w:val="00EC3004"/>
    <w:rsid w:val="00EC5B37"/>
    <w:rsid w:val="00EC5C21"/>
    <w:rsid w:val="00EC73FC"/>
    <w:rsid w:val="00EC7732"/>
    <w:rsid w:val="00ED0810"/>
    <w:rsid w:val="00ED085F"/>
    <w:rsid w:val="00ED0BD8"/>
    <w:rsid w:val="00ED1D16"/>
    <w:rsid w:val="00ED2BDF"/>
    <w:rsid w:val="00ED2CA0"/>
    <w:rsid w:val="00ED31EA"/>
    <w:rsid w:val="00ED3A2B"/>
    <w:rsid w:val="00ED3EF8"/>
    <w:rsid w:val="00ED4629"/>
    <w:rsid w:val="00ED4F44"/>
    <w:rsid w:val="00ED65CA"/>
    <w:rsid w:val="00ED682D"/>
    <w:rsid w:val="00ED71EF"/>
    <w:rsid w:val="00EE0943"/>
    <w:rsid w:val="00EE2136"/>
    <w:rsid w:val="00EE2174"/>
    <w:rsid w:val="00EE2D9B"/>
    <w:rsid w:val="00EE435D"/>
    <w:rsid w:val="00EE6813"/>
    <w:rsid w:val="00EE716D"/>
    <w:rsid w:val="00EE71C2"/>
    <w:rsid w:val="00EE79E4"/>
    <w:rsid w:val="00EF07B3"/>
    <w:rsid w:val="00EF1F7A"/>
    <w:rsid w:val="00EF2BF2"/>
    <w:rsid w:val="00EF34B2"/>
    <w:rsid w:val="00EF3AE0"/>
    <w:rsid w:val="00EF46C8"/>
    <w:rsid w:val="00EF575F"/>
    <w:rsid w:val="00EF5E8B"/>
    <w:rsid w:val="00EF65F7"/>
    <w:rsid w:val="00EF7E72"/>
    <w:rsid w:val="00F002EF"/>
    <w:rsid w:val="00F00486"/>
    <w:rsid w:val="00F005B0"/>
    <w:rsid w:val="00F00855"/>
    <w:rsid w:val="00F00F6D"/>
    <w:rsid w:val="00F03236"/>
    <w:rsid w:val="00F03702"/>
    <w:rsid w:val="00F03CD4"/>
    <w:rsid w:val="00F03FA8"/>
    <w:rsid w:val="00F0451C"/>
    <w:rsid w:val="00F045FE"/>
    <w:rsid w:val="00F054EB"/>
    <w:rsid w:val="00F05556"/>
    <w:rsid w:val="00F05D7B"/>
    <w:rsid w:val="00F067D0"/>
    <w:rsid w:val="00F06FF2"/>
    <w:rsid w:val="00F077C0"/>
    <w:rsid w:val="00F106F1"/>
    <w:rsid w:val="00F11BDF"/>
    <w:rsid w:val="00F12380"/>
    <w:rsid w:val="00F12F4F"/>
    <w:rsid w:val="00F159F3"/>
    <w:rsid w:val="00F16F62"/>
    <w:rsid w:val="00F2001E"/>
    <w:rsid w:val="00F227BA"/>
    <w:rsid w:val="00F23B7A"/>
    <w:rsid w:val="00F25603"/>
    <w:rsid w:val="00F26214"/>
    <w:rsid w:val="00F32E35"/>
    <w:rsid w:val="00F3321B"/>
    <w:rsid w:val="00F40111"/>
    <w:rsid w:val="00F40D12"/>
    <w:rsid w:val="00F410DC"/>
    <w:rsid w:val="00F44307"/>
    <w:rsid w:val="00F44F34"/>
    <w:rsid w:val="00F45B6D"/>
    <w:rsid w:val="00F46D27"/>
    <w:rsid w:val="00F4769D"/>
    <w:rsid w:val="00F50F67"/>
    <w:rsid w:val="00F5298A"/>
    <w:rsid w:val="00F552D4"/>
    <w:rsid w:val="00F56621"/>
    <w:rsid w:val="00F56676"/>
    <w:rsid w:val="00F569BE"/>
    <w:rsid w:val="00F569F2"/>
    <w:rsid w:val="00F5778C"/>
    <w:rsid w:val="00F578C4"/>
    <w:rsid w:val="00F57DDB"/>
    <w:rsid w:val="00F60AB9"/>
    <w:rsid w:val="00F61192"/>
    <w:rsid w:val="00F62EEE"/>
    <w:rsid w:val="00F633C2"/>
    <w:rsid w:val="00F63AE1"/>
    <w:rsid w:val="00F65B31"/>
    <w:rsid w:val="00F6775C"/>
    <w:rsid w:val="00F70A92"/>
    <w:rsid w:val="00F72393"/>
    <w:rsid w:val="00F73580"/>
    <w:rsid w:val="00F73BEE"/>
    <w:rsid w:val="00F75BC6"/>
    <w:rsid w:val="00F7635C"/>
    <w:rsid w:val="00F7702A"/>
    <w:rsid w:val="00F77E56"/>
    <w:rsid w:val="00F80369"/>
    <w:rsid w:val="00F80CA7"/>
    <w:rsid w:val="00F81290"/>
    <w:rsid w:val="00F819BB"/>
    <w:rsid w:val="00F81AE1"/>
    <w:rsid w:val="00F81FF9"/>
    <w:rsid w:val="00F831AD"/>
    <w:rsid w:val="00F83221"/>
    <w:rsid w:val="00F8324F"/>
    <w:rsid w:val="00F856B2"/>
    <w:rsid w:val="00F85994"/>
    <w:rsid w:val="00F85B0A"/>
    <w:rsid w:val="00F864EC"/>
    <w:rsid w:val="00F8653D"/>
    <w:rsid w:val="00F8674D"/>
    <w:rsid w:val="00F869B0"/>
    <w:rsid w:val="00F91578"/>
    <w:rsid w:val="00F95844"/>
    <w:rsid w:val="00F97DAF"/>
    <w:rsid w:val="00FA245D"/>
    <w:rsid w:val="00FA40F8"/>
    <w:rsid w:val="00FA47E5"/>
    <w:rsid w:val="00FA5416"/>
    <w:rsid w:val="00FA7542"/>
    <w:rsid w:val="00FA7AC4"/>
    <w:rsid w:val="00FA7C87"/>
    <w:rsid w:val="00FA7D95"/>
    <w:rsid w:val="00FB0423"/>
    <w:rsid w:val="00FB0C6A"/>
    <w:rsid w:val="00FB1AE2"/>
    <w:rsid w:val="00FB34E7"/>
    <w:rsid w:val="00FB37E3"/>
    <w:rsid w:val="00FB4065"/>
    <w:rsid w:val="00FB4B03"/>
    <w:rsid w:val="00FB4B76"/>
    <w:rsid w:val="00FB6FAB"/>
    <w:rsid w:val="00FB7885"/>
    <w:rsid w:val="00FB7B13"/>
    <w:rsid w:val="00FC06E7"/>
    <w:rsid w:val="00FC06F1"/>
    <w:rsid w:val="00FC1899"/>
    <w:rsid w:val="00FC3DA7"/>
    <w:rsid w:val="00FC5194"/>
    <w:rsid w:val="00FC6AFE"/>
    <w:rsid w:val="00FC725B"/>
    <w:rsid w:val="00FD012C"/>
    <w:rsid w:val="00FD0B9D"/>
    <w:rsid w:val="00FD17A3"/>
    <w:rsid w:val="00FD31FA"/>
    <w:rsid w:val="00FD4232"/>
    <w:rsid w:val="00FE0BA3"/>
    <w:rsid w:val="00FE152C"/>
    <w:rsid w:val="00FE2B3F"/>
    <w:rsid w:val="00FE35F4"/>
    <w:rsid w:val="00FE41AB"/>
    <w:rsid w:val="00FE432A"/>
    <w:rsid w:val="00FE46F5"/>
    <w:rsid w:val="00FE4C3D"/>
    <w:rsid w:val="00FE4CD5"/>
    <w:rsid w:val="00FE5675"/>
    <w:rsid w:val="00FF11CD"/>
    <w:rsid w:val="00FF2943"/>
    <w:rsid w:val="00FF32A4"/>
    <w:rsid w:val="00FF5842"/>
    <w:rsid w:val="00FF697D"/>
    <w:rsid w:val="00FF7AE8"/>
    <w:rsid w:val="00FF7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89B57"/>
  <w15:chartTrackingRefBased/>
  <w15:docId w15:val="{CE094D9C-AA0A-4562-9034-52226E19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aragraph"/>
    <w:qFormat/>
    <w:rsid w:val="00CB00B6"/>
    <w:pPr>
      <w:ind w:left="0"/>
    </w:pPr>
    <w:rPr>
      <w:sz w:val="24"/>
    </w:rPr>
  </w:style>
  <w:style w:type="paragraph" w:styleId="Heading1">
    <w:name w:val="heading 1"/>
    <w:aliases w:val="Title/Heading 1"/>
    <w:next w:val="Normal"/>
    <w:link w:val="Heading1Char"/>
    <w:uiPriority w:val="9"/>
    <w:qFormat/>
    <w:rsid w:val="00192E69"/>
    <w:pPr>
      <w:outlineLvl w:val="0"/>
    </w:pPr>
    <w:rPr>
      <w:rFonts w:ascii="Franklin Gothic Medium" w:hAnsi="Franklin Gothic Medium"/>
      <w:sz w:val="40"/>
      <w:szCs w:val="40"/>
    </w:rPr>
  </w:style>
  <w:style w:type="paragraph" w:styleId="Heading2">
    <w:name w:val="heading 2"/>
    <w:next w:val="Paragraph"/>
    <w:link w:val="Heading2Char"/>
    <w:uiPriority w:val="9"/>
    <w:unhideWhenUsed/>
    <w:rsid w:val="00D26F70"/>
    <w:pPr>
      <w:ind w:left="0"/>
      <w:jc w:val="center"/>
      <w:outlineLvl w:val="1"/>
    </w:pPr>
    <w:rPr>
      <w:rFonts w:ascii="Arial" w:hAnsi="Arial" w:cs="Arial"/>
      <w:b/>
      <w:color w:val="44688F"/>
      <w:sz w:val="36"/>
    </w:rPr>
  </w:style>
  <w:style w:type="paragraph" w:styleId="Heading3">
    <w:name w:val="heading 3"/>
    <w:next w:val="Normal"/>
    <w:link w:val="Heading3Char"/>
    <w:uiPriority w:val="9"/>
    <w:unhideWhenUsed/>
    <w:rsid w:val="00D26F70"/>
    <w:pPr>
      <w:spacing w:before="240" w:after="120"/>
      <w:ind w:left="0"/>
      <w:outlineLvl w:val="2"/>
    </w:pPr>
    <w:rPr>
      <w:rFonts w:ascii="Arial" w:hAnsi="Arial" w:cs="Arial"/>
      <w:b/>
      <w:color w:val="2E74B5" w:themeColor="accent1" w:themeShade="BF"/>
      <w:sz w:val="32"/>
    </w:rPr>
  </w:style>
  <w:style w:type="paragraph" w:styleId="Heading4">
    <w:name w:val="heading 4"/>
    <w:next w:val="Paragraph"/>
    <w:link w:val="Heading4Char"/>
    <w:uiPriority w:val="9"/>
    <w:unhideWhenUsed/>
    <w:rsid w:val="00D26F70"/>
    <w:pPr>
      <w:spacing w:after="120"/>
      <w:ind w:left="0"/>
      <w:outlineLvl w:val="3"/>
    </w:pPr>
    <w:rPr>
      <w:rFonts w:ascii="Arial" w:hAnsi="Arial" w:cs="Arial"/>
      <w:b/>
      <w:sz w:val="28"/>
    </w:rPr>
  </w:style>
  <w:style w:type="paragraph" w:styleId="Heading5">
    <w:name w:val="heading 5"/>
    <w:aliases w:val="RM Section X.X.X.X"/>
    <w:next w:val="Normal"/>
    <w:link w:val="Heading5Char"/>
    <w:uiPriority w:val="9"/>
    <w:unhideWhenUsed/>
    <w:qFormat/>
    <w:rsid w:val="00917443"/>
    <w:pPr>
      <w:spacing w:after="120"/>
      <w:ind w:left="0"/>
      <w:outlineLvl w:val="4"/>
    </w:pPr>
    <w:rPr>
      <w:rFonts w:ascii="Cambria" w:hAnsi="Cambria" w:cs="Times New Roman"/>
      <w:b/>
      <w:sz w:val="24"/>
    </w:rPr>
  </w:style>
  <w:style w:type="paragraph" w:styleId="Heading6">
    <w:name w:val="heading 6"/>
    <w:next w:val="Paragraph"/>
    <w:link w:val="Heading6Char"/>
    <w:uiPriority w:val="9"/>
    <w:unhideWhenUsed/>
    <w:rsid w:val="00917443"/>
    <w:pPr>
      <w:spacing w:after="120"/>
      <w:ind w:left="0"/>
      <w:outlineLvl w:val="5"/>
    </w:pPr>
    <w:rPr>
      <w:rFonts w:ascii="Cambria" w:hAnsi="Cambria"/>
      <w:sz w:val="24"/>
    </w:rPr>
  </w:style>
  <w:style w:type="paragraph" w:styleId="Heading7">
    <w:name w:val="heading 7"/>
    <w:basedOn w:val="Normal"/>
    <w:next w:val="Normal"/>
    <w:link w:val="Heading7Char"/>
    <w:uiPriority w:val="9"/>
    <w:semiHidden/>
    <w:unhideWhenUsed/>
    <w:rsid w:val="00E03A76"/>
    <w:pPr>
      <w:keepNext/>
      <w:keepLines/>
      <w:spacing w:before="40" w:after="0"/>
      <w:outlineLvl w:val="6"/>
    </w:pPr>
    <w:rPr>
      <w:rFonts w:asciiTheme="majorHAnsi" w:eastAsiaTheme="majorEastAsia" w:hAnsiTheme="majorHAnsi" w:cstheme="majorBidi"/>
      <w:iCs/>
      <w:color w:val="1F4D78" w:themeColor="accent1" w:themeShade="7F"/>
    </w:rPr>
  </w:style>
  <w:style w:type="paragraph" w:styleId="Heading8">
    <w:name w:val="heading 8"/>
    <w:basedOn w:val="Normal"/>
    <w:next w:val="Normal"/>
    <w:link w:val="Heading8Char"/>
    <w:uiPriority w:val="9"/>
    <w:semiHidden/>
    <w:unhideWhenUsed/>
    <w:qFormat/>
    <w:rsid w:val="004876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76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07"/>
    <w:pPr>
      <w:tabs>
        <w:tab w:val="center" w:pos="4680"/>
        <w:tab w:val="right" w:pos="9360"/>
      </w:tabs>
      <w:spacing w:after="0"/>
    </w:pPr>
  </w:style>
  <w:style w:type="character" w:customStyle="1" w:styleId="HeaderChar">
    <w:name w:val="Header Char"/>
    <w:basedOn w:val="DefaultParagraphFont"/>
    <w:link w:val="Header"/>
    <w:uiPriority w:val="99"/>
    <w:rsid w:val="008E1607"/>
  </w:style>
  <w:style w:type="paragraph" w:styleId="Footer">
    <w:name w:val="footer"/>
    <w:basedOn w:val="Normal"/>
    <w:link w:val="FooterChar"/>
    <w:uiPriority w:val="99"/>
    <w:unhideWhenUsed/>
    <w:rsid w:val="009C4B1B"/>
    <w:pPr>
      <w:tabs>
        <w:tab w:val="right" w:pos="9360"/>
      </w:tabs>
      <w:spacing w:after="0"/>
    </w:pPr>
    <w:rPr>
      <w:color w:val="000000"/>
      <w:sz w:val="22"/>
      <w:szCs w:val="27"/>
    </w:rPr>
  </w:style>
  <w:style w:type="character" w:customStyle="1" w:styleId="FooterChar">
    <w:name w:val="Footer Char"/>
    <w:basedOn w:val="DefaultParagraphFont"/>
    <w:link w:val="Footer"/>
    <w:uiPriority w:val="99"/>
    <w:rsid w:val="009C4B1B"/>
    <w:rPr>
      <w:color w:val="000000"/>
      <w:szCs w:val="27"/>
    </w:rPr>
  </w:style>
  <w:style w:type="table" w:styleId="GridTable2-Accent3">
    <w:name w:val="Grid Table 2 Accent 3"/>
    <w:basedOn w:val="TableNormal"/>
    <w:uiPriority w:val="47"/>
    <w:rsid w:val="008E1607"/>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E160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8E1607"/>
    <w:rPr>
      <w:sz w:val="16"/>
      <w:szCs w:val="16"/>
    </w:rPr>
  </w:style>
  <w:style w:type="paragraph" w:styleId="CommentText">
    <w:name w:val="annotation text"/>
    <w:basedOn w:val="Normal"/>
    <w:link w:val="CommentTextChar"/>
    <w:uiPriority w:val="99"/>
    <w:rsid w:val="008E1607"/>
    <w:pPr>
      <w:spacing w:after="120"/>
    </w:pPr>
    <w:rPr>
      <w:rFonts w:eastAsia="Times New Roman" w:cs="Times New Roman"/>
      <w:sz w:val="20"/>
      <w:szCs w:val="20"/>
    </w:rPr>
  </w:style>
  <w:style w:type="character" w:customStyle="1" w:styleId="CommentTextChar">
    <w:name w:val="Comment Text Char"/>
    <w:basedOn w:val="DefaultParagraphFont"/>
    <w:link w:val="CommentText"/>
    <w:uiPriority w:val="99"/>
    <w:rsid w:val="008E1607"/>
    <w:rPr>
      <w:rFonts w:ascii="Times New Roman" w:eastAsia="Times New Roman" w:hAnsi="Times New Roman" w:cs="Times New Roman"/>
      <w:sz w:val="20"/>
      <w:szCs w:val="20"/>
    </w:rPr>
  </w:style>
  <w:style w:type="paragraph" w:customStyle="1" w:styleId="BulletedList">
    <w:name w:val="Bulleted List"/>
    <w:basedOn w:val="ListParagraph"/>
    <w:rsid w:val="008E1607"/>
    <w:pPr>
      <w:numPr>
        <w:numId w:val="1"/>
      </w:numPr>
      <w:spacing w:line="259" w:lineRule="auto"/>
    </w:pPr>
    <w:rPr>
      <w:rFonts w:eastAsia="Times New Roman" w:cs="Times New Roman"/>
      <w:szCs w:val="20"/>
    </w:rPr>
  </w:style>
  <w:style w:type="paragraph" w:styleId="FootnoteText">
    <w:name w:val="footnote text"/>
    <w:basedOn w:val="Normal"/>
    <w:link w:val="FootnoteTextChar"/>
    <w:unhideWhenUsed/>
    <w:rsid w:val="008E1607"/>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8E160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8E1607"/>
    <w:rPr>
      <w:vertAlign w:val="superscript"/>
    </w:rPr>
  </w:style>
  <w:style w:type="paragraph" w:styleId="ListParagraph">
    <w:name w:val="List Paragraph"/>
    <w:basedOn w:val="Normal"/>
    <w:uiPriority w:val="34"/>
    <w:qFormat/>
    <w:rsid w:val="00492083"/>
    <w:pPr>
      <w:numPr>
        <w:numId w:val="3"/>
      </w:numPr>
      <w:spacing w:after="120"/>
    </w:pPr>
    <w:rPr>
      <w:rFonts w:cstheme="minorHAnsi"/>
    </w:rPr>
  </w:style>
  <w:style w:type="character" w:styleId="Hyperlink">
    <w:name w:val="Hyperlink"/>
    <w:basedOn w:val="DefaultParagraphFont"/>
    <w:uiPriority w:val="99"/>
    <w:unhideWhenUsed/>
    <w:rsid w:val="008E1607"/>
    <w:rPr>
      <w:color w:val="0563C1" w:themeColor="hyperlink"/>
      <w:u w:val="single"/>
    </w:rPr>
  </w:style>
  <w:style w:type="paragraph" w:styleId="BalloonText">
    <w:name w:val="Balloon Text"/>
    <w:basedOn w:val="Normal"/>
    <w:link w:val="BalloonTextChar"/>
    <w:uiPriority w:val="99"/>
    <w:semiHidden/>
    <w:unhideWhenUsed/>
    <w:rsid w:val="008E1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07"/>
    <w:rPr>
      <w:rFonts w:ascii="Segoe UI" w:hAnsi="Segoe UI" w:cs="Segoe UI"/>
      <w:sz w:val="18"/>
      <w:szCs w:val="18"/>
    </w:rPr>
  </w:style>
  <w:style w:type="character" w:customStyle="1" w:styleId="Heading1Char">
    <w:name w:val="Heading 1 Char"/>
    <w:aliases w:val="Title/Heading 1 Char"/>
    <w:basedOn w:val="DefaultParagraphFont"/>
    <w:link w:val="Heading1"/>
    <w:uiPriority w:val="9"/>
    <w:rsid w:val="00192E69"/>
    <w:rPr>
      <w:rFonts w:ascii="Franklin Gothic Medium" w:hAnsi="Franklin Gothic Medium"/>
      <w:sz w:val="40"/>
      <w:szCs w:val="40"/>
    </w:rPr>
  </w:style>
  <w:style w:type="paragraph" w:styleId="Subtitle">
    <w:name w:val="Subtitle"/>
    <w:basedOn w:val="Normal"/>
    <w:next w:val="Normal"/>
    <w:link w:val="SubtitleChar"/>
    <w:rsid w:val="008E1607"/>
    <w:rPr>
      <w:b/>
      <w:sz w:val="32"/>
      <w:szCs w:val="32"/>
    </w:rPr>
  </w:style>
  <w:style w:type="character" w:customStyle="1" w:styleId="SubtitleChar">
    <w:name w:val="Subtitle Char"/>
    <w:basedOn w:val="DefaultParagraphFont"/>
    <w:link w:val="Subtitle"/>
    <w:rsid w:val="008E1607"/>
    <w:rPr>
      <w:b/>
      <w:sz w:val="32"/>
      <w:szCs w:val="32"/>
    </w:rPr>
  </w:style>
  <w:style w:type="paragraph" w:styleId="Title">
    <w:name w:val="Title"/>
    <w:basedOn w:val="Heading1"/>
    <w:link w:val="TitleChar"/>
    <w:uiPriority w:val="10"/>
    <w:rsid w:val="007B7C03"/>
    <w:pPr>
      <w:spacing w:before="2880" w:after="0"/>
      <w:ind w:left="2160"/>
    </w:pPr>
    <w:rPr>
      <w:rFonts w:ascii="Franklin Gothic Demi" w:eastAsia="Times New Roman" w:hAnsi="Franklin Gothic Demi" w:cs="Times New Roman"/>
    </w:rPr>
  </w:style>
  <w:style w:type="character" w:customStyle="1" w:styleId="TitleChar">
    <w:name w:val="Title Char"/>
    <w:basedOn w:val="DefaultParagraphFont"/>
    <w:link w:val="Title"/>
    <w:uiPriority w:val="10"/>
    <w:rsid w:val="007B7C03"/>
    <w:rPr>
      <w:rFonts w:ascii="Franklin Gothic Demi" w:eastAsia="Times New Roman" w:hAnsi="Franklin Gothic Demi" w:cs="Times New Roman"/>
      <w:sz w:val="40"/>
      <w:szCs w:val="40"/>
    </w:rPr>
  </w:style>
  <w:style w:type="paragraph" w:customStyle="1" w:styleId="Paragraph">
    <w:name w:val="Paragraph"/>
    <w:link w:val="ParagraphChar"/>
    <w:qFormat/>
    <w:rsid w:val="003B1C00"/>
    <w:pPr>
      <w:spacing w:after="120"/>
      <w:ind w:left="0"/>
    </w:pPr>
    <w:rPr>
      <w:rFonts w:cstheme="minorHAnsi"/>
      <w:sz w:val="24"/>
      <w:szCs w:val="24"/>
    </w:rPr>
  </w:style>
  <w:style w:type="character" w:customStyle="1" w:styleId="ParagraphChar">
    <w:name w:val="Paragraph Char"/>
    <w:basedOn w:val="DefaultParagraphFont"/>
    <w:link w:val="Paragraph"/>
    <w:rsid w:val="003B1C00"/>
    <w:rPr>
      <w:rFonts w:cstheme="minorHAnsi"/>
      <w:sz w:val="24"/>
      <w:szCs w:val="24"/>
    </w:rPr>
  </w:style>
  <w:style w:type="paragraph" w:styleId="CommentSubject">
    <w:name w:val="annotation subject"/>
    <w:basedOn w:val="CommentText"/>
    <w:next w:val="CommentText"/>
    <w:link w:val="CommentSubjectChar"/>
    <w:uiPriority w:val="99"/>
    <w:semiHidden/>
    <w:unhideWhenUsed/>
    <w:rsid w:val="007B7C03"/>
    <w:pPr>
      <w:spacing w:after="240"/>
      <w:ind w:left="720"/>
    </w:pPr>
    <w:rPr>
      <w:rFonts w:eastAsiaTheme="minorHAnsi" w:cstheme="minorBidi"/>
      <w:b/>
      <w:bCs/>
    </w:rPr>
  </w:style>
  <w:style w:type="character" w:customStyle="1" w:styleId="CommentSubjectChar">
    <w:name w:val="Comment Subject Char"/>
    <w:basedOn w:val="CommentTextChar"/>
    <w:link w:val="CommentSubject"/>
    <w:uiPriority w:val="99"/>
    <w:semiHidden/>
    <w:rsid w:val="007B7C03"/>
    <w:rPr>
      <w:rFonts w:ascii="Times New Roman" w:eastAsia="Times New Roman" w:hAnsi="Times New Roman" w:cs="Times New Roman"/>
      <w:b/>
      <w:bCs/>
      <w:sz w:val="20"/>
      <w:szCs w:val="20"/>
    </w:rPr>
  </w:style>
  <w:style w:type="paragraph" w:styleId="Revision">
    <w:name w:val="Revision"/>
    <w:hidden/>
    <w:uiPriority w:val="99"/>
    <w:semiHidden/>
    <w:rsid w:val="002C555D"/>
    <w:pPr>
      <w:spacing w:after="0"/>
      <w:ind w:left="0"/>
    </w:pPr>
  </w:style>
  <w:style w:type="character" w:customStyle="1" w:styleId="Heading2Char">
    <w:name w:val="Heading 2 Char"/>
    <w:basedOn w:val="DefaultParagraphFont"/>
    <w:link w:val="Heading2"/>
    <w:uiPriority w:val="9"/>
    <w:rsid w:val="00D26F70"/>
    <w:rPr>
      <w:rFonts w:ascii="Arial" w:hAnsi="Arial" w:cs="Arial"/>
      <w:b/>
      <w:color w:val="44688F"/>
      <w:sz w:val="36"/>
    </w:rPr>
  </w:style>
  <w:style w:type="character" w:customStyle="1" w:styleId="Heading3Char">
    <w:name w:val="Heading 3 Char"/>
    <w:basedOn w:val="DefaultParagraphFont"/>
    <w:link w:val="Heading3"/>
    <w:uiPriority w:val="9"/>
    <w:rsid w:val="00D26F70"/>
    <w:rPr>
      <w:rFonts w:ascii="Arial" w:hAnsi="Arial" w:cs="Arial"/>
      <w:b/>
      <w:color w:val="2E74B5" w:themeColor="accent1" w:themeShade="BF"/>
      <w:sz w:val="32"/>
    </w:rPr>
  </w:style>
  <w:style w:type="character" w:customStyle="1" w:styleId="Heading4Char">
    <w:name w:val="Heading 4 Char"/>
    <w:basedOn w:val="DefaultParagraphFont"/>
    <w:link w:val="Heading4"/>
    <w:uiPriority w:val="9"/>
    <w:rsid w:val="00D26F70"/>
    <w:rPr>
      <w:rFonts w:ascii="Arial" w:hAnsi="Arial" w:cs="Arial"/>
      <w:b/>
      <w:sz w:val="28"/>
    </w:rPr>
  </w:style>
  <w:style w:type="character" w:customStyle="1" w:styleId="Heading5Char">
    <w:name w:val="Heading 5 Char"/>
    <w:aliases w:val="RM Section X.X.X.X Char"/>
    <w:basedOn w:val="DefaultParagraphFont"/>
    <w:link w:val="Heading5"/>
    <w:uiPriority w:val="9"/>
    <w:rsid w:val="00917443"/>
    <w:rPr>
      <w:rFonts w:ascii="Cambria" w:hAnsi="Cambria" w:cs="Times New Roman"/>
      <w:b/>
      <w:sz w:val="24"/>
    </w:rPr>
  </w:style>
  <w:style w:type="character" w:customStyle="1" w:styleId="Heading6Char">
    <w:name w:val="Heading 6 Char"/>
    <w:basedOn w:val="DefaultParagraphFont"/>
    <w:link w:val="Heading6"/>
    <w:uiPriority w:val="9"/>
    <w:rsid w:val="00917443"/>
    <w:rPr>
      <w:rFonts w:ascii="Cambria" w:hAnsi="Cambria"/>
      <w:sz w:val="24"/>
    </w:rPr>
  </w:style>
  <w:style w:type="character" w:styleId="PlaceholderText">
    <w:name w:val="Placeholder Text"/>
    <w:basedOn w:val="DefaultParagraphFont"/>
    <w:uiPriority w:val="99"/>
    <w:semiHidden/>
    <w:rsid w:val="009B4261"/>
    <w:rPr>
      <w:color w:val="808080"/>
    </w:rPr>
  </w:style>
  <w:style w:type="paragraph" w:styleId="TOCHeading">
    <w:name w:val="TOC Heading"/>
    <w:basedOn w:val="FrontMatterH2"/>
    <w:next w:val="Normal"/>
    <w:uiPriority w:val="39"/>
    <w:unhideWhenUsed/>
    <w:qFormat/>
    <w:rsid w:val="00C03569"/>
    <w:pPr>
      <w:keepNext/>
      <w:keepLines/>
      <w:spacing w:after="0" w:line="259" w:lineRule="auto"/>
      <w:outlineLvl w:val="9"/>
    </w:pPr>
    <w:rPr>
      <w:rFonts w:eastAsiaTheme="majorEastAsia" w:cstheme="majorBidi"/>
      <w:color w:val="2E74B5" w:themeColor="accent1" w:themeShade="BF"/>
      <w:szCs w:val="32"/>
    </w:rPr>
  </w:style>
  <w:style w:type="paragraph" w:styleId="TOC2">
    <w:name w:val="toc 2"/>
    <w:basedOn w:val="Normal"/>
    <w:next w:val="Normal"/>
    <w:autoRedefine/>
    <w:uiPriority w:val="39"/>
    <w:unhideWhenUsed/>
    <w:rsid w:val="00F40111"/>
    <w:pPr>
      <w:tabs>
        <w:tab w:val="right" w:leader="dot" w:pos="9350"/>
      </w:tabs>
      <w:spacing w:before="120" w:after="0"/>
      <w:ind w:left="240"/>
    </w:pPr>
    <w:rPr>
      <w:rFonts w:cstheme="minorHAnsi"/>
      <w:iCs/>
      <w:noProof/>
      <w:sz w:val="20"/>
      <w:szCs w:val="20"/>
    </w:rPr>
  </w:style>
  <w:style w:type="paragraph" w:styleId="TOC1">
    <w:name w:val="toc 1"/>
    <w:basedOn w:val="Normal"/>
    <w:next w:val="Normal"/>
    <w:autoRedefine/>
    <w:uiPriority w:val="39"/>
    <w:unhideWhenUsed/>
    <w:rsid w:val="001F5E8B"/>
    <w:pPr>
      <w:tabs>
        <w:tab w:val="right" w:leader="dot" w:pos="9350"/>
      </w:tabs>
      <w:spacing w:before="240" w:after="120"/>
    </w:pPr>
    <w:rPr>
      <w:rFonts w:cstheme="minorHAnsi"/>
      <w:b/>
      <w:bCs/>
      <w:sz w:val="20"/>
      <w:szCs w:val="20"/>
    </w:rPr>
  </w:style>
  <w:style w:type="paragraph" w:styleId="TOC3">
    <w:name w:val="toc 3"/>
    <w:basedOn w:val="Normal"/>
    <w:next w:val="Normal"/>
    <w:autoRedefine/>
    <w:uiPriority w:val="39"/>
    <w:unhideWhenUsed/>
    <w:rsid w:val="001F5E8B"/>
    <w:pPr>
      <w:tabs>
        <w:tab w:val="right" w:leader="dot" w:pos="9350"/>
      </w:tabs>
      <w:spacing w:after="0"/>
      <w:ind w:left="480"/>
    </w:pPr>
    <w:rPr>
      <w:rFonts w:cstheme="minorHAnsi"/>
      <w:sz w:val="20"/>
      <w:szCs w:val="20"/>
    </w:rPr>
  </w:style>
  <w:style w:type="character" w:customStyle="1" w:styleId="Heading7Char">
    <w:name w:val="Heading 7 Char"/>
    <w:basedOn w:val="DefaultParagraphFont"/>
    <w:link w:val="Heading7"/>
    <w:uiPriority w:val="9"/>
    <w:semiHidden/>
    <w:rsid w:val="00E03A76"/>
    <w:rPr>
      <w:rFonts w:asciiTheme="majorHAnsi" w:eastAsiaTheme="majorEastAsia" w:hAnsiTheme="majorHAnsi" w:cstheme="majorBidi"/>
      <w:iCs/>
      <w:color w:val="1F4D78" w:themeColor="accent1" w:themeShade="7F"/>
      <w:sz w:val="24"/>
    </w:rPr>
  </w:style>
  <w:style w:type="paragraph" w:styleId="TOC4">
    <w:name w:val="toc 4"/>
    <w:basedOn w:val="Normal"/>
    <w:next w:val="Normal"/>
    <w:autoRedefine/>
    <w:uiPriority w:val="39"/>
    <w:unhideWhenUsed/>
    <w:rsid w:val="0048765C"/>
    <w:pPr>
      <w:spacing w:after="0"/>
      <w:ind w:left="720"/>
    </w:pPr>
    <w:rPr>
      <w:rFonts w:cstheme="minorHAnsi"/>
      <w:sz w:val="20"/>
      <w:szCs w:val="20"/>
    </w:rPr>
  </w:style>
  <w:style w:type="paragraph" w:styleId="TOC5">
    <w:name w:val="toc 5"/>
    <w:basedOn w:val="Normal"/>
    <w:next w:val="Normal"/>
    <w:autoRedefine/>
    <w:uiPriority w:val="39"/>
    <w:unhideWhenUsed/>
    <w:rsid w:val="0048765C"/>
    <w:pPr>
      <w:spacing w:after="0"/>
      <w:ind w:left="960"/>
    </w:pPr>
    <w:rPr>
      <w:rFonts w:cstheme="minorHAnsi"/>
      <w:sz w:val="20"/>
      <w:szCs w:val="20"/>
    </w:rPr>
  </w:style>
  <w:style w:type="paragraph" w:styleId="TOC6">
    <w:name w:val="toc 6"/>
    <w:basedOn w:val="Normal"/>
    <w:next w:val="Normal"/>
    <w:autoRedefine/>
    <w:uiPriority w:val="39"/>
    <w:unhideWhenUsed/>
    <w:rsid w:val="0048765C"/>
    <w:pPr>
      <w:spacing w:after="0"/>
      <w:ind w:left="1200"/>
    </w:pPr>
    <w:rPr>
      <w:rFonts w:cstheme="minorHAnsi"/>
      <w:sz w:val="20"/>
      <w:szCs w:val="20"/>
    </w:rPr>
  </w:style>
  <w:style w:type="paragraph" w:styleId="TOC7">
    <w:name w:val="toc 7"/>
    <w:basedOn w:val="Normal"/>
    <w:next w:val="Normal"/>
    <w:autoRedefine/>
    <w:uiPriority w:val="39"/>
    <w:unhideWhenUsed/>
    <w:rsid w:val="0048765C"/>
    <w:pPr>
      <w:spacing w:after="0"/>
      <w:ind w:left="1440"/>
    </w:pPr>
    <w:rPr>
      <w:rFonts w:cstheme="minorHAnsi"/>
      <w:sz w:val="20"/>
      <w:szCs w:val="20"/>
    </w:rPr>
  </w:style>
  <w:style w:type="paragraph" w:styleId="TOC8">
    <w:name w:val="toc 8"/>
    <w:basedOn w:val="Normal"/>
    <w:next w:val="Normal"/>
    <w:autoRedefine/>
    <w:uiPriority w:val="39"/>
    <w:unhideWhenUsed/>
    <w:rsid w:val="0048765C"/>
    <w:pPr>
      <w:spacing w:after="0"/>
      <w:ind w:left="1680"/>
    </w:pPr>
    <w:rPr>
      <w:rFonts w:cstheme="minorHAnsi"/>
      <w:sz w:val="20"/>
      <w:szCs w:val="20"/>
    </w:rPr>
  </w:style>
  <w:style w:type="paragraph" w:styleId="TOC9">
    <w:name w:val="toc 9"/>
    <w:basedOn w:val="Normal"/>
    <w:next w:val="Normal"/>
    <w:autoRedefine/>
    <w:uiPriority w:val="39"/>
    <w:unhideWhenUsed/>
    <w:rsid w:val="0048765C"/>
    <w:pPr>
      <w:spacing w:after="0"/>
      <w:ind w:left="1920"/>
    </w:pPr>
    <w:rPr>
      <w:rFonts w:cstheme="minorHAnsi"/>
      <w:sz w:val="20"/>
      <w:szCs w:val="20"/>
    </w:rPr>
  </w:style>
  <w:style w:type="character" w:customStyle="1" w:styleId="Heading8Char">
    <w:name w:val="Heading 8 Char"/>
    <w:basedOn w:val="DefaultParagraphFont"/>
    <w:link w:val="Heading8"/>
    <w:uiPriority w:val="9"/>
    <w:semiHidden/>
    <w:rsid w:val="004876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765C"/>
    <w:rPr>
      <w:rFonts w:asciiTheme="majorHAnsi" w:eastAsiaTheme="majorEastAsia" w:hAnsiTheme="majorHAnsi" w:cstheme="majorBidi"/>
      <w:i/>
      <w:iCs/>
      <w:color w:val="272727" w:themeColor="text1" w:themeTint="D8"/>
      <w:sz w:val="21"/>
      <w:szCs w:val="21"/>
    </w:rPr>
  </w:style>
  <w:style w:type="paragraph" w:customStyle="1" w:styleId="FrontMatterH2">
    <w:name w:val="Front Matter H2"/>
    <w:basedOn w:val="Heading2"/>
    <w:next w:val="Normal"/>
    <w:link w:val="FrontMatterH2Char"/>
    <w:qFormat/>
    <w:rsid w:val="00A746E4"/>
    <w:pPr>
      <w:spacing w:before="240"/>
    </w:pPr>
  </w:style>
  <w:style w:type="paragraph" w:styleId="TableofFigures">
    <w:name w:val="table of figures"/>
    <w:basedOn w:val="Normal"/>
    <w:next w:val="Normal"/>
    <w:uiPriority w:val="99"/>
    <w:unhideWhenUsed/>
    <w:rsid w:val="0052537A"/>
    <w:pPr>
      <w:spacing w:after="0"/>
    </w:pPr>
  </w:style>
  <w:style w:type="character" w:customStyle="1" w:styleId="FrontMatterH2Char">
    <w:name w:val="Front Matter H2 Char"/>
    <w:basedOn w:val="Heading2Char"/>
    <w:link w:val="FrontMatterH2"/>
    <w:rsid w:val="00A746E4"/>
    <w:rPr>
      <w:rFonts w:ascii="Arial" w:hAnsi="Arial" w:cs="Arial"/>
      <w:b/>
      <w:color w:val="2F5496" w:themeColor="accent5" w:themeShade="BF"/>
      <w:sz w:val="36"/>
    </w:rPr>
  </w:style>
  <w:style w:type="paragraph" w:styleId="Caption">
    <w:name w:val="caption"/>
    <w:basedOn w:val="Normal"/>
    <w:next w:val="Normal"/>
    <w:link w:val="CaptionChar"/>
    <w:uiPriority w:val="35"/>
    <w:unhideWhenUsed/>
    <w:qFormat/>
    <w:rsid w:val="005B4B85"/>
    <w:pPr>
      <w:spacing w:after="200"/>
    </w:pPr>
    <w:rPr>
      <w:rFonts w:ascii="Arial" w:hAnsi="Arial" w:cs="Arial"/>
      <w:iCs/>
      <w:sz w:val="22"/>
      <w:szCs w:val="20"/>
    </w:rPr>
  </w:style>
  <w:style w:type="paragraph" w:customStyle="1" w:styleId="H1-BasicCover">
    <w:name w:val="H1-BasicCover"/>
    <w:basedOn w:val="Heading1"/>
    <w:link w:val="H1-BasicCoverChar"/>
    <w:qFormat/>
    <w:rsid w:val="00A63D88"/>
    <w:pPr>
      <w:ind w:left="2880"/>
    </w:pPr>
    <w:rPr>
      <w:noProof/>
      <w:lang w:eastAsia="zh-TW"/>
    </w:rPr>
  </w:style>
  <w:style w:type="paragraph" w:customStyle="1" w:styleId="Sub-BasicCover">
    <w:name w:val="Sub-BasicCover"/>
    <w:basedOn w:val="Subtitle"/>
    <w:link w:val="Sub-BasicCoverChar"/>
    <w:rsid w:val="00C03569"/>
    <w:pPr>
      <w:spacing w:before="480"/>
      <w:ind w:left="2880"/>
    </w:pPr>
  </w:style>
  <w:style w:type="character" w:customStyle="1" w:styleId="H1-BasicCoverChar">
    <w:name w:val="H1-BasicCover Char"/>
    <w:basedOn w:val="Heading1Char"/>
    <w:link w:val="H1-BasicCover"/>
    <w:rsid w:val="00A63D88"/>
    <w:rPr>
      <w:rFonts w:ascii="Franklin Gothic Medium" w:hAnsi="Franklin Gothic Medium"/>
      <w:noProof/>
      <w:sz w:val="40"/>
      <w:szCs w:val="40"/>
      <w:lang w:eastAsia="zh-TW"/>
    </w:rPr>
  </w:style>
  <w:style w:type="paragraph" w:customStyle="1" w:styleId="H1-ModernCover">
    <w:name w:val="H1-ModernCover"/>
    <w:basedOn w:val="Heading1"/>
    <w:next w:val="Normal"/>
    <w:link w:val="H1-ModernCoverChar"/>
    <w:rsid w:val="009D7C3F"/>
    <w:pPr>
      <w:spacing w:after="0"/>
      <w:ind w:left="6768" w:hanging="3024"/>
    </w:pPr>
  </w:style>
  <w:style w:type="character" w:customStyle="1" w:styleId="Sub-BasicCoverChar">
    <w:name w:val="Sub-BasicCover Char"/>
    <w:basedOn w:val="SubtitleChar"/>
    <w:link w:val="Sub-BasicCover"/>
    <w:rsid w:val="00C03569"/>
    <w:rPr>
      <w:rFonts w:ascii="Times New Roman" w:hAnsi="Times New Roman"/>
      <w:b/>
      <w:sz w:val="32"/>
      <w:szCs w:val="32"/>
    </w:rPr>
  </w:style>
  <w:style w:type="paragraph" w:customStyle="1" w:styleId="Subhead-ModernCover">
    <w:name w:val="Subhead-ModernCover"/>
    <w:basedOn w:val="Subtitle"/>
    <w:link w:val="Subhead-ModernCoverChar"/>
    <w:rsid w:val="009D7C3F"/>
    <w:pPr>
      <w:spacing w:before="360"/>
      <w:ind w:left="3744"/>
    </w:pPr>
  </w:style>
  <w:style w:type="character" w:customStyle="1" w:styleId="H1-ModernCoverChar">
    <w:name w:val="H1-ModernCover Char"/>
    <w:basedOn w:val="Heading1Char"/>
    <w:link w:val="H1-ModernCover"/>
    <w:rsid w:val="009D7C3F"/>
    <w:rPr>
      <w:rFonts w:ascii="Franklin Gothic Medium" w:hAnsi="Franklin Gothic Medium"/>
      <w:sz w:val="40"/>
      <w:szCs w:val="40"/>
    </w:rPr>
  </w:style>
  <w:style w:type="character" w:styleId="Strong">
    <w:name w:val="Strong"/>
    <w:basedOn w:val="DefaultParagraphFont"/>
    <w:uiPriority w:val="22"/>
    <w:qFormat/>
    <w:rsid w:val="00954FD8"/>
    <w:rPr>
      <w:b/>
      <w:bCs/>
    </w:rPr>
  </w:style>
  <w:style w:type="character" w:customStyle="1" w:styleId="Subhead-ModernCoverChar">
    <w:name w:val="Subhead-ModernCover Char"/>
    <w:basedOn w:val="SubtitleChar"/>
    <w:link w:val="Subhead-ModernCover"/>
    <w:rsid w:val="009D7C3F"/>
    <w:rPr>
      <w:b/>
      <w:sz w:val="32"/>
      <w:szCs w:val="32"/>
    </w:rPr>
  </w:style>
  <w:style w:type="paragraph" w:customStyle="1" w:styleId="Front-H3">
    <w:name w:val="Front-H3"/>
    <w:basedOn w:val="Heading3"/>
    <w:link w:val="Front-H3Char"/>
    <w:rsid w:val="00211881"/>
    <w:pPr>
      <w:jc w:val="center"/>
    </w:pPr>
    <w:rPr>
      <w:color w:val="auto"/>
      <w:sz w:val="28"/>
    </w:rPr>
  </w:style>
  <w:style w:type="paragraph" w:customStyle="1" w:styleId="Front-H3b">
    <w:name w:val="Front-H3b"/>
    <w:basedOn w:val="Front-H3"/>
    <w:link w:val="Front-H3bChar"/>
    <w:rsid w:val="00211881"/>
    <w:pPr>
      <w:jc w:val="left"/>
    </w:pPr>
    <w:rPr>
      <w:sz w:val="24"/>
    </w:rPr>
  </w:style>
  <w:style w:type="character" w:customStyle="1" w:styleId="Front-H3Char">
    <w:name w:val="Front-H3 Char"/>
    <w:basedOn w:val="Heading3Char"/>
    <w:link w:val="Front-H3"/>
    <w:rsid w:val="00211881"/>
    <w:rPr>
      <w:rFonts w:ascii="Arial" w:hAnsi="Arial" w:cs="Arial"/>
      <w:b/>
      <w:color w:val="2E74B5" w:themeColor="accent1" w:themeShade="BF"/>
      <w:sz w:val="28"/>
    </w:rPr>
  </w:style>
  <w:style w:type="paragraph" w:customStyle="1" w:styleId="Normal2">
    <w:name w:val="Normal2"/>
    <w:basedOn w:val="Normal"/>
    <w:link w:val="Normal2Char"/>
    <w:rsid w:val="00A746E4"/>
    <w:pPr>
      <w:spacing w:after="120"/>
    </w:pPr>
  </w:style>
  <w:style w:type="character" w:customStyle="1" w:styleId="Front-H3bChar">
    <w:name w:val="Front-H3b Char"/>
    <w:basedOn w:val="Front-H3Char"/>
    <w:link w:val="Front-H3b"/>
    <w:rsid w:val="00211881"/>
    <w:rPr>
      <w:rFonts w:ascii="Arial" w:hAnsi="Arial" w:cs="Arial"/>
      <w:b/>
      <w:color w:val="2E74B5" w:themeColor="accent1" w:themeShade="BF"/>
      <w:sz w:val="24"/>
    </w:rPr>
  </w:style>
  <w:style w:type="character" w:customStyle="1" w:styleId="Normal2Char">
    <w:name w:val="Normal2 Char"/>
    <w:basedOn w:val="DefaultParagraphFont"/>
    <w:link w:val="Normal2"/>
    <w:rsid w:val="00A746E4"/>
    <w:rPr>
      <w:sz w:val="24"/>
    </w:rPr>
  </w:style>
  <w:style w:type="paragraph" w:customStyle="1" w:styleId="TitlePage">
    <w:name w:val="TitlePage"/>
    <w:basedOn w:val="Heading1"/>
    <w:link w:val="TitlePageChar"/>
    <w:qFormat/>
    <w:rsid w:val="001012C9"/>
    <w:pPr>
      <w:pBdr>
        <w:bottom w:val="single" w:sz="24" w:space="12" w:color="auto"/>
      </w:pBdr>
      <w:tabs>
        <w:tab w:val="left" w:pos="2970"/>
      </w:tabs>
      <w:spacing w:before="2040"/>
      <w:ind w:left="0"/>
      <w:jc w:val="center"/>
    </w:pPr>
    <w:rPr>
      <w:sz w:val="48"/>
    </w:rPr>
  </w:style>
  <w:style w:type="paragraph" w:customStyle="1" w:styleId="Title-Page">
    <w:name w:val="Title-Page"/>
    <w:basedOn w:val="TitlePage"/>
    <w:link w:val="Title-PageChar"/>
    <w:rsid w:val="00655988"/>
    <w:pPr>
      <w:spacing w:before="2280"/>
    </w:pPr>
  </w:style>
  <w:style w:type="character" w:customStyle="1" w:styleId="TitlePageChar">
    <w:name w:val="TitlePage Char"/>
    <w:basedOn w:val="Heading1Char"/>
    <w:link w:val="TitlePage"/>
    <w:rsid w:val="001012C9"/>
    <w:rPr>
      <w:rFonts w:ascii="Franklin Gothic Medium" w:hAnsi="Franklin Gothic Medium"/>
      <w:sz w:val="48"/>
      <w:szCs w:val="40"/>
    </w:rPr>
  </w:style>
  <w:style w:type="character" w:customStyle="1" w:styleId="Title-PageChar">
    <w:name w:val="Title-Page Char"/>
    <w:basedOn w:val="TitlePageChar"/>
    <w:link w:val="Title-Page"/>
    <w:rsid w:val="00655988"/>
    <w:rPr>
      <w:rFonts w:ascii="Franklin Gothic Medium" w:hAnsi="Franklin Gothic Medium"/>
      <w:b w:val="0"/>
      <w:sz w:val="40"/>
      <w:szCs w:val="40"/>
    </w:rPr>
  </w:style>
  <w:style w:type="paragraph" w:customStyle="1" w:styleId="FocusbodyText">
    <w:name w:val="Focus body Text"/>
    <w:basedOn w:val="Normal"/>
    <w:link w:val="FocusbodyTextChar"/>
    <w:autoRedefine/>
    <w:qFormat/>
    <w:rsid w:val="001A536B"/>
    <w:pPr>
      <w:numPr>
        <w:numId w:val="2"/>
      </w:numPr>
      <w:spacing w:after="120"/>
    </w:pPr>
    <w:rPr>
      <w:rFonts w:ascii="Cambria" w:hAnsi="Cambria"/>
      <w:sz w:val="22"/>
    </w:rPr>
  </w:style>
  <w:style w:type="character" w:customStyle="1" w:styleId="FocusbodyTextChar">
    <w:name w:val="Focus body Text Char"/>
    <w:basedOn w:val="DefaultParagraphFont"/>
    <w:link w:val="FocusbodyText"/>
    <w:rsid w:val="001A536B"/>
    <w:rPr>
      <w:rFonts w:ascii="Cambria" w:hAnsi="Cambria"/>
    </w:rPr>
  </w:style>
  <w:style w:type="table" w:styleId="TableGrid">
    <w:name w:val="Table Grid"/>
    <w:basedOn w:val="TableNormal"/>
    <w:uiPriority w:val="39"/>
    <w:rsid w:val="001A536B"/>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991BA8"/>
    <w:pPr>
      <w:keepNext/>
      <w:spacing w:after="0"/>
    </w:pPr>
  </w:style>
  <w:style w:type="character" w:customStyle="1" w:styleId="CaptionChar">
    <w:name w:val="Caption Char"/>
    <w:basedOn w:val="DefaultParagraphFont"/>
    <w:link w:val="Caption"/>
    <w:uiPriority w:val="35"/>
    <w:rsid w:val="001A536B"/>
    <w:rPr>
      <w:rFonts w:ascii="Arial" w:hAnsi="Arial" w:cs="Arial"/>
      <w:iCs/>
      <w:szCs w:val="20"/>
    </w:rPr>
  </w:style>
  <w:style w:type="character" w:customStyle="1" w:styleId="TablecellChar">
    <w:name w:val="Table cell Char"/>
    <w:basedOn w:val="CaptionChar"/>
    <w:link w:val="Tablecell"/>
    <w:rsid w:val="00991BA8"/>
    <w:rPr>
      <w:rFonts w:ascii="Arial" w:hAnsi="Arial" w:cs="Arial"/>
      <w:iCs/>
      <w:szCs w:val="20"/>
    </w:rPr>
  </w:style>
  <w:style w:type="paragraph" w:styleId="NoSpacing">
    <w:name w:val="No Spacing"/>
    <w:uiPriority w:val="1"/>
    <w:qFormat/>
    <w:rsid w:val="00BA499B"/>
    <w:pPr>
      <w:spacing w:after="0"/>
      <w:ind w:left="0"/>
    </w:pPr>
    <w:rPr>
      <w:sz w:val="24"/>
    </w:rPr>
  </w:style>
  <w:style w:type="character" w:styleId="FollowedHyperlink">
    <w:name w:val="FollowedHyperlink"/>
    <w:basedOn w:val="DefaultParagraphFont"/>
    <w:uiPriority w:val="99"/>
    <w:semiHidden/>
    <w:unhideWhenUsed/>
    <w:rsid w:val="00291D0C"/>
    <w:rPr>
      <w:color w:val="954F72" w:themeColor="followedHyperlink"/>
      <w:u w:val="single"/>
    </w:rPr>
  </w:style>
  <w:style w:type="character" w:styleId="SubtleEmphasis">
    <w:name w:val="Subtle Emphasis"/>
    <w:basedOn w:val="DefaultParagraphFont"/>
    <w:uiPriority w:val="19"/>
    <w:rsid w:val="001012C9"/>
    <w:rPr>
      <w:i w:val="0"/>
      <w:iCs/>
      <w:color w:val="404040" w:themeColor="text1" w:themeTint="BF"/>
    </w:rPr>
  </w:style>
  <w:style w:type="paragraph" w:customStyle="1" w:styleId="RMSubtitleRAcontents">
    <w:name w:val="RM Subtitle RA contents"/>
    <w:basedOn w:val="Normal"/>
    <w:link w:val="RMSubtitleRAcontentsChar"/>
    <w:qFormat/>
    <w:rsid w:val="00EE2174"/>
    <w:pPr>
      <w:spacing w:line="259" w:lineRule="auto"/>
      <w:ind w:left="2160"/>
    </w:pPr>
    <w:rPr>
      <w:rFonts w:ascii="Arial" w:hAnsi="Arial" w:cs="Times New Roman"/>
      <w:sz w:val="32"/>
      <w:szCs w:val="32"/>
    </w:rPr>
  </w:style>
  <w:style w:type="character" w:customStyle="1" w:styleId="RMSubtitleRAcontentsChar">
    <w:name w:val="RM Subtitle RA contents Char"/>
    <w:basedOn w:val="DefaultParagraphFont"/>
    <w:link w:val="RMSubtitleRAcontents"/>
    <w:rsid w:val="00EE2174"/>
    <w:rPr>
      <w:rFonts w:ascii="Arial" w:hAnsi="Arial" w:cs="Times New Roman"/>
      <w:sz w:val="32"/>
      <w:szCs w:val="32"/>
    </w:rPr>
  </w:style>
  <w:style w:type="paragraph" w:customStyle="1" w:styleId="RMSubtitleWACandTitle">
    <w:name w:val="RM Subtitle WAC and Title"/>
    <w:basedOn w:val="Normal"/>
    <w:link w:val="RMSubtitleWACandTitleChar"/>
    <w:qFormat/>
    <w:rsid w:val="009B72B9"/>
    <w:pPr>
      <w:spacing w:line="259" w:lineRule="auto"/>
      <w:ind w:left="2160"/>
    </w:pPr>
    <w:rPr>
      <w:rFonts w:cs="Times New Roman"/>
      <w:b/>
      <w:sz w:val="32"/>
      <w:szCs w:val="36"/>
    </w:rPr>
  </w:style>
  <w:style w:type="character" w:customStyle="1" w:styleId="RMSubtitleWACandTitleChar">
    <w:name w:val="RM Subtitle WAC and Title Char"/>
    <w:basedOn w:val="DefaultParagraphFont"/>
    <w:link w:val="RMSubtitleWACandTitle"/>
    <w:rsid w:val="009B72B9"/>
    <w:rPr>
      <w:rFonts w:cs="Times New Roman"/>
      <w:b/>
      <w:sz w:val="32"/>
      <w:szCs w:val="36"/>
    </w:rPr>
  </w:style>
  <w:style w:type="paragraph" w:customStyle="1" w:styleId="RMDateandPubno">
    <w:name w:val="RM Date and Pub no"/>
    <w:basedOn w:val="Normal"/>
    <w:link w:val="RMDateandPubnoChar"/>
    <w:qFormat/>
    <w:rsid w:val="00770774"/>
    <w:pPr>
      <w:spacing w:before="3480" w:line="259" w:lineRule="auto"/>
      <w:ind w:left="2160"/>
    </w:pPr>
    <w:rPr>
      <w:rFonts w:ascii="Book Antiqua" w:hAnsi="Book Antiqua" w:cs="Times New Roman"/>
      <w:sz w:val="28"/>
      <w:szCs w:val="28"/>
    </w:rPr>
  </w:style>
  <w:style w:type="character" w:customStyle="1" w:styleId="RMDateandPubnoChar">
    <w:name w:val="RM Date and Pub no Char"/>
    <w:basedOn w:val="DefaultParagraphFont"/>
    <w:link w:val="RMDateandPubno"/>
    <w:rsid w:val="00770774"/>
    <w:rPr>
      <w:rFonts w:ascii="Book Antiqua" w:hAnsi="Book Antiqua" w:cs="Times New Roman"/>
      <w:sz w:val="28"/>
      <w:szCs w:val="28"/>
    </w:rPr>
  </w:style>
  <w:style w:type="paragraph" w:customStyle="1" w:styleId="RMPublicationpagebody">
    <w:name w:val="RM Publication page body"/>
    <w:basedOn w:val="Normal"/>
    <w:link w:val="RMPublicationpagebodyChar"/>
    <w:qFormat/>
    <w:rsid w:val="00492083"/>
    <w:pPr>
      <w:spacing w:line="259" w:lineRule="auto"/>
      <w:contextualSpacing/>
    </w:pPr>
    <w:rPr>
      <w:rFonts w:cstheme="minorHAnsi"/>
      <w:sz w:val="22"/>
    </w:rPr>
  </w:style>
  <w:style w:type="character" w:customStyle="1" w:styleId="RMPublicationpagebodyChar">
    <w:name w:val="RM Publication page body Char"/>
    <w:basedOn w:val="DefaultParagraphFont"/>
    <w:link w:val="RMPublicationpagebody"/>
    <w:rsid w:val="00492083"/>
    <w:rPr>
      <w:rFonts w:cstheme="minorHAnsi"/>
    </w:rPr>
  </w:style>
  <w:style w:type="paragraph" w:customStyle="1" w:styleId="RMTitledocumenttitleonly">
    <w:name w:val="RM Title (document title only)"/>
    <w:basedOn w:val="Normal"/>
    <w:link w:val="RMTitledocumenttitleonlyChar"/>
    <w:qFormat/>
    <w:rsid w:val="009B72B9"/>
    <w:pPr>
      <w:spacing w:before="4080" w:line="259" w:lineRule="auto"/>
      <w:ind w:left="2160"/>
    </w:pPr>
    <w:rPr>
      <w:rFonts w:ascii="Franklin Gothic Medium" w:hAnsi="Franklin Gothic Medium" w:cs="Arial"/>
      <w:b/>
      <w:noProof/>
      <w:sz w:val="48"/>
      <w:szCs w:val="40"/>
    </w:rPr>
  </w:style>
  <w:style w:type="character" w:customStyle="1" w:styleId="RMTitledocumenttitleonlyChar">
    <w:name w:val="RM Title (document title only) Char"/>
    <w:basedOn w:val="DefaultParagraphFont"/>
    <w:link w:val="RMTitledocumenttitleonly"/>
    <w:rsid w:val="009B72B9"/>
    <w:rPr>
      <w:rFonts w:ascii="Franklin Gothic Medium" w:hAnsi="Franklin Gothic Medium" w:cs="Arial"/>
      <w:b/>
      <w:noProof/>
      <w:sz w:val="48"/>
      <w:szCs w:val="40"/>
    </w:rPr>
  </w:style>
  <w:style w:type="character" w:customStyle="1" w:styleId="RMChaptertitleChar">
    <w:name w:val="RM Chapter title Char"/>
    <w:basedOn w:val="DefaultParagraphFont"/>
    <w:link w:val="RMChaptertitle"/>
    <w:locked/>
    <w:rsid w:val="00207ABE"/>
    <w:rPr>
      <w:rFonts w:ascii="Arial" w:eastAsia="Times New Roman" w:hAnsi="Arial" w:cs="Arial"/>
      <w:b/>
      <w:sz w:val="36"/>
      <w:szCs w:val="36"/>
    </w:rPr>
  </w:style>
  <w:style w:type="paragraph" w:customStyle="1" w:styleId="RMChaptertitle">
    <w:name w:val="RM Chapter title"/>
    <w:next w:val="Paragraph"/>
    <w:link w:val="RMChaptertitleChar"/>
    <w:qFormat/>
    <w:rsid w:val="000C7507"/>
    <w:pPr>
      <w:keepNext/>
      <w:ind w:left="0"/>
      <w:jc w:val="center"/>
      <w:outlineLvl w:val="1"/>
    </w:pPr>
    <w:rPr>
      <w:rFonts w:ascii="Arial" w:eastAsia="Times New Roman" w:hAnsi="Arial" w:cs="Arial"/>
      <w:b/>
      <w:sz w:val="36"/>
      <w:szCs w:val="36"/>
    </w:rPr>
  </w:style>
  <w:style w:type="character" w:customStyle="1" w:styleId="RMBlankpagedisclaimerChar">
    <w:name w:val="RM Blank page disclaimer Char"/>
    <w:basedOn w:val="DefaultParagraphFont"/>
    <w:link w:val="RMBlankpagedisclaimer"/>
    <w:locked/>
    <w:rsid w:val="00C03569"/>
    <w:rPr>
      <w:rFonts w:ascii="Times New Roman" w:hAnsi="Times New Roman" w:cs="Times New Roman"/>
      <w:i/>
      <w:sz w:val="24"/>
      <w:szCs w:val="24"/>
    </w:rPr>
  </w:style>
  <w:style w:type="paragraph" w:customStyle="1" w:styleId="RMBlankpagedisclaimer">
    <w:name w:val="RM Blank page disclaimer"/>
    <w:basedOn w:val="Normal"/>
    <w:link w:val="RMBlankpagedisclaimerChar"/>
    <w:qFormat/>
    <w:rsid w:val="00C03569"/>
    <w:pPr>
      <w:spacing w:line="256" w:lineRule="auto"/>
      <w:jc w:val="center"/>
    </w:pPr>
    <w:rPr>
      <w:rFonts w:cs="Times New Roman"/>
      <w:i/>
      <w:szCs w:val="24"/>
    </w:rPr>
  </w:style>
  <w:style w:type="character" w:customStyle="1" w:styleId="RMHeading3Char">
    <w:name w:val="RM Heading 3 Char"/>
    <w:basedOn w:val="DefaultParagraphFont"/>
    <w:link w:val="RMHeading3"/>
    <w:locked/>
    <w:rsid w:val="00207ABE"/>
    <w:rPr>
      <w:rFonts w:ascii="Arial" w:hAnsi="Arial" w:cs="Arial"/>
      <w:b/>
      <w:sz w:val="32"/>
      <w:szCs w:val="32"/>
    </w:rPr>
  </w:style>
  <w:style w:type="paragraph" w:customStyle="1" w:styleId="RMHeading3">
    <w:name w:val="RM Heading 3"/>
    <w:next w:val="Paragraph"/>
    <w:link w:val="RMHeading3Char"/>
    <w:qFormat/>
    <w:rsid w:val="00686CED"/>
    <w:pPr>
      <w:keepNext/>
      <w:spacing w:before="240" w:line="257" w:lineRule="auto"/>
      <w:ind w:left="0"/>
      <w:outlineLvl w:val="2"/>
    </w:pPr>
    <w:rPr>
      <w:rFonts w:ascii="Arial" w:hAnsi="Arial" w:cs="Arial"/>
      <w:b/>
      <w:sz w:val="32"/>
      <w:szCs w:val="32"/>
    </w:rPr>
  </w:style>
  <w:style w:type="character" w:customStyle="1" w:styleId="RMSectionXXXChar">
    <w:name w:val="RM Section X.X.X Char"/>
    <w:basedOn w:val="DefaultParagraphFont"/>
    <w:link w:val="RMSectionXXX"/>
    <w:locked/>
    <w:rsid w:val="00207ABE"/>
    <w:rPr>
      <w:rFonts w:ascii="Arial" w:hAnsi="Arial" w:cs="Arial"/>
      <w:b/>
      <w:sz w:val="24"/>
      <w:szCs w:val="24"/>
    </w:rPr>
  </w:style>
  <w:style w:type="paragraph" w:customStyle="1" w:styleId="RMSectionXXX">
    <w:name w:val="RM Section X.X.X"/>
    <w:next w:val="Paragraph"/>
    <w:link w:val="RMSectionXXXChar"/>
    <w:qFormat/>
    <w:rsid w:val="00686CED"/>
    <w:pPr>
      <w:keepNext/>
      <w:spacing w:before="240" w:line="257" w:lineRule="auto"/>
      <w:ind w:left="0"/>
      <w:outlineLvl w:val="3"/>
    </w:pPr>
    <w:rPr>
      <w:rFonts w:ascii="Arial" w:hAnsi="Arial" w:cs="Arial"/>
      <w:b/>
      <w:sz w:val="24"/>
      <w:szCs w:val="24"/>
    </w:rPr>
  </w:style>
  <w:style w:type="paragraph" w:customStyle="1" w:styleId="Tablecells">
    <w:name w:val="Table cells"/>
    <w:basedOn w:val="Normal"/>
    <w:link w:val="TablecellsChar"/>
    <w:rsid w:val="00991BA8"/>
    <w:pPr>
      <w:spacing w:after="0"/>
    </w:pPr>
    <w:rPr>
      <w:rFonts w:ascii="Arial" w:hAnsi="Arial" w:cstheme="minorHAnsi"/>
      <w:sz w:val="22"/>
    </w:rPr>
  </w:style>
  <w:style w:type="paragraph" w:customStyle="1" w:styleId="CoverPageDetaills">
    <w:name w:val="Cover Page Detaills"/>
    <w:basedOn w:val="Normal"/>
    <w:link w:val="CoverPageDetaillsChar"/>
    <w:qFormat/>
    <w:rsid w:val="00E24360"/>
    <w:pPr>
      <w:tabs>
        <w:tab w:val="left" w:pos="2900"/>
      </w:tabs>
      <w:ind w:left="2160"/>
    </w:pPr>
  </w:style>
  <w:style w:type="character" w:customStyle="1" w:styleId="TablecellsChar">
    <w:name w:val="Table cells Char"/>
    <w:basedOn w:val="DefaultParagraphFont"/>
    <w:link w:val="Tablecells"/>
    <w:rsid w:val="00991BA8"/>
    <w:rPr>
      <w:rFonts w:ascii="Arial" w:hAnsi="Arial" w:cstheme="minorHAnsi"/>
    </w:rPr>
  </w:style>
  <w:style w:type="character" w:customStyle="1" w:styleId="CoverPageDetaillsChar">
    <w:name w:val="Cover Page Detaills Char"/>
    <w:basedOn w:val="DefaultParagraphFont"/>
    <w:link w:val="CoverPageDetaills"/>
    <w:rsid w:val="00E24360"/>
    <w:rPr>
      <w:rFonts w:ascii="Times New Roman" w:hAnsi="Times New Roman"/>
      <w:sz w:val="24"/>
    </w:rPr>
  </w:style>
  <w:style w:type="paragraph" w:styleId="EndnoteText">
    <w:name w:val="endnote text"/>
    <w:basedOn w:val="Normal"/>
    <w:link w:val="EndnoteTextChar"/>
    <w:uiPriority w:val="99"/>
    <w:semiHidden/>
    <w:unhideWhenUsed/>
    <w:rsid w:val="001271C1"/>
    <w:pPr>
      <w:spacing w:after="0"/>
    </w:pPr>
    <w:rPr>
      <w:sz w:val="20"/>
      <w:szCs w:val="20"/>
    </w:rPr>
  </w:style>
  <w:style w:type="character" w:customStyle="1" w:styleId="EndnoteTextChar">
    <w:name w:val="Endnote Text Char"/>
    <w:basedOn w:val="DefaultParagraphFont"/>
    <w:link w:val="EndnoteText"/>
    <w:uiPriority w:val="99"/>
    <w:semiHidden/>
    <w:rsid w:val="001271C1"/>
    <w:rPr>
      <w:sz w:val="20"/>
      <w:szCs w:val="20"/>
    </w:rPr>
  </w:style>
  <w:style w:type="character" w:styleId="EndnoteReference">
    <w:name w:val="endnote reference"/>
    <w:basedOn w:val="DefaultParagraphFont"/>
    <w:uiPriority w:val="99"/>
    <w:semiHidden/>
    <w:unhideWhenUsed/>
    <w:rsid w:val="001271C1"/>
    <w:rPr>
      <w:vertAlign w:val="superscript"/>
    </w:rPr>
  </w:style>
  <w:style w:type="paragraph" w:customStyle="1" w:styleId="Default">
    <w:name w:val="Default"/>
    <w:rsid w:val="00062E3B"/>
    <w:pPr>
      <w:autoSpaceDE w:val="0"/>
      <w:autoSpaceDN w:val="0"/>
      <w:adjustRightInd w:val="0"/>
      <w:spacing w:after="0"/>
      <w:ind w:left="0"/>
    </w:pPr>
    <w:rPr>
      <w:rFonts w:ascii="Courier New PSMT" w:hAnsi="Courier New PSMT" w:cs="Courier New PSMT"/>
      <w:color w:val="000000"/>
      <w:sz w:val="24"/>
      <w:szCs w:val="24"/>
    </w:rPr>
  </w:style>
  <w:style w:type="table" w:styleId="GridTable5Dark-Accent3">
    <w:name w:val="Grid Table 5 Dark Accent 3"/>
    <w:basedOn w:val="TableNormal"/>
    <w:uiPriority w:val="50"/>
    <w:rsid w:val="00D6388B"/>
    <w:pPr>
      <w:spacing w:after="0"/>
      <w:ind w:left="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991135"/>
    <w:rPr>
      <w:color w:val="605E5C"/>
      <w:shd w:val="clear" w:color="auto" w:fill="E1DFDD"/>
    </w:rPr>
  </w:style>
  <w:style w:type="character" w:customStyle="1" w:styleId="cf01">
    <w:name w:val="cf01"/>
    <w:basedOn w:val="DefaultParagraphFont"/>
    <w:rsid w:val="00DA55F2"/>
    <w:rPr>
      <w:rFonts w:ascii="Segoe UI" w:hAnsi="Segoe UI" w:cs="Segoe UI" w:hint="default"/>
      <w:sz w:val="18"/>
      <w:szCs w:val="18"/>
    </w:rPr>
  </w:style>
  <w:style w:type="character" w:customStyle="1" w:styleId="ui-provider">
    <w:name w:val="ui-provider"/>
    <w:basedOn w:val="DefaultParagraphFont"/>
    <w:rsid w:val="0049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4606">
      <w:bodyDiv w:val="1"/>
      <w:marLeft w:val="0"/>
      <w:marRight w:val="0"/>
      <w:marTop w:val="0"/>
      <w:marBottom w:val="0"/>
      <w:divBdr>
        <w:top w:val="none" w:sz="0" w:space="0" w:color="auto"/>
        <w:left w:val="none" w:sz="0" w:space="0" w:color="auto"/>
        <w:bottom w:val="none" w:sz="0" w:space="0" w:color="auto"/>
        <w:right w:val="none" w:sz="0" w:space="0" w:color="auto"/>
      </w:divBdr>
    </w:div>
    <w:div w:id="429621117">
      <w:bodyDiv w:val="1"/>
      <w:marLeft w:val="0"/>
      <w:marRight w:val="0"/>
      <w:marTop w:val="0"/>
      <w:marBottom w:val="0"/>
      <w:divBdr>
        <w:top w:val="none" w:sz="0" w:space="0" w:color="auto"/>
        <w:left w:val="none" w:sz="0" w:space="0" w:color="auto"/>
        <w:bottom w:val="none" w:sz="0" w:space="0" w:color="auto"/>
        <w:right w:val="none" w:sz="0" w:space="0" w:color="auto"/>
      </w:divBdr>
    </w:div>
    <w:div w:id="496846320">
      <w:bodyDiv w:val="1"/>
      <w:marLeft w:val="0"/>
      <w:marRight w:val="0"/>
      <w:marTop w:val="0"/>
      <w:marBottom w:val="0"/>
      <w:divBdr>
        <w:top w:val="none" w:sz="0" w:space="0" w:color="auto"/>
        <w:left w:val="none" w:sz="0" w:space="0" w:color="auto"/>
        <w:bottom w:val="none" w:sz="0" w:space="0" w:color="auto"/>
        <w:right w:val="none" w:sz="0" w:space="0" w:color="auto"/>
      </w:divBdr>
    </w:div>
    <w:div w:id="604264925">
      <w:bodyDiv w:val="1"/>
      <w:marLeft w:val="0"/>
      <w:marRight w:val="0"/>
      <w:marTop w:val="0"/>
      <w:marBottom w:val="0"/>
      <w:divBdr>
        <w:top w:val="none" w:sz="0" w:space="0" w:color="auto"/>
        <w:left w:val="none" w:sz="0" w:space="0" w:color="auto"/>
        <w:bottom w:val="none" w:sz="0" w:space="0" w:color="auto"/>
        <w:right w:val="none" w:sz="0" w:space="0" w:color="auto"/>
      </w:divBdr>
    </w:div>
    <w:div w:id="750396103">
      <w:bodyDiv w:val="1"/>
      <w:marLeft w:val="0"/>
      <w:marRight w:val="0"/>
      <w:marTop w:val="0"/>
      <w:marBottom w:val="0"/>
      <w:divBdr>
        <w:top w:val="none" w:sz="0" w:space="0" w:color="auto"/>
        <w:left w:val="none" w:sz="0" w:space="0" w:color="auto"/>
        <w:bottom w:val="none" w:sz="0" w:space="0" w:color="auto"/>
        <w:right w:val="none" w:sz="0" w:space="0" w:color="auto"/>
      </w:divBdr>
    </w:div>
    <w:div w:id="798303115">
      <w:bodyDiv w:val="1"/>
      <w:marLeft w:val="0"/>
      <w:marRight w:val="0"/>
      <w:marTop w:val="0"/>
      <w:marBottom w:val="0"/>
      <w:divBdr>
        <w:top w:val="none" w:sz="0" w:space="0" w:color="auto"/>
        <w:left w:val="none" w:sz="0" w:space="0" w:color="auto"/>
        <w:bottom w:val="none" w:sz="0" w:space="0" w:color="auto"/>
        <w:right w:val="none" w:sz="0" w:space="0" w:color="auto"/>
      </w:divBdr>
    </w:div>
    <w:div w:id="882518400">
      <w:bodyDiv w:val="1"/>
      <w:marLeft w:val="0"/>
      <w:marRight w:val="0"/>
      <w:marTop w:val="0"/>
      <w:marBottom w:val="0"/>
      <w:divBdr>
        <w:top w:val="none" w:sz="0" w:space="0" w:color="auto"/>
        <w:left w:val="none" w:sz="0" w:space="0" w:color="auto"/>
        <w:bottom w:val="none" w:sz="0" w:space="0" w:color="auto"/>
        <w:right w:val="none" w:sz="0" w:space="0" w:color="auto"/>
      </w:divBdr>
    </w:div>
    <w:div w:id="953827206">
      <w:bodyDiv w:val="1"/>
      <w:marLeft w:val="0"/>
      <w:marRight w:val="0"/>
      <w:marTop w:val="0"/>
      <w:marBottom w:val="0"/>
      <w:divBdr>
        <w:top w:val="none" w:sz="0" w:space="0" w:color="auto"/>
        <w:left w:val="none" w:sz="0" w:space="0" w:color="auto"/>
        <w:bottom w:val="none" w:sz="0" w:space="0" w:color="auto"/>
        <w:right w:val="none" w:sz="0" w:space="0" w:color="auto"/>
      </w:divBdr>
    </w:div>
    <w:div w:id="1135638974">
      <w:bodyDiv w:val="1"/>
      <w:marLeft w:val="0"/>
      <w:marRight w:val="0"/>
      <w:marTop w:val="0"/>
      <w:marBottom w:val="0"/>
      <w:divBdr>
        <w:top w:val="none" w:sz="0" w:space="0" w:color="auto"/>
        <w:left w:val="none" w:sz="0" w:space="0" w:color="auto"/>
        <w:bottom w:val="none" w:sz="0" w:space="0" w:color="auto"/>
        <w:right w:val="none" w:sz="0" w:space="0" w:color="auto"/>
      </w:divBdr>
    </w:div>
    <w:div w:id="1244529118">
      <w:bodyDiv w:val="1"/>
      <w:marLeft w:val="0"/>
      <w:marRight w:val="0"/>
      <w:marTop w:val="0"/>
      <w:marBottom w:val="0"/>
      <w:divBdr>
        <w:top w:val="none" w:sz="0" w:space="0" w:color="auto"/>
        <w:left w:val="none" w:sz="0" w:space="0" w:color="auto"/>
        <w:bottom w:val="none" w:sz="0" w:space="0" w:color="auto"/>
        <w:right w:val="none" w:sz="0" w:space="0" w:color="auto"/>
      </w:divBdr>
    </w:div>
    <w:div w:id="1249727674">
      <w:bodyDiv w:val="1"/>
      <w:marLeft w:val="0"/>
      <w:marRight w:val="0"/>
      <w:marTop w:val="0"/>
      <w:marBottom w:val="0"/>
      <w:divBdr>
        <w:top w:val="none" w:sz="0" w:space="0" w:color="auto"/>
        <w:left w:val="none" w:sz="0" w:space="0" w:color="auto"/>
        <w:bottom w:val="none" w:sz="0" w:space="0" w:color="auto"/>
        <w:right w:val="none" w:sz="0" w:space="0" w:color="auto"/>
      </w:divBdr>
    </w:div>
    <w:div w:id="1288974417">
      <w:bodyDiv w:val="1"/>
      <w:marLeft w:val="0"/>
      <w:marRight w:val="0"/>
      <w:marTop w:val="0"/>
      <w:marBottom w:val="0"/>
      <w:divBdr>
        <w:top w:val="none" w:sz="0" w:space="0" w:color="auto"/>
        <w:left w:val="none" w:sz="0" w:space="0" w:color="auto"/>
        <w:bottom w:val="none" w:sz="0" w:space="0" w:color="auto"/>
        <w:right w:val="none" w:sz="0" w:space="0" w:color="auto"/>
      </w:divBdr>
    </w:div>
    <w:div w:id="1290939582">
      <w:bodyDiv w:val="1"/>
      <w:marLeft w:val="0"/>
      <w:marRight w:val="0"/>
      <w:marTop w:val="0"/>
      <w:marBottom w:val="0"/>
      <w:divBdr>
        <w:top w:val="none" w:sz="0" w:space="0" w:color="auto"/>
        <w:left w:val="none" w:sz="0" w:space="0" w:color="auto"/>
        <w:bottom w:val="none" w:sz="0" w:space="0" w:color="auto"/>
        <w:right w:val="none" w:sz="0" w:space="0" w:color="auto"/>
      </w:divBdr>
    </w:div>
    <w:div w:id="1349529280">
      <w:bodyDiv w:val="1"/>
      <w:marLeft w:val="0"/>
      <w:marRight w:val="0"/>
      <w:marTop w:val="0"/>
      <w:marBottom w:val="0"/>
      <w:divBdr>
        <w:top w:val="none" w:sz="0" w:space="0" w:color="auto"/>
        <w:left w:val="none" w:sz="0" w:space="0" w:color="auto"/>
        <w:bottom w:val="none" w:sz="0" w:space="0" w:color="auto"/>
        <w:right w:val="none" w:sz="0" w:space="0" w:color="auto"/>
      </w:divBdr>
    </w:div>
    <w:div w:id="1471708897">
      <w:bodyDiv w:val="1"/>
      <w:marLeft w:val="0"/>
      <w:marRight w:val="0"/>
      <w:marTop w:val="0"/>
      <w:marBottom w:val="0"/>
      <w:divBdr>
        <w:top w:val="none" w:sz="0" w:space="0" w:color="auto"/>
        <w:left w:val="none" w:sz="0" w:space="0" w:color="auto"/>
        <w:bottom w:val="none" w:sz="0" w:space="0" w:color="auto"/>
        <w:right w:val="none" w:sz="0" w:space="0" w:color="auto"/>
      </w:divBdr>
    </w:div>
    <w:div w:id="1484665775">
      <w:bodyDiv w:val="1"/>
      <w:marLeft w:val="0"/>
      <w:marRight w:val="0"/>
      <w:marTop w:val="0"/>
      <w:marBottom w:val="0"/>
      <w:divBdr>
        <w:top w:val="none" w:sz="0" w:space="0" w:color="auto"/>
        <w:left w:val="none" w:sz="0" w:space="0" w:color="auto"/>
        <w:bottom w:val="none" w:sz="0" w:space="0" w:color="auto"/>
        <w:right w:val="none" w:sz="0" w:space="0" w:color="auto"/>
      </w:divBdr>
    </w:div>
    <w:div w:id="1516656018">
      <w:bodyDiv w:val="1"/>
      <w:marLeft w:val="0"/>
      <w:marRight w:val="0"/>
      <w:marTop w:val="0"/>
      <w:marBottom w:val="0"/>
      <w:divBdr>
        <w:top w:val="none" w:sz="0" w:space="0" w:color="auto"/>
        <w:left w:val="none" w:sz="0" w:space="0" w:color="auto"/>
        <w:bottom w:val="none" w:sz="0" w:space="0" w:color="auto"/>
        <w:right w:val="none" w:sz="0" w:space="0" w:color="auto"/>
      </w:divBdr>
    </w:div>
    <w:div w:id="1554194980">
      <w:bodyDiv w:val="1"/>
      <w:marLeft w:val="0"/>
      <w:marRight w:val="0"/>
      <w:marTop w:val="0"/>
      <w:marBottom w:val="0"/>
      <w:divBdr>
        <w:top w:val="none" w:sz="0" w:space="0" w:color="auto"/>
        <w:left w:val="none" w:sz="0" w:space="0" w:color="auto"/>
        <w:bottom w:val="none" w:sz="0" w:space="0" w:color="auto"/>
        <w:right w:val="none" w:sz="0" w:space="0" w:color="auto"/>
      </w:divBdr>
    </w:div>
    <w:div w:id="1590961084">
      <w:bodyDiv w:val="1"/>
      <w:marLeft w:val="0"/>
      <w:marRight w:val="0"/>
      <w:marTop w:val="0"/>
      <w:marBottom w:val="0"/>
      <w:divBdr>
        <w:top w:val="none" w:sz="0" w:space="0" w:color="auto"/>
        <w:left w:val="none" w:sz="0" w:space="0" w:color="auto"/>
        <w:bottom w:val="none" w:sz="0" w:space="0" w:color="auto"/>
        <w:right w:val="none" w:sz="0" w:space="0" w:color="auto"/>
      </w:divBdr>
    </w:div>
    <w:div w:id="1612470989">
      <w:bodyDiv w:val="1"/>
      <w:marLeft w:val="0"/>
      <w:marRight w:val="0"/>
      <w:marTop w:val="0"/>
      <w:marBottom w:val="0"/>
      <w:divBdr>
        <w:top w:val="none" w:sz="0" w:space="0" w:color="auto"/>
        <w:left w:val="none" w:sz="0" w:space="0" w:color="auto"/>
        <w:bottom w:val="none" w:sz="0" w:space="0" w:color="auto"/>
        <w:right w:val="none" w:sz="0" w:space="0" w:color="auto"/>
      </w:divBdr>
    </w:div>
    <w:div w:id="1677271283">
      <w:bodyDiv w:val="1"/>
      <w:marLeft w:val="0"/>
      <w:marRight w:val="0"/>
      <w:marTop w:val="0"/>
      <w:marBottom w:val="0"/>
      <w:divBdr>
        <w:top w:val="none" w:sz="0" w:space="0" w:color="auto"/>
        <w:left w:val="none" w:sz="0" w:space="0" w:color="auto"/>
        <w:bottom w:val="none" w:sz="0" w:space="0" w:color="auto"/>
        <w:right w:val="none" w:sz="0" w:space="0" w:color="auto"/>
      </w:divBdr>
    </w:div>
    <w:div w:id="1742216489">
      <w:bodyDiv w:val="1"/>
      <w:marLeft w:val="0"/>
      <w:marRight w:val="0"/>
      <w:marTop w:val="0"/>
      <w:marBottom w:val="0"/>
      <w:divBdr>
        <w:top w:val="none" w:sz="0" w:space="0" w:color="auto"/>
        <w:left w:val="none" w:sz="0" w:space="0" w:color="auto"/>
        <w:bottom w:val="none" w:sz="0" w:space="0" w:color="auto"/>
        <w:right w:val="none" w:sz="0" w:space="0" w:color="auto"/>
      </w:divBdr>
    </w:div>
    <w:div w:id="20894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http://app.leg.wa.gov/RCW/default.aspx?cite=70A.245.050" TargetMode="Externa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yperlink" Target="https://apps.ecology.wa.gov/publications/SummaryPages/2307001.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app.leg.wa.gov/RCW/default.aspx?cite=70A.245.040" TargetMode="External"/><Relationship Id="rId33" Type="http://schemas.openxmlformats.org/officeDocument/2006/relationships/hyperlink" Target="https://fortress.wa.gov/ecy/publications/SummaryPages/2207004.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ology.wa.gov/About-us/Accountability-transparency/Our-website/Accessibility" TargetMode="External"/><Relationship Id="rId20" Type="http://schemas.openxmlformats.org/officeDocument/2006/relationships/footer" Target="footer3.xml"/><Relationship Id="rId29" Type="http://schemas.openxmlformats.org/officeDocument/2006/relationships/hyperlink" Target="https://www.recyclingtoday.com/news/recycled-plastic-supply-demand-mismatch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leg.wa.gov/RCW/default.aspx?cite=70A.245.030" TargetMode="External"/><Relationship Id="rId32" Type="http://schemas.openxmlformats.org/officeDocument/2006/relationships/hyperlink" Target="https://treasurydirect.gov/savings-bonds/i-bonds/i-bonds-interest-rates/" TargetMode="External"/><Relationship Id="rId37" Type="http://schemas.openxmlformats.org/officeDocument/2006/relationships/hyperlink" Target="https://gcc02.safelinks.protection.outlook.com/?url=https%3A%2F%2Fwww.law.cornell.edu%2Fuscode%2Ftext%2F7%2F136v&amp;data=05%7C01%7Csjon461%40ECY.WA.GOV%7C418c4326d80e4c12918d08daa58246b9%7C11d0e217264e400a8ba057dcc127d72d%7C0%7C0%7C638004276203905444%7CUnknown%7CTWFpbGZsb3d8eyJWIjoiMC4wLjAwMDAiLCJQIjoiV2luMzIiLCJBTiI6Ik1haWwiLCJXVCI6Mn0%3D%7C3000%7C%7C%7C&amp;sdata=QsFBzAAE3FCdS9%2BgyCNAdd8w6YQnV2ZkBS7SFllYC7o%3D&amp;reserved=0" TargetMode="External"/><Relationship Id="rId5" Type="http://schemas.openxmlformats.org/officeDocument/2006/relationships/customXml" Target="../customXml/item5.xml"/><Relationship Id="rId15" Type="http://schemas.openxmlformats.org/officeDocument/2006/relationships/hyperlink" Target="mailto:ecyADAcoordinator@ecy.wa.gov" TargetMode="External"/><Relationship Id="rId23" Type="http://schemas.openxmlformats.org/officeDocument/2006/relationships/hyperlink" Target="http://app.leg.wa.gov/RCW/default.aspx?cite=70A.245.020" TargetMode="External"/><Relationship Id="rId28" Type="http://schemas.openxmlformats.org/officeDocument/2006/relationships/hyperlink" Target="https://www.census.gov/cgi-bin/sssd/naics/naicsrch?chart=2017"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www.bls.gov/oes/current/oes_wa.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ecology.wa.gov/publications/SummaryPages/2307031.html" TargetMode="External"/><Relationship Id="rId22" Type="http://schemas.openxmlformats.org/officeDocument/2006/relationships/hyperlink" Target="http://app.leg.wa.gov/RCW/default.aspx?cite=70A.245.010" TargetMode="External"/><Relationship Id="rId27" Type="http://schemas.openxmlformats.org/officeDocument/2006/relationships/hyperlink" Target="http://app.leg.wa.gov/RCW/default.aspx?cite=70A.245.090" TargetMode="External"/><Relationship Id="rId30" Type="http://schemas.openxmlformats.org/officeDocument/2006/relationships/hyperlink" Target="https://calrecycle.ca.gov/laws/rulemaking/plasticcontent/" TargetMode="External"/><Relationship Id="rId35" Type="http://schemas.openxmlformats.org/officeDocument/2006/relationships/hyperlink" Target="https://fnspublic.ofm.wa.gov/FNSPublicSearch/Search/bill/5022/67"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es/current/oes_wa.htm" TargetMode="External"/><Relationship Id="rId13" Type="http://schemas.openxmlformats.org/officeDocument/2006/relationships/hyperlink" Target="https://treasurydirect.gov/savings-bonds/i-bonds/i-bonds-interest-rates/" TargetMode="External"/><Relationship Id="rId3" Type="http://schemas.openxmlformats.org/officeDocument/2006/relationships/hyperlink" Target="https://treasurydirect.gov/savings-bonds/i-bonds/i-bonds-interest-rates/" TargetMode="External"/><Relationship Id="rId7" Type="http://schemas.openxmlformats.org/officeDocument/2006/relationships/hyperlink" Target="https://calrecycle.ca.gov/laws/rulemaking/plasticcontent/" TargetMode="External"/><Relationship Id="rId12" Type="http://schemas.openxmlformats.org/officeDocument/2006/relationships/hyperlink" Target="https://treasurydirect.gov/savings-bonds/i-bonds/i-bonds-interest-rates/" TargetMode="External"/><Relationship Id="rId2" Type="http://schemas.openxmlformats.org/officeDocument/2006/relationships/hyperlink" Target="https://www.bls.gov/oes/current/oes_wa.htm" TargetMode="External"/><Relationship Id="rId1" Type="http://schemas.openxmlformats.org/officeDocument/2006/relationships/hyperlink" Target="https://gcc02.safelinks.protection.outlook.com/?url=https%3A%2F%2Facademiccommons.columbia.edu%2Fdoi%2F10.7916%2Fn2af-vv87&amp;data=05%7C01%7Csjon461%40ECY.WA.GOV%7Cc77cc769396e47e110a308db2ca3a922%7C11d0e217264e400a8ba057dcc127d72d%7C0%7C0%7C638152853661951760%7CUnknown%7CTWFpbGZsb3d8eyJWIjoiMC4wLjAwMDAiLCJQIjoiV2luMzIiLCJBTiI6Ik1haWwiLCJXVCI6Mn0%3D%7C3000%7C%7C%7C&amp;sdata=Yw%2BXAefgXPKfaIoG27phoP%2FVbwmZ%2FeJIJP8FCMb99fk%3D&amp;reserved=0" TargetMode="External"/><Relationship Id="rId6" Type="http://schemas.openxmlformats.org/officeDocument/2006/relationships/hyperlink" Target="https://apps.ecology.wa.gov/publications/SummaryPages/2307001.html" TargetMode="External"/><Relationship Id="rId11" Type="http://schemas.openxmlformats.org/officeDocument/2006/relationships/hyperlink" Target="https://www.bls.gov/oes/current/oes_wa.htm" TargetMode="External"/><Relationship Id="rId5" Type="http://schemas.openxmlformats.org/officeDocument/2006/relationships/hyperlink" Target="https://treasurydirect.gov/savings-bonds/i-bonds/i-bonds-interest-rates/" TargetMode="External"/><Relationship Id="rId10" Type="http://schemas.openxmlformats.org/officeDocument/2006/relationships/hyperlink" Target="https://calrecycle.ca.gov/laws/rulemaking/plasticcontent/" TargetMode="External"/><Relationship Id="rId4" Type="http://schemas.openxmlformats.org/officeDocument/2006/relationships/hyperlink" Target="https://fnspublic.ofm.wa.gov/FNSPublicSearch/Search/bill/5022/67" TargetMode="External"/><Relationship Id="rId9" Type="http://schemas.openxmlformats.org/officeDocument/2006/relationships/hyperlink" Target="https://calrecycle.ca.gov/laws/rulemaking/plasticcontent/" TargetMode="External"/><Relationship Id="rId14" Type="http://schemas.openxmlformats.org/officeDocument/2006/relationships/hyperlink" Target="https://gcc02.safelinks.protection.outlook.com/?url=https%3A%2F%2Facademiccommons.columbia.edu%2Fdoi%2F10.7916%2Fn2af-vv87&amp;data=05%7C01%7Csjon461%40ECY.WA.GOV%7Cc77cc769396e47e110a308db2ca3a922%7C11d0e217264e400a8ba057dcc127d72d%7C0%7C0%7C638152853661951760%7CUnknown%7CTWFpbGZsb3d8eyJWIjoiMC4wLjAwMDAiLCJQIjoiV2luMzIiLCJBTiI6Ik1haWwiLCJXVCI6Mn0%3D%7C3000%7C%7C%7C&amp;sdata=Yw%2BXAefgXPKfaIoG27phoP%2FVbwmZ%2FeJIJP8FCMb99fk%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l461\Desktop\DRAFT_newRAtemplateSept2020_(003_K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D258BD1D36144BB125E048DBA84F15" ma:contentTypeVersion="5" ma:contentTypeDescription="Create a new document." ma:contentTypeScope="" ma:versionID="986dd48a86bc8c07c60cacdb9207df42">
  <xsd:schema xmlns:xsd="http://www.w3.org/2001/XMLSchema" xmlns:xs="http://www.w3.org/2001/XMLSchema" xmlns:p="http://schemas.microsoft.com/office/2006/metadata/properties" xmlns:ns2="64bf85d5-062b-4579-9160-f0e6a34367e4" xmlns:ns3="8a59d846-a330-4037-b0a3-edaee399ea3b" targetNamespace="http://schemas.microsoft.com/office/2006/metadata/properties" ma:root="true" ma:fieldsID="8b5a847964ff2f9ce11830b60218deea" ns2:_="" ns3:_="">
    <xsd:import namespace="64bf85d5-062b-4579-9160-f0e6a34367e4"/>
    <xsd:import namespace="8a59d846-a330-4037-b0a3-edaee399ea3b"/>
    <xsd:element name="properties">
      <xsd:complexType>
        <xsd:sequence>
          <xsd:element name="documentManagement">
            <xsd:complexType>
              <xsd:all>
                <xsd:element ref="ns2:SharedWithUsers" minOccurs="0"/>
                <xsd:element ref="ns2:SharedWithDetail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f85d5-062b-4579-9160-f0e6a3436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59d846-a330-4037-b0a3-edaee399ea3b" elementFormDefault="qualified">
    <xsd:import namespace="http://schemas.microsoft.com/office/2006/documentManagement/types"/>
    <xsd:import namespace="http://schemas.microsoft.com/office/infopath/2007/PartnerControls"/>
    <xsd:element name="Status" ma:index="10" nillable="true" ma:displayName="Status" ma:format="Dropdown" ma:internalName="Status">
      <xsd:simpleType>
        <xsd:restriction base="dms:Choice">
          <xsd:enumeration value="In development"/>
          <xsd:enumeration value="First review"/>
          <xsd:enumeration value="Second review"/>
          <xsd:enumeration value="Rou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atus xmlns="8a59d846-a330-4037-b0a3-edaee399ea3b">Second review</Status>
  </documentManagement>
</p:properties>
</file>

<file path=customXml/itemProps1.xml><?xml version="1.0" encoding="utf-8"?>
<ds:datastoreItem xmlns:ds="http://schemas.openxmlformats.org/officeDocument/2006/customXml" ds:itemID="{A849A1E7-C5AA-49A6-A7BB-EFF1CF3313C4}">
  <ds:schemaRefs>
    <ds:schemaRef ds:uri="http://schemas.openxmlformats.org/officeDocument/2006/bibliography"/>
  </ds:schemaRefs>
</ds:datastoreItem>
</file>

<file path=customXml/itemProps2.xml><?xml version="1.0" encoding="utf-8"?>
<ds:datastoreItem xmlns:ds="http://schemas.openxmlformats.org/officeDocument/2006/customXml" ds:itemID="{97399919-9534-4986-98AB-E00C35FF2492}">
  <ds:schemaRefs>
    <ds:schemaRef ds:uri="http://schemas.microsoft.com/sharepoint/events"/>
  </ds:schemaRefs>
</ds:datastoreItem>
</file>

<file path=customXml/itemProps3.xml><?xml version="1.0" encoding="utf-8"?>
<ds:datastoreItem xmlns:ds="http://schemas.openxmlformats.org/officeDocument/2006/customXml" ds:itemID="{B47592E9-A7FD-4676-9BF7-7C338C693352}">
  <ds:schemaRefs>
    <ds:schemaRef ds:uri="http://schemas.microsoft.com/sharepoint/v3/contenttype/forms"/>
  </ds:schemaRefs>
</ds:datastoreItem>
</file>

<file path=customXml/itemProps4.xml><?xml version="1.0" encoding="utf-8"?>
<ds:datastoreItem xmlns:ds="http://schemas.openxmlformats.org/officeDocument/2006/customXml" ds:itemID="{524F52A2-2D0F-4A6E-BE52-422407EA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f85d5-062b-4579-9160-f0e6a34367e4"/>
    <ds:schemaRef ds:uri="8a59d846-a330-4037-b0a3-edaee399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99194D-7A9B-4170-864A-55A954A4945A}">
  <ds:schemaRefs>
    <ds:schemaRef ds:uri="http://schemas.microsoft.com/office/2006/metadata/properties"/>
    <ds:schemaRef ds:uri="http://schemas.microsoft.com/office/infopath/2007/PartnerControls"/>
    <ds:schemaRef ds:uri="8a59d846-a330-4037-b0a3-edaee399ea3b"/>
  </ds:schemaRefs>
</ds:datastoreItem>
</file>

<file path=docProps/app.xml><?xml version="1.0" encoding="utf-8"?>
<Properties xmlns="http://schemas.openxmlformats.org/officeDocument/2006/extended-properties" xmlns:vt="http://schemas.openxmlformats.org/officeDocument/2006/docPropsVTypes">
  <Template>DRAFT_newRAtemplateSept2020_(003_KP)</Template>
  <TotalTime>168</TotalTime>
  <Pages>69</Pages>
  <Words>22049</Words>
  <Characters>125684</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Preliminary Regulatory Analyses for Chapter 173-925 WAC, Postconsumer Recycled Content in Plastic Conatiners</vt:lpstr>
    </vt:vector>
  </TitlesOfParts>
  <Company>WA Department of Ecology</Company>
  <LinksUpToDate>false</LinksUpToDate>
  <CharactersWithSpaces>147439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Regulatory Analyses for Chapter 173-925 WAC, Postconsumer Recycled Content in Plastic Conatiners</dc:title>
  <dc:subject>PRA Chapter 173-925 WAC</dc:subject>
  <dc:creator>Patora, Kasia (ECY);Washington State Department of Ecology</dc:creator>
  <cp:keywords>Proposed rule, rulemaking, economics, 23-07-031</cp:keywords>
  <dc:description/>
  <cp:lastModifiedBy>Hayes, Mark (ECY)</cp:lastModifiedBy>
  <cp:revision>19</cp:revision>
  <dcterms:created xsi:type="dcterms:W3CDTF">2023-04-25T17:29:00Z</dcterms:created>
  <dcterms:modified xsi:type="dcterms:W3CDTF">2023-05-01T14:59:00Z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0x0101007AD258BD1D36144BB125E048DBA84F15</vt:lpwstr>
  </property>
  <property fmtid="{D5CDD505-2E9C-101B-9397-08002B2CF9AE}" pid="3" name="_dlc_DocIdItemGuid">
    <vt:lpwstr>eee933e1-e453-4d95-9a7a-5acd024f4721</vt:lpwstr>
  </property>
  <property fmtid="{D5CDD505-2E9C-101B-9397-08002B2CF9AE}" pid="4" name="_dlc_DocId">
    <vt:lpwstr>N4VKHAY2H5EX-1181905137-51</vt:lpwstr>
  </property>
  <property fmtid="{D5CDD505-2E9C-101B-9397-08002B2CF9AE}" pid="5" name="_dlc_DocIdUrl">
    <vt:lpwstr>http://teams/sites/GR/economics2/_layouts/15/DocIdRedir.aspx?ID=N4VKHAY2H5EX-1181905137-51, N4VKHAY2H5EX-1181905137-51</vt:lpwstr>
  </property>
  <property fmtid="{D5CDD505-2E9C-101B-9397-08002B2CF9AE}" pid="6" name="GrammarlyDocumentId">
    <vt:lpwstr>7aae5060a45ba4f28256fb2ea44743422ec511c4a9692cfdf8ca44e5601aca88</vt:lpwstr>
  </property>
</Properties>
</file>