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A8" w:rsidRPr="00150CA8" w:rsidRDefault="00150CA8" w:rsidP="005670BE">
      <w:pPr>
        <w:jc w:val="center"/>
        <w:rPr>
          <w:b/>
          <w:caps/>
        </w:rPr>
      </w:pPr>
      <w:r w:rsidRPr="00150CA8">
        <w:rPr>
          <w:b/>
          <w:caps/>
        </w:rPr>
        <w:t>Checklist for Groundwater Reporting</w:t>
      </w:r>
    </w:p>
    <w:p w:rsidR="00BB7EC2" w:rsidRPr="005670BE" w:rsidRDefault="0032716F" w:rsidP="005670BE">
      <w:pPr>
        <w:jc w:val="center"/>
        <w:rPr>
          <w:b/>
        </w:rPr>
      </w:pPr>
      <w:r w:rsidRPr="0032716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pt;margin-top:-21.7pt;width:69.75pt;height:63.7pt;z-index:-251658752">
            <v:imagedata r:id="rId10" o:title="Ecology_logo5"/>
          </v:shape>
        </w:pict>
      </w:r>
      <w:r w:rsidR="00150CA8">
        <w:rPr>
          <w:b/>
        </w:rPr>
        <w:t>Municipal Solid Waste Landfills</w:t>
      </w:r>
    </w:p>
    <w:p w:rsidR="005670BE" w:rsidRDefault="005670BE" w:rsidP="00BA0AA1">
      <w:pPr>
        <w:jc w:val="center"/>
        <w:rPr>
          <w:b/>
        </w:rPr>
      </w:pPr>
      <w:r w:rsidRPr="00150CA8">
        <w:rPr>
          <w:b/>
        </w:rPr>
        <w:t>WAC 173-351-415</w:t>
      </w:r>
    </w:p>
    <w:p w:rsidR="00150CA8" w:rsidRPr="00150CA8" w:rsidRDefault="00150CA8" w:rsidP="00BA0AA1">
      <w:pPr>
        <w:jc w:val="center"/>
        <w:rPr>
          <w:b/>
        </w:rPr>
      </w:pPr>
    </w:p>
    <w:p w:rsidR="005670BE" w:rsidRDefault="005670BE"/>
    <w:p w:rsidR="00E46603" w:rsidRDefault="009558EE" w:rsidP="00996872">
      <w:pPr>
        <w:ind w:left="288" w:hanging="288"/>
      </w:pPr>
      <w:r>
        <w:t>Include a</w:t>
      </w:r>
      <w:r w:rsidR="00E46603">
        <w:t xml:space="preserve"> </w:t>
      </w:r>
      <w:r w:rsidR="00CC510A">
        <w:t xml:space="preserve">signed, </w:t>
      </w:r>
      <w:r w:rsidR="00E46603">
        <w:t>completed copy of this checklist with each quarterly and annual report.</w:t>
      </w:r>
    </w:p>
    <w:p w:rsidR="00D019C2" w:rsidRDefault="00D019C2" w:rsidP="00996872">
      <w:pPr>
        <w:ind w:left="288" w:hanging="288"/>
      </w:pPr>
    </w:p>
    <w:p w:rsidR="000E323F" w:rsidRDefault="00F31A23" w:rsidP="00150CA8">
      <w:r>
        <w:t>Quarterly groundwater reports shall be submitted to the jurisdictional health department and Ecology within 60 days of receipt of analytical data.</w:t>
      </w:r>
      <w:r w:rsidR="00150CA8">
        <w:t xml:space="preserve"> </w:t>
      </w:r>
      <w:r w:rsidR="00150CA8" w:rsidRPr="00150CA8">
        <w:t xml:space="preserve"> </w:t>
      </w:r>
      <w:r w:rsidR="00150CA8">
        <w:t>Annual groundwater reports shall be submitted to the jurisdictional health department and Ecology by April 1 of each year.</w:t>
      </w:r>
    </w:p>
    <w:p w:rsidR="005670BE" w:rsidRDefault="005670BE"/>
    <w:tbl>
      <w:tblPr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080"/>
        <w:gridCol w:w="990"/>
        <w:gridCol w:w="1318"/>
      </w:tblGrid>
      <w:tr w:rsidR="00431A47" w:rsidTr="00124245">
        <w:tc>
          <w:tcPr>
            <w:tcW w:w="6768" w:type="dxa"/>
          </w:tcPr>
          <w:p w:rsidR="00431A47" w:rsidRPr="00124245" w:rsidRDefault="00431A47">
            <w:pPr>
              <w:rPr>
                <w:b/>
                <w:sz w:val="20"/>
                <w:szCs w:val="20"/>
              </w:rPr>
            </w:pPr>
            <w:r w:rsidRPr="00124245">
              <w:rPr>
                <w:b/>
                <w:sz w:val="20"/>
                <w:szCs w:val="20"/>
              </w:rPr>
              <w:t xml:space="preserve">                                                                                </w:t>
            </w:r>
          </w:p>
          <w:p w:rsidR="00C3567A" w:rsidRPr="00124245" w:rsidRDefault="00C3567A">
            <w:pPr>
              <w:rPr>
                <w:b/>
                <w:sz w:val="20"/>
                <w:szCs w:val="20"/>
              </w:rPr>
            </w:pPr>
            <w:r w:rsidRPr="00124245">
              <w:rPr>
                <w:b/>
                <w:sz w:val="20"/>
                <w:szCs w:val="20"/>
              </w:rPr>
              <w:t>1</w:t>
            </w:r>
            <w:r w:rsidRPr="00124245">
              <w:rPr>
                <w:b/>
                <w:sz w:val="20"/>
                <w:szCs w:val="20"/>
                <w:vertAlign w:val="superscript"/>
              </w:rPr>
              <w:t>st</w:t>
            </w:r>
            <w:r w:rsidRPr="00124245">
              <w:rPr>
                <w:b/>
                <w:sz w:val="20"/>
                <w:szCs w:val="20"/>
              </w:rPr>
              <w:t>_______   2</w:t>
            </w:r>
            <w:r w:rsidRPr="00124245">
              <w:rPr>
                <w:b/>
                <w:sz w:val="20"/>
                <w:szCs w:val="20"/>
                <w:vertAlign w:val="superscript"/>
              </w:rPr>
              <w:t>nd</w:t>
            </w:r>
            <w:r w:rsidRPr="00124245">
              <w:rPr>
                <w:b/>
                <w:sz w:val="20"/>
                <w:szCs w:val="20"/>
              </w:rPr>
              <w:t>_______  3</w:t>
            </w:r>
            <w:r w:rsidRPr="00124245">
              <w:rPr>
                <w:b/>
                <w:sz w:val="20"/>
                <w:szCs w:val="20"/>
                <w:vertAlign w:val="superscript"/>
              </w:rPr>
              <w:t>rd</w:t>
            </w:r>
            <w:r w:rsidRPr="00124245">
              <w:rPr>
                <w:b/>
                <w:sz w:val="20"/>
                <w:szCs w:val="20"/>
              </w:rPr>
              <w:t xml:space="preserve"> ________  4</w:t>
            </w:r>
            <w:r w:rsidRPr="00124245">
              <w:rPr>
                <w:b/>
                <w:sz w:val="20"/>
                <w:szCs w:val="20"/>
                <w:vertAlign w:val="superscript"/>
              </w:rPr>
              <w:t>th</w:t>
            </w:r>
            <w:r w:rsidRPr="00124245">
              <w:rPr>
                <w:b/>
                <w:sz w:val="20"/>
                <w:szCs w:val="20"/>
              </w:rPr>
              <w:t xml:space="preserve"> _______  YEAR___________</w:t>
            </w:r>
          </w:p>
        </w:tc>
        <w:tc>
          <w:tcPr>
            <w:tcW w:w="1080" w:type="dxa"/>
          </w:tcPr>
          <w:p w:rsidR="00431A47" w:rsidRPr="00124245" w:rsidRDefault="00431A47">
            <w:pPr>
              <w:rPr>
                <w:b/>
                <w:sz w:val="20"/>
                <w:szCs w:val="20"/>
              </w:rPr>
            </w:pPr>
            <w:r w:rsidRPr="00124245">
              <w:rPr>
                <w:b/>
                <w:sz w:val="20"/>
                <w:szCs w:val="20"/>
              </w:rPr>
              <w:t>Reference</w:t>
            </w:r>
          </w:p>
          <w:p w:rsidR="00431A47" w:rsidRPr="00124245" w:rsidRDefault="00431A47">
            <w:pPr>
              <w:rPr>
                <w:sz w:val="16"/>
                <w:szCs w:val="16"/>
              </w:rPr>
            </w:pPr>
            <w:r w:rsidRPr="00124245">
              <w:rPr>
                <w:sz w:val="16"/>
                <w:szCs w:val="16"/>
              </w:rPr>
              <w:t>(section, sub</w:t>
            </w:r>
            <w:r w:rsidR="00996872" w:rsidRPr="00124245">
              <w:rPr>
                <w:sz w:val="16"/>
                <w:szCs w:val="16"/>
              </w:rPr>
              <w:t>section</w:t>
            </w:r>
            <w:r w:rsidRPr="00124245">
              <w:rPr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431A47" w:rsidRPr="00124245" w:rsidRDefault="00431A47" w:rsidP="00124245">
            <w:pPr>
              <w:jc w:val="center"/>
              <w:rPr>
                <w:b/>
                <w:sz w:val="20"/>
                <w:szCs w:val="20"/>
              </w:rPr>
            </w:pPr>
            <w:r w:rsidRPr="00124245">
              <w:rPr>
                <w:b/>
                <w:sz w:val="20"/>
                <w:szCs w:val="20"/>
              </w:rPr>
              <w:t>Included</w:t>
            </w:r>
            <w:r w:rsidR="00E46603" w:rsidRPr="00124245">
              <w:rPr>
                <w:b/>
                <w:sz w:val="20"/>
                <w:szCs w:val="20"/>
              </w:rPr>
              <w:t xml:space="preserve"> in this report</w:t>
            </w:r>
          </w:p>
        </w:tc>
        <w:tc>
          <w:tcPr>
            <w:tcW w:w="1318" w:type="dxa"/>
          </w:tcPr>
          <w:p w:rsidR="00431A47" w:rsidRPr="00124245" w:rsidRDefault="00431A47" w:rsidP="00124245">
            <w:pPr>
              <w:jc w:val="center"/>
              <w:rPr>
                <w:b/>
                <w:sz w:val="20"/>
                <w:szCs w:val="20"/>
              </w:rPr>
            </w:pPr>
            <w:r w:rsidRPr="00124245">
              <w:rPr>
                <w:b/>
                <w:sz w:val="20"/>
                <w:szCs w:val="20"/>
              </w:rPr>
              <w:t xml:space="preserve">Location </w:t>
            </w:r>
            <w:r w:rsidR="00996872" w:rsidRPr="00124245">
              <w:rPr>
                <w:b/>
                <w:sz w:val="20"/>
                <w:szCs w:val="20"/>
              </w:rPr>
              <w:t>– page # or appendix #</w:t>
            </w:r>
          </w:p>
        </w:tc>
      </w:tr>
      <w:tr w:rsidR="00431A47" w:rsidTr="00124245">
        <w:tc>
          <w:tcPr>
            <w:tcW w:w="6768" w:type="dxa"/>
          </w:tcPr>
          <w:p w:rsidR="00431A47" w:rsidRPr="00124245" w:rsidRDefault="00431A47">
            <w:pPr>
              <w:rPr>
                <w:sz w:val="22"/>
                <w:szCs w:val="22"/>
              </w:rPr>
            </w:pPr>
            <w:r w:rsidRPr="00124245">
              <w:rPr>
                <w:b/>
                <w:i/>
                <w:sz w:val="22"/>
                <w:szCs w:val="22"/>
              </w:rPr>
              <w:t>Quarterly Groundwater Reports</w:t>
            </w:r>
            <w:r w:rsidR="00996872" w:rsidRPr="00124245">
              <w:rPr>
                <w:i/>
                <w:sz w:val="22"/>
                <w:szCs w:val="22"/>
              </w:rPr>
              <w:t>:</w:t>
            </w:r>
            <w:r w:rsidR="00B92857" w:rsidRPr="00124245">
              <w:rPr>
                <w:i/>
                <w:sz w:val="22"/>
                <w:szCs w:val="22"/>
              </w:rPr>
              <w:t xml:space="preserve"> </w:t>
            </w:r>
            <w:r w:rsidR="00B92857" w:rsidRPr="00124245">
              <w:rPr>
                <w:i/>
                <w:sz w:val="20"/>
                <w:szCs w:val="20"/>
              </w:rPr>
              <w:t>1</w:t>
            </w:r>
            <w:r w:rsidR="00996872" w:rsidRPr="00124245">
              <w:rPr>
                <w:i/>
                <w:sz w:val="20"/>
                <w:szCs w:val="20"/>
              </w:rPr>
              <w:t>73-351-415</w:t>
            </w:r>
            <w:r w:rsidR="00B92857" w:rsidRPr="00124245">
              <w:rPr>
                <w:i/>
                <w:sz w:val="20"/>
                <w:szCs w:val="20"/>
              </w:rPr>
              <w:t xml:space="preserve"> (2) plus the referenced section</w:t>
            </w:r>
          </w:p>
        </w:tc>
        <w:tc>
          <w:tcPr>
            <w:tcW w:w="1080" w:type="dxa"/>
          </w:tcPr>
          <w:p w:rsidR="00431A47" w:rsidRPr="00124245" w:rsidRDefault="00431A47" w:rsidP="00124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431A47" w:rsidRPr="00124245" w:rsidRDefault="00431A47" w:rsidP="00124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431A47" w:rsidRPr="00124245" w:rsidRDefault="00431A47">
            <w:pPr>
              <w:rPr>
                <w:sz w:val="22"/>
                <w:szCs w:val="22"/>
              </w:rPr>
            </w:pPr>
          </w:p>
        </w:tc>
      </w:tr>
      <w:tr w:rsidR="00431A47" w:rsidTr="00124245">
        <w:tc>
          <w:tcPr>
            <w:tcW w:w="6768" w:type="dxa"/>
          </w:tcPr>
          <w:p w:rsidR="00431A47" w:rsidRPr="00124245" w:rsidRDefault="00431A47">
            <w:pPr>
              <w:rPr>
                <w:sz w:val="22"/>
                <w:szCs w:val="22"/>
              </w:rPr>
            </w:pPr>
            <w:r w:rsidRPr="00124245">
              <w:rPr>
                <w:sz w:val="22"/>
                <w:szCs w:val="22"/>
              </w:rPr>
              <w:t xml:space="preserve">   Statistical calculations and summaries</w:t>
            </w:r>
          </w:p>
        </w:tc>
        <w:tc>
          <w:tcPr>
            <w:tcW w:w="1080" w:type="dxa"/>
          </w:tcPr>
          <w:p w:rsidR="00431A47" w:rsidRPr="00124245" w:rsidRDefault="00431A47" w:rsidP="00124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431A47" w:rsidRPr="00124245" w:rsidRDefault="00431A47" w:rsidP="00124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431A47" w:rsidRPr="00124245" w:rsidRDefault="00431A47">
            <w:pPr>
              <w:rPr>
                <w:sz w:val="22"/>
                <w:szCs w:val="22"/>
              </w:rPr>
            </w:pPr>
          </w:p>
        </w:tc>
      </w:tr>
      <w:tr w:rsidR="00431A47" w:rsidTr="00124245">
        <w:tc>
          <w:tcPr>
            <w:tcW w:w="6768" w:type="dxa"/>
          </w:tcPr>
          <w:p w:rsidR="00431A47" w:rsidRPr="00124245" w:rsidRDefault="00431A47">
            <w:pPr>
              <w:rPr>
                <w:sz w:val="22"/>
                <w:szCs w:val="22"/>
              </w:rPr>
            </w:pPr>
            <w:r w:rsidRPr="00124245">
              <w:rPr>
                <w:sz w:val="22"/>
                <w:szCs w:val="22"/>
              </w:rPr>
              <w:t xml:space="preserve">        Descriptive statistics</w:t>
            </w:r>
          </w:p>
        </w:tc>
        <w:tc>
          <w:tcPr>
            <w:tcW w:w="1080" w:type="dxa"/>
          </w:tcPr>
          <w:p w:rsidR="00431A47" w:rsidRPr="00124245" w:rsidRDefault="00996872" w:rsidP="00E66726">
            <w:pPr>
              <w:jc w:val="center"/>
              <w:rPr>
                <w:sz w:val="22"/>
                <w:szCs w:val="22"/>
              </w:rPr>
            </w:pPr>
            <w:r w:rsidRPr="00124245">
              <w:rPr>
                <w:sz w:val="22"/>
                <w:szCs w:val="22"/>
              </w:rPr>
              <w:t>420</w:t>
            </w:r>
            <w:r w:rsidR="00E66726">
              <w:rPr>
                <w:sz w:val="22"/>
                <w:szCs w:val="22"/>
              </w:rPr>
              <w:t>,</w:t>
            </w:r>
            <w:r w:rsidRPr="00124245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990" w:type="dxa"/>
          </w:tcPr>
          <w:p w:rsidR="00431A47" w:rsidRPr="00124245" w:rsidRDefault="0032716F" w:rsidP="00124245">
            <w:pPr>
              <w:jc w:val="center"/>
              <w:rPr>
                <w:sz w:val="22"/>
                <w:szCs w:val="22"/>
              </w:rPr>
            </w:pPr>
            <w:r w:rsidRPr="0012424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431A47" w:rsidRPr="0012424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24245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18" w:type="dxa"/>
          </w:tcPr>
          <w:p w:rsidR="00431A47" w:rsidRPr="00124245" w:rsidRDefault="00431A47">
            <w:pPr>
              <w:rPr>
                <w:sz w:val="22"/>
                <w:szCs w:val="22"/>
              </w:rPr>
            </w:pPr>
          </w:p>
        </w:tc>
      </w:tr>
      <w:tr w:rsidR="00431A47" w:rsidTr="00124245">
        <w:tc>
          <w:tcPr>
            <w:tcW w:w="6768" w:type="dxa"/>
          </w:tcPr>
          <w:p w:rsidR="00431A47" w:rsidRPr="00124245" w:rsidRDefault="00431A47">
            <w:pPr>
              <w:rPr>
                <w:sz w:val="22"/>
                <w:szCs w:val="22"/>
              </w:rPr>
            </w:pPr>
            <w:r w:rsidRPr="00124245">
              <w:rPr>
                <w:sz w:val="22"/>
                <w:szCs w:val="22"/>
              </w:rPr>
              <w:t xml:space="preserve">        Statistical tests</w:t>
            </w:r>
          </w:p>
        </w:tc>
        <w:tc>
          <w:tcPr>
            <w:tcW w:w="1080" w:type="dxa"/>
          </w:tcPr>
          <w:p w:rsidR="00431A47" w:rsidRPr="00124245" w:rsidRDefault="00996872" w:rsidP="00E66726">
            <w:pPr>
              <w:jc w:val="center"/>
              <w:rPr>
                <w:sz w:val="22"/>
                <w:szCs w:val="22"/>
              </w:rPr>
            </w:pPr>
            <w:r w:rsidRPr="00124245">
              <w:rPr>
                <w:sz w:val="22"/>
                <w:szCs w:val="22"/>
              </w:rPr>
              <w:t>420</w:t>
            </w:r>
            <w:r w:rsidR="00E66726">
              <w:rPr>
                <w:sz w:val="22"/>
                <w:szCs w:val="22"/>
              </w:rPr>
              <w:t>,</w:t>
            </w:r>
            <w:r w:rsidRPr="00124245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990" w:type="dxa"/>
          </w:tcPr>
          <w:p w:rsidR="00431A47" w:rsidRPr="00124245" w:rsidRDefault="0032716F" w:rsidP="00124245">
            <w:pPr>
              <w:jc w:val="center"/>
              <w:rPr>
                <w:sz w:val="22"/>
                <w:szCs w:val="22"/>
              </w:rPr>
            </w:pPr>
            <w:r w:rsidRPr="00124245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431A47" w:rsidRPr="0012424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24245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18" w:type="dxa"/>
          </w:tcPr>
          <w:p w:rsidR="00431A47" w:rsidRPr="00124245" w:rsidRDefault="00431A47">
            <w:pPr>
              <w:rPr>
                <w:sz w:val="22"/>
                <w:szCs w:val="22"/>
              </w:rPr>
            </w:pPr>
          </w:p>
        </w:tc>
      </w:tr>
      <w:tr w:rsidR="00431A47" w:rsidTr="00124245">
        <w:tc>
          <w:tcPr>
            <w:tcW w:w="6768" w:type="dxa"/>
          </w:tcPr>
          <w:p w:rsidR="00431A47" w:rsidRPr="00124245" w:rsidRDefault="00431A47" w:rsidP="00CB3F08">
            <w:pPr>
              <w:rPr>
                <w:sz w:val="22"/>
                <w:szCs w:val="22"/>
              </w:rPr>
            </w:pPr>
            <w:r w:rsidRPr="00124245">
              <w:rPr>
                <w:sz w:val="22"/>
                <w:szCs w:val="22"/>
              </w:rPr>
              <w:t xml:space="preserve">        Notification of statistical increase</w:t>
            </w:r>
            <w:r w:rsidR="00371EBA" w:rsidRPr="00124245">
              <w:rPr>
                <w:sz w:val="22"/>
                <w:szCs w:val="22"/>
              </w:rPr>
              <w:t xml:space="preserve"> (if applicable)</w:t>
            </w:r>
          </w:p>
        </w:tc>
        <w:tc>
          <w:tcPr>
            <w:tcW w:w="1080" w:type="dxa"/>
          </w:tcPr>
          <w:p w:rsidR="00431A47" w:rsidRPr="00124245" w:rsidRDefault="00431A47" w:rsidP="00124245">
            <w:pPr>
              <w:jc w:val="center"/>
              <w:rPr>
                <w:sz w:val="22"/>
                <w:szCs w:val="22"/>
              </w:rPr>
            </w:pPr>
            <w:r w:rsidRPr="00124245">
              <w:rPr>
                <w:sz w:val="22"/>
                <w:szCs w:val="22"/>
              </w:rPr>
              <w:t>420, (4)</w:t>
            </w:r>
          </w:p>
        </w:tc>
        <w:tc>
          <w:tcPr>
            <w:tcW w:w="990" w:type="dxa"/>
          </w:tcPr>
          <w:p w:rsidR="00431A47" w:rsidRPr="00124245" w:rsidRDefault="0032716F" w:rsidP="00124245">
            <w:pPr>
              <w:jc w:val="center"/>
              <w:rPr>
                <w:sz w:val="22"/>
                <w:szCs w:val="22"/>
              </w:rPr>
            </w:pPr>
            <w:r w:rsidRPr="0012424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431A47" w:rsidRPr="0012424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24245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18" w:type="dxa"/>
          </w:tcPr>
          <w:p w:rsidR="00431A47" w:rsidRPr="00124245" w:rsidRDefault="00431A47">
            <w:pPr>
              <w:rPr>
                <w:sz w:val="22"/>
                <w:szCs w:val="22"/>
              </w:rPr>
            </w:pPr>
          </w:p>
        </w:tc>
      </w:tr>
      <w:tr w:rsidR="00431A47" w:rsidTr="00124245">
        <w:tc>
          <w:tcPr>
            <w:tcW w:w="6768" w:type="dxa"/>
          </w:tcPr>
          <w:p w:rsidR="00431A47" w:rsidRPr="00124245" w:rsidRDefault="00431A47" w:rsidP="00BE5E31">
            <w:pPr>
              <w:ind w:left="180"/>
              <w:rPr>
                <w:sz w:val="22"/>
                <w:szCs w:val="22"/>
              </w:rPr>
            </w:pPr>
            <w:r w:rsidRPr="00124245">
              <w:rPr>
                <w:sz w:val="22"/>
                <w:szCs w:val="22"/>
              </w:rPr>
              <w:t xml:space="preserve">Notification of concentrations above </w:t>
            </w:r>
            <w:r w:rsidR="004D45B8" w:rsidRPr="004D45B8">
              <w:rPr>
                <w:sz w:val="22"/>
                <w:szCs w:val="22"/>
              </w:rPr>
              <w:t>Chapter 173-200 WAC criteria (if any)</w:t>
            </w:r>
          </w:p>
        </w:tc>
        <w:tc>
          <w:tcPr>
            <w:tcW w:w="1080" w:type="dxa"/>
          </w:tcPr>
          <w:p w:rsidR="00431A47" w:rsidRPr="00124245" w:rsidRDefault="00B509AA" w:rsidP="00124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 (4)</w:t>
            </w:r>
          </w:p>
        </w:tc>
        <w:tc>
          <w:tcPr>
            <w:tcW w:w="990" w:type="dxa"/>
          </w:tcPr>
          <w:p w:rsidR="00431A47" w:rsidRPr="00124245" w:rsidRDefault="0032716F" w:rsidP="00124245">
            <w:pPr>
              <w:jc w:val="center"/>
              <w:rPr>
                <w:sz w:val="22"/>
                <w:szCs w:val="22"/>
              </w:rPr>
            </w:pPr>
            <w:r w:rsidRPr="00124245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431A47" w:rsidRPr="0012424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24245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18" w:type="dxa"/>
          </w:tcPr>
          <w:p w:rsidR="00431A47" w:rsidRPr="00124245" w:rsidRDefault="00431A47">
            <w:pPr>
              <w:rPr>
                <w:sz w:val="22"/>
                <w:szCs w:val="22"/>
              </w:rPr>
            </w:pPr>
          </w:p>
        </w:tc>
      </w:tr>
      <w:tr w:rsidR="00431A47" w:rsidTr="00124245">
        <w:tc>
          <w:tcPr>
            <w:tcW w:w="6768" w:type="dxa"/>
          </w:tcPr>
          <w:p w:rsidR="00431A47" w:rsidRPr="00124245" w:rsidRDefault="00431A47">
            <w:pPr>
              <w:rPr>
                <w:sz w:val="22"/>
                <w:szCs w:val="22"/>
              </w:rPr>
            </w:pPr>
            <w:r w:rsidRPr="00124245">
              <w:rPr>
                <w:sz w:val="22"/>
                <w:szCs w:val="22"/>
              </w:rPr>
              <w:t xml:space="preserve">   Static water level readings</w:t>
            </w:r>
          </w:p>
        </w:tc>
        <w:tc>
          <w:tcPr>
            <w:tcW w:w="1080" w:type="dxa"/>
          </w:tcPr>
          <w:p w:rsidR="00431A47" w:rsidRPr="00124245" w:rsidRDefault="00B509AA" w:rsidP="00124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 (2)</w:t>
            </w:r>
          </w:p>
        </w:tc>
        <w:tc>
          <w:tcPr>
            <w:tcW w:w="990" w:type="dxa"/>
          </w:tcPr>
          <w:p w:rsidR="00431A47" w:rsidRPr="00124245" w:rsidRDefault="0032716F" w:rsidP="00124245">
            <w:pPr>
              <w:jc w:val="center"/>
              <w:rPr>
                <w:sz w:val="22"/>
                <w:szCs w:val="22"/>
              </w:rPr>
            </w:pPr>
            <w:r w:rsidRPr="00124245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431A47" w:rsidRPr="0012424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24245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18" w:type="dxa"/>
          </w:tcPr>
          <w:p w:rsidR="00431A47" w:rsidRPr="00124245" w:rsidRDefault="00431A47">
            <w:pPr>
              <w:rPr>
                <w:sz w:val="22"/>
                <w:szCs w:val="22"/>
              </w:rPr>
            </w:pPr>
          </w:p>
        </w:tc>
      </w:tr>
      <w:tr w:rsidR="00431A47" w:rsidTr="00124245">
        <w:tc>
          <w:tcPr>
            <w:tcW w:w="6768" w:type="dxa"/>
          </w:tcPr>
          <w:p w:rsidR="00431A47" w:rsidRPr="00124245" w:rsidRDefault="00431A47">
            <w:pPr>
              <w:rPr>
                <w:sz w:val="22"/>
                <w:szCs w:val="22"/>
              </w:rPr>
            </w:pPr>
            <w:r w:rsidRPr="00124245">
              <w:rPr>
                <w:sz w:val="22"/>
                <w:szCs w:val="22"/>
              </w:rPr>
              <w:t xml:space="preserve">   Potentiometric surface elevation maps depicting flow direction</w:t>
            </w:r>
          </w:p>
        </w:tc>
        <w:tc>
          <w:tcPr>
            <w:tcW w:w="1080" w:type="dxa"/>
          </w:tcPr>
          <w:p w:rsidR="00431A47" w:rsidRPr="00124245" w:rsidRDefault="00B509AA" w:rsidP="00124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 (2)</w:t>
            </w:r>
          </w:p>
        </w:tc>
        <w:tc>
          <w:tcPr>
            <w:tcW w:w="990" w:type="dxa"/>
          </w:tcPr>
          <w:p w:rsidR="00431A47" w:rsidRPr="00124245" w:rsidRDefault="0032716F" w:rsidP="00124245">
            <w:pPr>
              <w:jc w:val="center"/>
              <w:rPr>
                <w:sz w:val="22"/>
                <w:szCs w:val="22"/>
              </w:rPr>
            </w:pPr>
            <w:r w:rsidRPr="00124245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431A47" w:rsidRPr="0012424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24245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318" w:type="dxa"/>
          </w:tcPr>
          <w:p w:rsidR="00431A47" w:rsidRPr="00124245" w:rsidRDefault="00431A47">
            <w:pPr>
              <w:rPr>
                <w:sz w:val="22"/>
                <w:szCs w:val="22"/>
              </w:rPr>
            </w:pPr>
          </w:p>
        </w:tc>
      </w:tr>
      <w:tr w:rsidR="00431A47" w:rsidTr="00124245">
        <w:tc>
          <w:tcPr>
            <w:tcW w:w="6768" w:type="dxa"/>
          </w:tcPr>
          <w:p w:rsidR="00431A47" w:rsidRPr="00124245" w:rsidRDefault="00431A47">
            <w:pPr>
              <w:rPr>
                <w:sz w:val="22"/>
                <w:szCs w:val="22"/>
              </w:rPr>
            </w:pPr>
            <w:r w:rsidRPr="00124245">
              <w:rPr>
                <w:sz w:val="22"/>
                <w:szCs w:val="22"/>
              </w:rPr>
              <w:t xml:space="preserve">   Flow rate</w:t>
            </w:r>
            <w:r w:rsidR="00F92C14" w:rsidRPr="00124245">
              <w:rPr>
                <w:sz w:val="22"/>
                <w:szCs w:val="22"/>
              </w:rPr>
              <w:t xml:space="preserve"> – calculated</w:t>
            </w:r>
          </w:p>
        </w:tc>
        <w:tc>
          <w:tcPr>
            <w:tcW w:w="1080" w:type="dxa"/>
          </w:tcPr>
          <w:p w:rsidR="00431A47" w:rsidRPr="00124245" w:rsidRDefault="00B509AA" w:rsidP="00124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 (2)</w:t>
            </w:r>
          </w:p>
        </w:tc>
        <w:tc>
          <w:tcPr>
            <w:tcW w:w="990" w:type="dxa"/>
          </w:tcPr>
          <w:p w:rsidR="00431A47" w:rsidRPr="00124245" w:rsidRDefault="0032716F" w:rsidP="00124245">
            <w:pPr>
              <w:jc w:val="center"/>
              <w:rPr>
                <w:sz w:val="22"/>
                <w:szCs w:val="22"/>
              </w:rPr>
            </w:pPr>
            <w:r w:rsidRPr="00124245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431A47" w:rsidRPr="0012424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24245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318" w:type="dxa"/>
          </w:tcPr>
          <w:p w:rsidR="00431A47" w:rsidRPr="00124245" w:rsidRDefault="00431A47">
            <w:pPr>
              <w:rPr>
                <w:sz w:val="22"/>
                <w:szCs w:val="22"/>
              </w:rPr>
            </w:pPr>
          </w:p>
        </w:tc>
      </w:tr>
      <w:tr w:rsidR="00431A47" w:rsidTr="00124245">
        <w:tc>
          <w:tcPr>
            <w:tcW w:w="6768" w:type="dxa"/>
          </w:tcPr>
          <w:p w:rsidR="00431A47" w:rsidRPr="00124245" w:rsidRDefault="00431A47">
            <w:pPr>
              <w:rPr>
                <w:sz w:val="22"/>
                <w:szCs w:val="22"/>
              </w:rPr>
            </w:pPr>
            <w:r w:rsidRPr="00124245">
              <w:rPr>
                <w:sz w:val="22"/>
                <w:szCs w:val="22"/>
              </w:rPr>
              <w:t xml:space="preserve">   Cation-anion balances</w:t>
            </w:r>
          </w:p>
        </w:tc>
        <w:tc>
          <w:tcPr>
            <w:tcW w:w="1080" w:type="dxa"/>
          </w:tcPr>
          <w:p w:rsidR="00431A47" w:rsidRPr="00124245" w:rsidRDefault="00431A47" w:rsidP="00124245">
            <w:pPr>
              <w:jc w:val="center"/>
              <w:rPr>
                <w:sz w:val="22"/>
                <w:szCs w:val="22"/>
              </w:rPr>
            </w:pPr>
            <w:r w:rsidRPr="00124245">
              <w:rPr>
                <w:sz w:val="22"/>
                <w:szCs w:val="22"/>
              </w:rPr>
              <w:t>430, (5</w:t>
            </w:r>
            <w:r w:rsidR="007A5729" w:rsidRPr="00124245">
              <w:rPr>
                <w:sz w:val="22"/>
                <w:szCs w:val="22"/>
              </w:rPr>
              <w:t>a</w:t>
            </w:r>
            <w:r w:rsidRPr="00124245">
              <w:rPr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431A47" w:rsidRPr="00124245" w:rsidRDefault="0032716F" w:rsidP="00124245">
            <w:pPr>
              <w:jc w:val="center"/>
              <w:rPr>
                <w:sz w:val="22"/>
                <w:szCs w:val="22"/>
              </w:rPr>
            </w:pPr>
            <w:r w:rsidRPr="00124245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431A47" w:rsidRPr="0012424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24245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318" w:type="dxa"/>
          </w:tcPr>
          <w:p w:rsidR="00431A47" w:rsidRPr="00124245" w:rsidRDefault="00431A47">
            <w:pPr>
              <w:rPr>
                <w:sz w:val="22"/>
                <w:szCs w:val="22"/>
              </w:rPr>
            </w:pPr>
          </w:p>
        </w:tc>
      </w:tr>
      <w:tr w:rsidR="00431A47" w:rsidTr="00124245">
        <w:tc>
          <w:tcPr>
            <w:tcW w:w="6768" w:type="dxa"/>
          </w:tcPr>
          <w:p w:rsidR="00431A47" w:rsidRPr="00124245" w:rsidRDefault="00431A47">
            <w:pPr>
              <w:rPr>
                <w:sz w:val="22"/>
                <w:szCs w:val="22"/>
              </w:rPr>
            </w:pPr>
            <w:r w:rsidRPr="00124245">
              <w:rPr>
                <w:sz w:val="22"/>
                <w:szCs w:val="22"/>
              </w:rPr>
              <w:t xml:space="preserve">        Explanation of greater than 5% (or 10%) difference if needed</w:t>
            </w:r>
          </w:p>
        </w:tc>
        <w:tc>
          <w:tcPr>
            <w:tcW w:w="1080" w:type="dxa"/>
          </w:tcPr>
          <w:p w:rsidR="00431A47" w:rsidRPr="00124245" w:rsidRDefault="00431A47" w:rsidP="00124245">
            <w:pPr>
              <w:jc w:val="center"/>
              <w:rPr>
                <w:sz w:val="22"/>
                <w:szCs w:val="22"/>
              </w:rPr>
            </w:pPr>
            <w:r w:rsidRPr="00124245">
              <w:rPr>
                <w:sz w:val="22"/>
                <w:szCs w:val="22"/>
              </w:rPr>
              <w:t>430, (5</w:t>
            </w:r>
            <w:r w:rsidR="00F31A23" w:rsidRPr="00124245">
              <w:rPr>
                <w:sz w:val="22"/>
                <w:szCs w:val="22"/>
              </w:rPr>
              <w:t>a)</w:t>
            </w:r>
          </w:p>
        </w:tc>
        <w:tc>
          <w:tcPr>
            <w:tcW w:w="990" w:type="dxa"/>
          </w:tcPr>
          <w:p w:rsidR="00431A47" w:rsidRPr="00124245" w:rsidRDefault="0032716F" w:rsidP="00124245">
            <w:pPr>
              <w:jc w:val="center"/>
              <w:rPr>
                <w:sz w:val="22"/>
                <w:szCs w:val="22"/>
              </w:rPr>
            </w:pPr>
            <w:r w:rsidRPr="00124245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431A47" w:rsidRPr="0012424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24245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318" w:type="dxa"/>
          </w:tcPr>
          <w:p w:rsidR="00431A47" w:rsidRPr="00124245" w:rsidRDefault="00431A47">
            <w:pPr>
              <w:rPr>
                <w:sz w:val="22"/>
                <w:szCs w:val="22"/>
              </w:rPr>
            </w:pPr>
          </w:p>
        </w:tc>
      </w:tr>
      <w:tr w:rsidR="00431A47" w:rsidTr="00124245">
        <w:tc>
          <w:tcPr>
            <w:tcW w:w="6768" w:type="dxa"/>
          </w:tcPr>
          <w:p w:rsidR="00431A47" w:rsidRPr="00124245" w:rsidRDefault="00431A47">
            <w:pPr>
              <w:rPr>
                <w:sz w:val="22"/>
                <w:szCs w:val="22"/>
              </w:rPr>
            </w:pPr>
            <w:r w:rsidRPr="00124245">
              <w:rPr>
                <w:sz w:val="22"/>
                <w:szCs w:val="22"/>
              </w:rPr>
              <w:t xml:space="preserve">   Trilinear diagrams</w:t>
            </w:r>
          </w:p>
        </w:tc>
        <w:tc>
          <w:tcPr>
            <w:tcW w:w="1080" w:type="dxa"/>
          </w:tcPr>
          <w:p w:rsidR="00431A47" w:rsidRPr="00124245" w:rsidRDefault="00431A47" w:rsidP="00124245">
            <w:pPr>
              <w:jc w:val="center"/>
              <w:rPr>
                <w:sz w:val="22"/>
                <w:szCs w:val="22"/>
              </w:rPr>
            </w:pPr>
            <w:r w:rsidRPr="00124245">
              <w:rPr>
                <w:sz w:val="22"/>
                <w:szCs w:val="22"/>
              </w:rPr>
              <w:t>430, (5</w:t>
            </w:r>
            <w:r w:rsidR="00F31A23" w:rsidRPr="00124245">
              <w:rPr>
                <w:sz w:val="22"/>
                <w:szCs w:val="22"/>
              </w:rPr>
              <w:t>b</w:t>
            </w:r>
            <w:r w:rsidRPr="00124245">
              <w:rPr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431A47" w:rsidRPr="00124245" w:rsidRDefault="0032716F" w:rsidP="00124245">
            <w:pPr>
              <w:jc w:val="center"/>
              <w:rPr>
                <w:sz w:val="22"/>
                <w:szCs w:val="22"/>
              </w:rPr>
            </w:pPr>
            <w:r w:rsidRPr="00124245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431A47" w:rsidRPr="0012424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24245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318" w:type="dxa"/>
          </w:tcPr>
          <w:p w:rsidR="00431A47" w:rsidRPr="00124245" w:rsidRDefault="00431A47">
            <w:pPr>
              <w:rPr>
                <w:sz w:val="22"/>
                <w:szCs w:val="22"/>
              </w:rPr>
            </w:pPr>
          </w:p>
        </w:tc>
      </w:tr>
      <w:tr w:rsidR="00431A47" w:rsidTr="00124245">
        <w:tc>
          <w:tcPr>
            <w:tcW w:w="6768" w:type="dxa"/>
          </w:tcPr>
          <w:p w:rsidR="00431A47" w:rsidRPr="00124245" w:rsidRDefault="00431A47">
            <w:pPr>
              <w:rPr>
                <w:sz w:val="22"/>
                <w:szCs w:val="22"/>
              </w:rPr>
            </w:pPr>
            <w:r w:rsidRPr="00124245">
              <w:rPr>
                <w:sz w:val="22"/>
                <w:szCs w:val="22"/>
              </w:rPr>
              <w:t xml:space="preserve">   Leachate analyses</w:t>
            </w:r>
            <w:r w:rsidR="00B509AA">
              <w:rPr>
                <w:sz w:val="22"/>
                <w:szCs w:val="22"/>
              </w:rPr>
              <w:t xml:space="preserve"> (if sampled and tested)</w:t>
            </w:r>
          </w:p>
        </w:tc>
        <w:tc>
          <w:tcPr>
            <w:tcW w:w="1080" w:type="dxa"/>
          </w:tcPr>
          <w:p w:rsidR="00431A47" w:rsidRPr="00124245" w:rsidRDefault="00B509AA" w:rsidP="00124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 (2)</w:t>
            </w:r>
          </w:p>
        </w:tc>
        <w:tc>
          <w:tcPr>
            <w:tcW w:w="990" w:type="dxa"/>
          </w:tcPr>
          <w:p w:rsidR="00431A47" w:rsidRPr="00124245" w:rsidRDefault="0032716F" w:rsidP="00124245">
            <w:pPr>
              <w:jc w:val="center"/>
              <w:rPr>
                <w:sz w:val="22"/>
                <w:szCs w:val="22"/>
              </w:rPr>
            </w:pPr>
            <w:r w:rsidRPr="00124245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431A47" w:rsidRPr="0012424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24245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318" w:type="dxa"/>
          </w:tcPr>
          <w:p w:rsidR="00431A47" w:rsidRPr="00124245" w:rsidRDefault="00431A47">
            <w:pPr>
              <w:rPr>
                <w:sz w:val="22"/>
                <w:szCs w:val="22"/>
              </w:rPr>
            </w:pPr>
          </w:p>
        </w:tc>
      </w:tr>
      <w:tr w:rsidR="00990F7F" w:rsidTr="00124245">
        <w:tc>
          <w:tcPr>
            <w:tcW w:w="6768" w:type="dxa"/>
          </w:tcPr>
          <w:p w:rsidR="006A7A1E" w:rsidRPr="00124245" w:rsidRDefault="00990F7F" w:rsidP="00EE3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Data entered into EIM database</w:t>
            </w:r>
            <w:r w:rsidR="006A7A1E">
              <w:rPr>
                <w:sz w:val="22"/>
                <w:szCs w:val="22"/>
              </w:rPr>
              <w:t xml:space="preserve">   (</w:t>
            </w:r>
            <w:r w:rsidR="00EE3404">
              <w:rPr>
                <w:sz w:val="22"/>
                <w:szCs w:val="22"/>
              </w:rPr>
              <w:t>date entered:</w:t>
            </w:r>
            <w:r w:rsidR="006A7A1E">
              <w:rPr>
                <w:sz w:val="22"/>
                <w:szCs w:val="22"/>
              </w:rPr>
              <w:t xml:space="preserve"> _____________</w:t>
            </w:r>
            <w:r w:rsidR="00EE3404">
              <w:rPr>
                <w:sz w:val="22"/>
                <w:szCs w:val="22"/>
              </w:rPr>
              <w:t xml:space="preserve"> </w:t>
            </w:r>
            <w:r w:rsidR="006A7A1E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990F7F" w:rsidRPr="00124245" w:rsidRDefault="00990F7F" w:rsidP="00E66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 (3)</w:t>
            </w:r>
          </w:p>
        </w:tc>
        <w:tc>
          <w:tcPr>
            <w:tcW w:w="990" w:type="dxa"/>
          </w:tcPr>
          <w:p w:rsidR="00990F7F" w:rsidRPr="00124245" w:rsidRDefault="0032716F" w:rsidP="00B260FD">
            <w:pPr>
              <w:jc w:val="center"/>
              <w:rPr>
                <w:sz w:val="22"/>
                <w:szCs w:val="22"/>
              </w:rPr>
            </w:pPr>
            <w:r w:rsidRPr="00124245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3AF" w:rsidRPr="0012424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24245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990F7F" w:rsidRPr="00124245" w:rsidRDefault="00990F7F">
            <w:pPr>
              <w:rPr>
                <w:sz w:val="22"/>
                <w:szCs w:val="22"/>
              </w:rPr>
            </w:pPr>
          </w:p>
        </w:tc>
      </w:tr>
      <w:tr w:rsidR="00990F7F" w:rsidTr="00124245">
        <w:tc>
          <w:tcPr>
            <w:tcW w:w="6768" w:type="dxa"/>
          </w:tcPr>
          <w:p w:rsidR="00990F7F" w:rsidRPr="00124245" w:rsidRDefault="00E66726" w:rsidP="00E66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A7A1E">
              <w:rPr>
                <w:sz w:val="22"/>
                <w:szCs w:val="22"/>
              </w:rPr>
              <w:t>C</w:t>
            </w:r>
            <w:r w:rsidR="00990F7F" w:rsidRPr="00124245">
              <w:rPr>
                <w:sz w:val="22"/>
                <w:szCs w:val="22"/>
              </w:rPr>
              <w:t xml:space="preserve">omplete copy of the lab report with </w:t>
            </w:r>
            <w:r w:rsidR="006A7A1E">
              <w:rPr>
                <w:sz w:val="22"/>
                <w:szCs w:val="22"/>
              </w:rPr>
              <w:t>chain of custody record</w:t>
            </w:r>
            <w:r w:rsidR="00990F7F" w:rsidRPr="00124245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990F7F" w:rsidRPr="00124245" w:rsidRDefault="00990F7F" w:rsidP="00124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990F7F" w:rsidRPr="00124245" w:rsidRDefault="0032716F" w:rsidP="00124245">
            <w:pPr>
              <w:jc w:val="center"/>
              <w:rPr>
                <w:sz w:val="22"/>
                <w:szCs w:val="22"/>
              </w:rPr>
            </w:pPr>
            <w:r w:rsidRPr="00124245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F7F" w:rsidRPr="0012424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24245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990F7F" w:rsidRPr="00124245" w:rsidRDefault="00990F7F">
            <w:pPr>
              <w:rPr>
                <w:sz w:val="22"/>
                <w:szCs w:val="22"/>
              </w:rPr>
            </w:pPr>
          </w:p>
        </w:tc>
      </w:tr>
      <w:tr w:rsidR="00990F7F" w:rsidTr="00124245">
        <w:tc>
          <w:tcPr>
            <w:tcW w:w="6768" w:type="dxa"/>
          </w:tcPr>
          <w:p w:rsidR="00990F7F" w:rsidRPr="00124245" w:rsidRDefault="00990F7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90F7F" w:rsidRPr="00124245" w:rsidRDefault="00990F7F" w:rsidP="00124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990F7F" w:rsidRPr="00124245" w:rsidRDefault="00990F7F" w:rsidP="00124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990F7F" w:rsidRPr="00124245" w:rsidRDefault="00990F7F">
            <w:pPr>
              <w:rPr>
                <w:sz w:val="22"/>
                <w:szCs w:val="22"/>
              </w:rPr>
            </w:pPr>
          </w:p>
        </w:tc>
      </w:tr>
      <w:tr w:rsidR="00990F7F" w:rsidTr="00124245">
        <w:tc>
          <w:tcPr>
            <w:tcW w:w="6768" w:type="dxa"/>
          </w:tcPr>
          <w:p w:rsidR="00990F7F" w:rsidRPr="00124245" w:rsidRDefault="00990F7F">
            <w:pPr>
              <w:rPr>
                <w:i/>
                <w:sz w:val="22"/>
                <w:szCs w:val="22"/>
              </w:rPr>
            </w:pPr>
            <w:r w:rsidRPr="00124245">
              <w:rPr>
                <w:b/>
                <w:i/>
                <w:sz w:val="22"/>
                <w:szCs w:val="22"/>
              </w:rPr>
              <w:t>Annual Groundwater Reports</w:t>
            </w:r>
            <w:r w:rsidRPr="00124245">
              <w:rPr>
                <w:i/>
                <w:sz w:val="22"/>
                <w:szCs w:val="22"/>
              </w:rPr>
              <w:t xml:space="preserve">:  </w:t>
            </w:r>
            <w:r w:rsidRPr="00124245">
              <w:rPr>
                <w:i/>
                <w:sz w:val="20"/>
                <w:szCs w:val="20"/>
              </w:rPr>
              <w:t xml:space="preserve">173-351-415 (1)    </w:t>
            </w:r>
            <w:r w:rsidRPr="00124245">
              <w:rPr>
                <w:b/>
                <w:sz w:val="20"/>
                <w:szCs w:val="20"/>
              </w:rPr>
              <w:t>YEAR__________</w:t>
            </w:r>
          </w:p>
        </w:tc>
        <w:tc>
          <w:tcPr>
            <w:tcW w:w="1080" w:type="dxa"/>
          </w:tcPr>
          <w:p w:rsidR="00990F7F" w:rsidRPr="00124245" w:rsidRDefault="00990F7F" w:rsidP="00124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990F7F" w:rsidRPr="00124245" w:rsidRDefault="00990F7F" w:rsidP="00124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990F7F" w:rsidRPr="00124245" w:rsidRDefault="00990F7F">
            <w:pPr>
              <w:rPr>
                <w:sz w:val="22"/>
                <w:szCs w:val="22"/>
              </w:rPr>
            </w:pPr>
          </w:p>
        </w:tc>
      </w:tr>
      <w:tr w:rsidR="00990F7F" w:rsidTr="00124245">
        <w:tc>
          <w:tcPr>
            <w:tcW w:w="6768" w:type="dxa"/>
          </w:tcPr>
          <w:p w:rsidR="00990F7F" w:rsidRPr="00124245" w:rsidRDefault="00990F7F">
            <w:pPr>
              <w:rPr>
                <w:sz w:val="22"/>
                <w:szCs w:val="22"/>
              </w:rPr>
            </w:pPr>
            <w:r w:rsidRPr="00124245">
              <w:rPr>
                <w:sz w:val="22"/>
                <w:szCs w:val="22"/>
              </w:rPr>
              <w:t xml:space="preserve">   Summary of statistical results and trends</w:t>
            </w:r>
          </w:p>
        </w:tc>
        <w:tc>
          <w:tcPr>
            <w:tcW w:w="1080" w:type="dxa"/>
          </w:tcPr>
          <w:p w:rsidR="00990F7F" w:rsidRPr="00124245" w:rsidRDefault="00B509AA" w:rsidP="00124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 (1)</w:t>
            </w:r>
          </w:p>
        </w:tc>
        <w:tc>
          <w:tcPr>
            <w:tcW w:w="990" w:type="dxa"/>
          </w:tcPr>
          <w:p w:rsidR="00990F7F" w:rsidRPr="00124245" w:rsidRDefault="0032716F" w:rsidP="00124245">
            <w:pPr>
              <w:jc w:val="center"/>
              <w:rPr>
                <w:sz w:val="22"/>
                <w:szCs w:val="22"/>
              </w:rPr>
            </w:pPr>
            <w:r w:rsidRPr="00124245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990F7F" w:rsidRPr="0012424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24245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318" w:type="dxa"/>
          </w:tcPr>
          <w:p w:rsidR="00990F7F" w:rsidRPr="00124245" w:rsidRDefault="00990F7F">
            <w:pPr>
              <w:rPr>
                <w:sz w:val="22"/>
                <w:szCs w:val="22"/>
              </w:rPr>
            </w:pPr>
          </w:p>
        </w:tc>
      </w:tr>
      <w:tr w:rsidR="00990F7F" w:rsidTr="00124245">
        <w:tc>
          <w:tcPr>
            <w:tcW w:w="6768" w:type="dxa"/>
          </w:tcPr>
          <w:p w:rsidR="00990F7F" w:rsidRPr="00124245" w:rsidRDefault="00990F7F">
            <w:pPr>
              <w:rPr>
                <w:sz w:val="22"/>
                <w:szCs w:val="22"/>
              </w:rPr>
            </w:pPr>
            <w:r w:rsidRPr="00124245">
              <w:rPr>
                <w:sz w:val="22"/>
                <w:szCs w:val="22"/>
              </w:rPr>
              <w:t xml:space="preserve">   Summary of groundwater flow rate and direction for the year</w:t>
            </w:r>
          </w:p>
        </w:tc>
        <w:tc>
          <w:tcPr>
            <w:tcW w:w="1080" w:type="dxa"/>
          </w:tcPr>
          <w:p w:rsidR="00990F7F" w:rsidRPr="00124245" w:rsidRDefault="00B509AA" w:rsidP="00124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 (1)</w:t>
            </w:r>
          </w:p>
        </w:tc>
        <w:tc>
          <w:tcPr>
            <w:tcW w:w="990" w:type="dxa"/>
          </w:tcPr>
          <w:p w:rsidR="00990F7F" w:rsidRPr="00124245" w:rsidRDefault="0032716F" w:rsidP="00124245">
            <w:pPr>
              <w:jc w:val="center"/>
              <w:rPr>
                <w:sz w:val="22"/>
                <w:szCs w:val="22"/>
              </w:rPr>
            </w:pPr>
            <w:r w:rsidRPr="00124245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990F7F" w:rsidRPr="0012424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24245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318" w:type="dxa"/>
          </w:tcPr>
          <w:p w:rsidR="00990F7F" w:rsidRPr="00124245" w:rsidRDefault="00990F7F">
            <w:pPr>
              <w:rPr>
                <w:sz w:val="22"/>
                <w:szCs w:val="22"/>
              </w:rPr>
            </w:pPr>
          </w:p>
        </w:tc>
      </w:tr>
      <w:tr w:rsidR="00990F7F" w:rsidTr="00124245">
        <w:tc>
          <w:tcPr>
            <w:tcW w:w="6768" w:type="dxa"/>
          </w:tcPr>
          <w:p w:rsidR="00990F7F" w:rsidRPr="00124245" w:rsidRDefault="00990F7F">
            <w:pPr>
              <w:rPr>
                <w:sz w:val="22"/>
                <w:szCs w:val="22"/>
              </w:rPr>
            </w:pPr>
            <w:r w:rsidRPr="00124245">
              <w:rPr>
                <w:sz w:val="22"/>
                <w:szCs w:val="22"/>
              </w:rPr>
              <w:t xml:space="preserve">   Copy of all potentiometric maps for the year</w:t>
            </w:r>
          </w:p>
        </w:tc>
        <w:tc>
          <w:tcPr>
            <w:tcW w:w="1080" w:type="dxa"/>
          </w:tcPr>
          <w:p w:rsidR="00990F7F" w:rsidRPr="00124245" w:rsidRDefault="00B509AA" w:rsidP="00B5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 (1)</w:t>
            </w:r>
          </w:p>
        </w:tc>
        <w:tc>
          <w:tcPr>
            <w:tcW w:w="990" w:type="dxa"/>
          </w:tcPr>
          <w:p w:rsidR="00990F7F" w:rsidRPr="00124245" w:rsidRDefault="0032716F" w:rsidP="00124245">
            <w:pPr>
              <w:jc w:val="center"/>
              <w:rPr>
                <w:sz w:val="22"/>
                <w:szCs w:val="22"/>
              </w:rPr>
            </w:pPr>
            <w:r w:rsidRPr="00124245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990F7F" w:rsidRPr="0012424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24245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318" w:type="dxa"/>
          </w:tcPr>
          <w:p w:rsidR="00990F7F" w:rsidRPr="00124245" w:rsidRDefault="00990F7F">
            <w:pPr>
              <w:rPr>
                <w:sz w:val="22"/>
                <w:szCs w:val="22"/>
              </w:rPr>
            </w:pPr>
          </w:p>
        </w:tc>
      </w:tr>
      <w:tr w:rsidR="00990F7F" w:rsidTr="00124245">
        <w:tc>
          <w:tcPr>
            <w:tcW w:w="6768" w:type="dxa"/>
          </w:tcPr>
          <w:p w:rsidR="00990F7F" w:rsidRPr="00124245" w:rsidRDefault="00990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124245">
              <w:rPr>
                <w:sz w:val="22"/>
                <w:szCs w:val="22"/>
              </w:rPr>
              <w:t>Summary geochemical evaluation</w:t>
            </w:r>
          </w:p>
        </w:tc>
        <w:tc>
          <w:tcPr>
            <w:tcW w:w="1080" w:type="dxa"/>
          </w:tcPr>
          <w:p w:rsidR="00990F7F" w:rsidRPr="00124245" w:rsidRDefault="00B509AA" w:rsidP="00124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 (1)</w:t>
            </w:r>
          </w:p>
        </w:tc>
        <w:tc>
          <w:tcPr>
            <w:tcW w:w="990" w:type="dxa"/>
          </w:tcPr>
          <w:p w:rsidR="00990F7F" w:rsidRPr="00124245" w:rsidRDefault="0032716F" w:rsidP="00124245">
            <w:pPr>
              <w:jc w:val="center"/>
              <w:rPr>
                <w:sz w:val="22"/>
                <w:szCs w:val="22"/>
              </w:rPr>
            </w:pPr>
            <w:r w:rsidRPr="00124245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990F7F" w:rsidRPr="0012424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24245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318" w:type="dxa"/>
          </w:tcPr>
          <w:p w:rsidR="00990F7F" w:rsidRPr="00124245" w:rsidRDefault="00990F7F">
            <w:pPr>
              <w:rPr>
                <w:sz w:val="22"/>
                <w:szCs w:val="22"/>
              </w:rPr>
            </w:pPr>
          </w:p>
        </w:tc>
      </w:tr>
      <w:tr w:rsidR="00990F7F" w:rsidTr="00124245">
        <w:tc>
          <w:tcPr>
            <w:tcW w:w="6768" w:type="dxa"/>
          </w:tcPr>
          <w:p w:rsidR="00990F7F" w:rsidRPr="002C07FF" w:rsidRDefault="00990F7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990F7F" w:rsidRPr="00124245" w:rsidRDefault="00990F7F" w:rsidP="00124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990F7F" w:rsidRPr="00124245" w:rsidRDefault="00990F7F" w:rsidP="00124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990F7F" w:rsidRPr="00124245" w:rsidRDefault="00990F7F">
            <w:pPr>
              <w:rPr>
                <w:sz w:val="22"/>
                <w:szCs w:val="22"/>
              </w:rPr>
            </w:pPr>
          </w:p>
        </w:tc>
      </w:tr>
      <w:tr w:rsidR="00990F7F" w:rsidTr="00124245">
        <w:tc>
          <w:tcPr>
            <w:tcW w:w="6768" w:type="dxa"/>
          </w:tcPr>
          <w:p w:rsidR="00990F7F" w:rsidRPr="002C07FF" w:rsidRDefault="00990F7F">
            <w:pPr>
              <w:rPr>
                <w:b/>
                <w:i/>
                <w:sz w:val="22"/>
                <w:szCs w:val="22"/>
              </w:rPr>
            </w:pPr>
            <w:r w:rsidRPr="002C07FF">
              <w:rPr>
                <w:b/>
                <w:i/>
                <w:sz w:val="22"/>
                <w:szCs w:val="22"/>
              </w:rPr>
              <w:t>For Quarterly and Annual Reports</w:t>
            </w:r>
          </w:p>
        </w:tc>
        <w:tc>
          <w:tcPr>
            <w:tcW w:w="1080" w:type="dxa"/>
          </w:tcPr>
          <w:p w:rsidR="00990F7F" w:rsidRPr="00124245" w:rsidRDefault="00990F7F" w:rsidP="00124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990F7F" w:rsidRPr="00124245" w:rsidRDefault="00990F7F" w:rsidP="00124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990F7F" w:rsidRPr="00124245" w:rsidRDefault="00990F7F">
            <w:pPr>
              <w:rPr>
                <w:sz w:val="22"/>
                <w:szCs w:val="22"/>
              </w:rPr>
            </w:pPr>
          </w:p>
        </w:tc>
      </w:tr>
      <w:tr w:rsidR="00990F7F" w:rsidTr="00124245">
        <w:tc>
          <w:tcPr>
            <w:tcW w:w="6768" w:type="dxa"/>
          </w:tcPr>
          <w:p w:rsidR="00990F7F" w:rsidRPr="00124245" w:rsidRDefault="00990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Stamped by a licensed professional</w:t>
            </w:r>
          </w:p>
        </w:tc>
        <w:tc>
          <w:tcPr>
            <w:tcW w:w="1080" w:type="dxa"/>
          </w:tcPr>
          <w:p w:rsidR="00990F7F" w:rsidRPr="00124245" w:rsidRDefault="00990F7F" w:rsidP="00124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RCW 18.220</w:t>
            </w:r>
          </w:p>
        </w:tc>
        <w:tc>
          <w:tcPr>
            <w:tcW w:w="990" w:type="dxa"/>
          </w:tcPr>
          <w:p w:rsidR="00990F7F" w:rsidRPr="00124245" w:rsidRDefault="0032716F" w:rsidP="00124245">
            <w:pPr>
              <w:jc w:val="center"/>
              <w:rPr>
                <w:sz w:val="22"/>
                <w:szCs w:val="22"/>
              </w:rPr>
            </w:pPr>
            <w:r w:rsidRPr="00124245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F7F" w:rsidRPr="0012424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24245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990F7F" w:rsidRPr="00124245" w:rsidRDefault="00990F7F">
            <w:pPr>
              <w:rPr>
                <w:sz w:val="22"/>
                <w:szCs w:val="22"/>
              </w:rPr>
            </w:pPr>
          </w:p>
        </w:tc>
      </w:tr>
    </w:tbl>
    <w:p w:rsidR="005670BE" w:rsidRDefault="005670BE"/>
    <w:p w:rsidR="00983EDA" w:rsidRDefault="00983EDA"/>
    <w:p w:rsidR="00CC510A" w:rsidRDefault="00CC510A">
      <w:r>
        <w:t>_______________________________</w:t>
      </w:r>
      <w:r w:rsidR="00E5699B">
        <w:t>__</w:t>
      </w:r>
      <w:r>
        <w:tab/>
        <w:t>_______________</w:t>
      </w:r>
      <w:r w:rsidR="00E5699B">
        <w:tab/>
      </w:r>
      <w:r w:rsidR="00FF61F4">
        <w:t>______________________________</w:t>
      </w:r>
    </w:p>
    <w:p w:rsidR="00CC510A" w:rsidRDefault="00CC510A">
      <w:r w:rsidRPr="00CC510A">
        <w:rPr>
          <w:rFonts w:ascii="Vrinda" w:hAnsi="Vrinda" w:cs="Vrinda"/>
        </w:rPr>
        <w:t>Signature of Report Author</w:t>
      </w:r>
      <w:r>
        <w:tab/>
      </w:r>
      <w:r>
        <w:tab/>
      </w:r>
      <w:r>
        <w:tab/>
      </w:r>
      <w:r>
        <w:tab/>
      </w:r>
      <w:r w:rsidRPr="00CC510A">
        <w:rPr>
          <w:rFonts w:ascii="Vrinda" w:hAnsi="Vrinda" w:cs="Vrinda"/>
        </w:rPr>
        <w:t>Date</w:t>
      </w:r>
      <w:r w:rsidR="00FF61F4">
        <w:rPr>
          <w:rFonts w:ascii="Vrinda" w:hAnsi="Vrinda" w:cs="Vrinda"/>
        </w:rPr>
        <w:tab/>
      </w:r>
      <w:r w:rsidR="00FF61F4">
        <w:rPr>
          <w:rFonts w:ascii="Vrinda" w:hAnsi="Vrinda" w:cs="Vrinda"/>
        </w:rPr>
        <w:tab/>
      </w:r>
      <w:r w:rsidR="00FF61F4">
        <w:rPr>
          <w:rFonts w:ascii="Vrinda" w:hAnsi="Vrinda" w:cs="Vrinda"/>
        </w:rPr>
        <w:tab/>
        <w:t>Landfill</w:t>
      </w:r>
    </w:p>
    <w:sectPr w:rsidR="00CC510A" w:rsidSect="00695C8C">
      <w:footerReference w:type="default" r:id="rId11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DBA" w:rsidRDefault="007C1DBA">
      <w:r>
        <w:separator/>
      </w:r>
    </w:p>
  </w:endnote>
  <w:endnote w:type="continuationSeparator" w:id="0">
    <w:p w:rsidR="007C1DBA" w:rsidRDefault="007C1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B4" w:rsidRDefault="00EC18B4" w:rsidP="00EC18B4">
    <w:pPr>
      <w:pStyle w:val="CM2"/>
      <w:framePr w:w="10323" w:wrap="auto" w:vAnchor="page" w:hAnchor="page" w:x="1201" w:y="14041"/>
      <w:spacing w:line="211" w:lineRule="atLeas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 xml:space="preserve">If you need this publication in an alternate format, please call the </w:t>
    </w:r>
    <w:r w:rsidR="003251FB">
      <w:rPr>
        <w:rFonts w:ascii="Arial" w:hAnsi="Arial" w:cs="Arial"/>
        <w:i/>
        <w:iCs/>
        <w:sz w:val="18"/>
        <w:szCs w:val="18"/>
      </w:rPr>
      <w:t>Waste 2 Resources</w:t>
    </w:r>
    <w:r>
      <w:rPr>
        <w:rFonts w:ascii="Arial" w:hAnsi="Arial" w:cs="Arial"/>
        <w:i/>
        <w:iCs/>
        <w:sz w:val="18"/>
        <w:szCs w:val="18"/>
      </w:rPr>
      <w:t xml:space="preserve"> Program at (360) 407-6900. Persons with hearing loss can call 711 for Washington Relay Service. Persons with a speech disability can call 877-833-6341. </w:t>
    </w:r>
  </w:p>
  <w:p w:rsidR="00EC18B4" w:rsidRDefault="00EC18B4" w:rsidP="00EC18B4">
    <w:pPr>
      <w:pStyle w:val="Default"/>
      <w:framePr w:w="3067" w:wrap="auto" w:vAnchor="page" w:hAnchor="page" w:x="1201" w:y="14791"/>
      <w:jc w:val="both"/>
    </w:pPr>
    <w:r>
      <w:rPr>
        <w:rFonts w:ascii="Arial" w:hAnsi="Arial" w:cs="Arial"/>
        <w:color w:val="auto"/>
        <w:sz w:val="20"/>
        <w:szCs w:val="20"/>
      </w:rPr>
      <w:t xml:space="preserve">ECY 070-316 (Rev. </w:t>
    </w:r>
    <w:r w:rsidR="00990F7F">
      <w:rPr>
        <w:rFonts w:ascii="Arial" w:hAnsi="Arial" w:cs="Arial"/>
        <w:color w:val="auto"/>
        <w:sz w:val="20"/>
        <w:szCs w:val="20"/>
      </w:rPr>
      <w:t>11</w:t>
    </w:r>
    <w:r>
      <w:rPr>
        <w:rFonts w:ascii="Arial" w:hAnsi="Arial" w:cs="Arial"/>
        <w:color w:val="auto"/>
        <w:sz w:val="20"/>
        <w:szCs w:val="20"/>
      </w:rPr>
      <w:t>/</w:t>
    </w:r>
    <w:r w:rsidR="00990F7F">
      <w:rPr>
        <w:rFonts w:ascii="Arial" w:hAnsi="Arial" w:cs="Arial"/>
        <w:color w:val="auto"/>
        <w:sz w:val="20"/>
        <w:szCs w:val="20"/>
      </w:rPr>
      <w:t>12</w:t>
    </w:r>
    <w:r>
      <w:rPr>
        <w:rFonts w:ascii="Arial" w:hAnsi="Arial" w:cs="Arial"/>
        <w:color w:val="auto"/>
        <w:sz w:val="20"/>
        <w:szCs w:val="20"/>
      </w:rPr>
      <w:t xml:space="preserve">) </w:t>
    </w:r>
  </w:p>
  <w:p w:rsidR="00EC18B4" w:rsidRDefault="00EC18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DBA" w:rsidRDefault="007C1DBA">
      <w:r>
        <w:separator/>
      </w:r>
    </w:p>
  </w:footnote>
  <w:footnote w:type="continuationSeparator" w:id="0">
    <w:p w:rsidR="007C1DBA" w:rsidRDefault="007C1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5EFA"/>
    <w:multiLevelType w:val="hybridMultilevel"/>
    <w:tmpl w:val="C6320348"/>
    <w:lvl w:ilvl="0" w:tplc="C068EA2E">
      <w:start w:val="1"/>
      <w:numFmt w:val="bullet"/>
      <w:lvlText w:val=""/>
      <w:lvlJc w:val="left"/>
      <w:pPr>
        <w:tabs>
          <w:tab w:val="num" w:pos="792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E1F92"/>
    <w:multiLevelType w:val="hybridMultilevel"/>
    <w:tmpl w:val="B6D0C816"/>
    <w:lvl w:ilvl="0" w:tplc="C068EA2E">
      <w:start w:val="1"/>
      <w:numFmt w:val="bullet"/>
      <w:lvlText w:val=""/>
      <w:lvlJc w:val="left"/>
      <w:pPr>
        <w:tabs>
          <w:tab w:val="num" w:pos="792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370F7"/>
    <w:multiLevelType w:val="hybridMultilevel"/>
    <w:tmpl w:val="0E4CC962"/>
    <w:lvl w:ilvl="0" w:tplc="A992B022">
      <w:start w:val="1"/>
      <w:numFmt w:val="bullet"/>
      <w:lvlText w:val=""/>
      <w:lvlJc w:val="left"/>
      <w:pPr>
        <w:tabs>
          <w:tab w:val="num" w:pos="720"/>
        </w:tabs>
        <w:ind w:left="1008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15486"/>
    <w:multiLevelType w:val="hybridMultilevel"/>
    <w:tmpl w:val="9AA89D1C"/>
    <w:lvl w:ilvl="0" w:tplc="A3FEAEA4">
      <w:start w:val="1"/>
      <w:numFmt w:val="bullet"/>
      <w:lvlText w:val=""/>
      <w:lvlJc w:val="left"/>
      <w:pPr>
        <w:tabs>
          <w:tab w:val="num" w:pos="792"/>
        </w:tabs>
        <w:ind w:left="36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1357DC"/>
    <w:multiLevelType w:val="multilevel"/>
    <w:tmpl w:val="E2C0A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C34299"/>
    <w:multiLevelType w:val="hybridMultilevel"/>
    <w:tmpl w:val="60A29DE8"/>
    <w:lvl w:ilvl="0" w:tplc="C068EA2E">
      <w:start w:val="1"/>
      <w:numFmt w:val="bullet"/>
      <w:lvlText w:val=""/>
      <w:lvlJc w:val="left"/>
      <w:pPr>
        <w:tabs>
          <w:tab w:val="num" w:pos="792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D350C7"/>
    <w:multiLevelType w:val="multilevel"/>
    <w:tmpl w:val="60A29DE8"/>
    <w:lvl w:ilvl="0">
      <w:start w:val="1"/>
      <w:numFmt w:val="bullet"/>
      <w:lvlText w:val=""/>
      <w:lvlJc w:val="left"/>
      <w:pPr>
        <w:tabs>
          <w:tab w:val="num" w:pos="792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394CE1"/>
    <w:multiLevelType w:val="hybridMultilevel"/>
    <w:tmpl w:val="2FC2AAF2"/>
    <w:lvl w:ilvl="0" w:tplc="9BF0BF40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DF2B21"/>
    <w:multiLevelType w:val="multilevel"/>
    <w:tmpl w:val="9AA89D1C"/>
    <w:lvl w:ilvl="0">
      <w:start w:val="1"/>
      <w:numFmt w:val="bullet"/>
      <w:lvlText w:val=""/>
      <w:lvlJc w:val="left"/>
      <w:pPr>
        <w:tabs>
          <w:tab w:val="num" w:pos="792"/>
        </w:tabs>
        <w:ind w:left="36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271396"/>
    <w:multiLevelType w:val="multilevel"/>
    <w:tmpl w:val="A648C69E"/>
    <w:lvl w:ilvl="0">
      <w:start w:val="1"/>
      <w:numFmt w:val="bullet"/>
      <w:lvlText w:val=""/>
      <w:lvlJc w:val="left"/>
      <w:pPr>
        <w:tabs>
          <w:tab w:val="num" w:pos="792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E32806"/>
    <w:multiLevelType w:val="multilevel"/>
    <w:tmpl w:val="2FC2AAF2"/>
    <w:lvl w:ilvl="0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E37ADD"/>
    <w:multiLevelType w:val="hybridMultilevel"/>
    <w:tmpl w:val="A648C69E"/>
    <w:lvl w:ilvl="0" w:tplc="39E8D1A2">
      <w:start w:val="1"/>
      <w:numFmt w:val="bullet"/>
      <w:lvlText w:val=""/>
      <w:lvlJc w:val="left"/>
      <w:pPr>
        <w:tabs>
          <w:tab w:val="num" w:pos="792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3F4951"/>
    <w:multiLevelType w:val="hybridMultilevel"/>
    <w:tmpl w:val="E2C0A27C"/>
    <w:lvl w:ilvl="0" w:tplc="1640D2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816AFA"/>
    <w:multiLevelType w:val="hybridMultilevel"/>
    <w:tmpl w:val="A1A4A1D6"/>
    <w:lvl w:ilvl="0" w:tplc="1640D2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1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  <w:num w:numId="12">
    <w:abstractNumId w:val="7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0BE"/>
    <w:rsid w:val="00074B12"/>
    <w:rsid w:val="000E323F"/>
    <w:rsid w:val="001168EE"/>
    <w:rsid w:val="00124245"/>
    <w:rsid w:val="00136255"/>
    <w:rsid w:val="00150CA8"/>
    <w:rsid w:val="001D6B09"/>
    <w:rsid w:val="00201E38"/>
    <w:rsid w:val="002767FA"/>
    <w:rsid w:val="00294192"/>
    <w:rsid w:val="002C07FF"/>
    <w:rsid w:val="00313B10"/>
    <w:rsid w:val="00314947"/>
    <w:rsid w:val="00315C13"/>
    <w:rsid w:val="003251FB"/>
    <w:rsid w:val="0032716F"/>
    <w:rsid w:val="00352893"/>
    <w:rsid w:val="00371EBA"/>
    <w:rsid w:val="003A1B3E"/>
    <w:rsid w:val="00420D27"/>
    <w:rsid w:val="00431A47"/>
    <w:rsid w:val="004A2B61"/>
    <w:rsid w:val="004B5100"/>
    <w:rsid w:val="004D45B8"/>
    <w:rsid w:val="0050752C"/>
    <w:rsid w:val="00553C63"/>
    <w:rsid w:val="005670BE"/>
    <w:rsid w:val="005F3F5D"/>
    <w:rsid w:val="00655F7A"/>
    <w:rsid w:val="006624C8"/>
    <w:rsid w:val="00695C8C"/>
    <w:rsid w:val="006A7A1E"/>
    <w:rsid w:val="006E7D48"/>
    <w:rsid w:val="007903FB"/>
    <w:rsid w:val="007A5729"/>
    <w:rsid w:val="007C112E"/>
    <w:rsid w:val="007C1DBA"/>
    <w:rsid w:val="007F62DF"/>
    <w:rsid w:val="008940EF"/>
    <w:rsid w:val="008C0AAC"/>
    <w:rsid w:val="008C606E"/>
    <w:rsid w:val="0093464D"/>
    <w:rsid w:val="009463AF"/>
    <w:rsid w:val="0095365D"/>
    <w:rsid w:val="009558EE"/>
    <w:rsid w:val="00983EDA"/>
    <w:rsid w:val="00990F7F"/>
    <w:rsid w:val="00996872"/>
    <w:rsid w:val="009C251C"/>
    <w:rsid w:val="009E1CE1"/>
    <w:rsid w:val="009F0747"/>
    <w:rsid w:val="00B14275"/>
    <w:rsid w:val="00B25C99"/>
    <w:rsid w:val="00B509AA"/>
    <w:rsid w:val="00B92857"/>
    <w:rsid w:val="00BA0AA1"/>
    <w:rsid w:val="00BA52D1"/>
    <w:rsid w:val="00BB7EC2"/>
    <w:rsid w:val="00BE5E31"/>
    <w:rsid w:val="00C3567A"/>
    <w:rsid w:val="00C73944"/>
    <w:rsid w:val="00CB3F08"/>
    <w:rsid w:val="00CC510A"/>
    <w:rsid w:val="00D019C2"/>
    <w:rsid w:val="00D13304"/>
    <w:rsid w:val="00D97D3E"/>
    <w:rsid w:val="00DD0CB9"/>
    <w:rsid w:val="00E250D0"/>
    <w:rsid w:val="00E46603"/>
    <w:rsid w:val="00E5699B"/>
    <w:rsid w:val="00E61B46"/>
    <w:rsid w:val="00E66726"/>
    <w:rsid w:val="00EA2E90"/>
    <w:rsid w:val="00EA6396"/>
    <w:rsid w:val="00EC18B4"/>
    <w:rsid w:val="00EE3404"/>
    <w:rsid w:val="00F0474B"/>
    <w:rsid w:val="00F20462"/>
    <w:rsid w:val="00F31A23"/>
    <w:rsid w:val="00F92C14"/>
    <w:rsid w:val="00F9429E"/>
    <w:rsid w:val="00FB4500"/>
    <w:rsid w:val="00FF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304"/>
    <w:rPr>
      <w:sz w:val="24"/>
      <w:szCs w:val="24"/>
    </w:rPr>
  </w:style>
  <w:style w:type="paragraph" w:styleId="Heading1">
    <w:name w:val="heading 1"/>
    <w:basedOn w:val="Normal"/>
    <w:next w:val="Normal"/>
    <w:qFormat/>
    <w:rsid w:val="00BB7E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autoRedefine/>
    <w:rsid w:val="00BB7EC2"/>
    <w:rPr>
      <w:sz w:val="26"/>
      <w:szCs w:val="26"/>
    </w:rPr>
  </w:style>
  <w:style w:type="table" w:styleId="TableGrid">
    <w:name w:val="Table Grid"/>
    <w:basedOn w:val="TableNormal"/>
    <w:rsid w:val="00567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466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66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28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18B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EC18B4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OtherNote xmlns="50388d1e-1a9a-4f36-844f-06a4a43be12a" xsi:nil="true"/>
    <OtherSize xmlns="50388d1e-1a9a-4f36-844f-06a4a43be12a">47KB</OtherSize>
    <OtherNumberOfPages xmlns="50388d1e-1a9a-4f36-844f-06a4a43be12a" xsi:nil="true"/>
    <OtherFileType xmlns="50388d1e-1a9a-4f36-844f-06a4a43be12a">docx</OtherFileType>
    <OnlineNumber xmlns="50388d1e-1a9a-4f36-844f-06a4a43be12a">ECY070316</OnlineNumb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8C207D-137C-4D08-AC01-B0208F7FD38F}"/>
</file>

<file path=customXml/itemProps2.xml><?xml version="1.0" encoding="utf-8"?>
<ds:datastoreItem xmlns:ds="http://schemas.openxmlformats.org/officeDocument/2006/customXml" ds:itemID="{9D2F1237-9AF7-456E-8CF8-0699AD691E5D}"/>
</file>

<file path=customXml/itemProps3.xml><?xml version="1.0" encoding="utf-8"?>
<ds:datastoreItem xmlns:ds="http://schemas.openxmlformats.org/officeDocument/2006/customXml" ds:itemID="{5B352F95-1E1F-4F89-BC1C-99C368CDEB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SOLID WASTE LANDFILLS</vt:lpstr>
    </vt:vector>
  </TitlesOfParts>
  <Company>WA Department of Ecology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SOLID WASTE LANDFILLS</dc:title>
  <dc:creator>Cole H. Carter</dc:creator>
  <cp:lastModifiedBy>Michelle Payne</cp:lastModifiedBy>
  <cp:revision>3</cp:revision>
  <cp:lastPrinted>2009-12-23T23:16:00Z</cp:lastPrinted>
  <dcterms:created xsi:type="dcterms:W3CDTF">2012-11-16T19:37:00Z</dcterms:created>
  <dcterms:modified xsi:type="dcterms:W3CDTF">2012-11-16T22:02:00Z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CopySource">
    <vt:lpwstr>ECY070316Other.docx</vt:lpwstr>
  </property>
  <property fmtid="{D5CDD505-2E9C-101B-9397-08002B2CF9AE}" pid="4" name="ContentTypeId">
    <vt:lpwstr>0x010100D70E111DA54A934B84F7B9953624EA50</vt:lpwstr>
  </property>
</Properties>
</file>