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Default="00E7717A" w:rsidP="00E7717A">
      <w:pPr>
        <w:jc w:val="center"/>
      </w:pPr>
    </w:p>
    <w:p w:rsidR="00E7717A" w:rsidRPr="00FC306D" w:rsidRDefault="00E7717A" w:rsidP="0015277B">
      <w:pPr>
        <w:ind w:left="360"/>
        <w:rPr>
          <w:sz w:val="22"/>
          <w:szCs w:val="22"/>
        </w:rPr>
      </w:pPr>
      <w:proofErr w:type="gramStart"/>
      <w:r w:rsidRPr="00FC306D">
        <w:rPr>
          <w:sz w:val="22"/>
          <w:szCs w:val="22"/>
        </w:rPr>
        <w:t>For use with Instructions for Notice of Construction Application</w:t>
      </w:r>
      <w:r w:rsidR="003C4548">
        <w:rPr>
          <w:sz w:val="22"/>
          <w:szCs w:val="22"/>
        </w:rPr>
        <w:t>, ECY 070-</w:t>
      </w:r>
      <w:r w:rsidR="009708CC">
        <w:rPr>
          <w:sz w:val="22"/>
          <w:szCs w:val="22"/>
        </w:rPr>
        <w:t>410</w:t>
      </w:r>
      <w:r w:rsidR="003C4548">
        <w:rPr>
          <w:sz w:val="22"/>
          <w:szCs w:val="22"/>
        </w:rPr>
        <w:t>a-g.</w:t>
      </w:r>
      <w:proofErr w:type="gramEnd"/>
    </w:p>
    <w:p w:rsidR="000D0145" w:rsidRPr="00FC306D" w:rsidRDefault="009D33A7" w:rsidP="0015277B">
      <w:pPr>
        <w:spacing w:before="120"/>
        <w:ind w:left="360"/>
        <w:rPr>
          <w:b/>
          <w:sz w:val="22"/>
          <w:szCs w:val="22"/>
        </w:rPr>
      </w:pPr>
      <w:r w:rsidRPr="00FC306D">
        <w:rPr>
          <w:b/>
          <w:sz w:val="22"/>
          <w:szCs w:val="22"/>
        </w:rPr>
        <w:t xml:space="preserve">Why </w:t>
      </w:r>
      <w:r w:rsidR="008427CD" w:rsidRPr="00FC306D">
        <w:rPr>
          <w:b/>
          <w:sz w:val="22"/>
          <w:szCs w:val="22"/>
        </w:rPr>
        <w:t>s</w:t>
      </w:r>
      <w:r w:rsidRPr="00FC306D">
        <w:rPr>
          <w:b/>
          <w:sz w:val="22"/>
          <w:szCs w:val="22"/>
        </w:rPr>
        <w:t xml:space="preserve">hould I </w:t>
      </w:r>
      <w:r w:rsidR="008427CD" w:rsidRPr="00FC306D">
        <w:rPr>
          <w:b/>
          <w:sz w:val="22"/>
          <w:szCs w:val="22"/>
        </w:rPr>
        <w:t>c</w:t>
      </w:r>
      <w:r w:rsidRPr="00FC306D">
        <w:rPr>
          <w:b/>
          <w:sz w:val="22"/>
          <w:szCs w:val="22"/>
        </w:rPr>
        <w:t xml:space="preserve">are </w:t>
      </w:r>
      <w:r w:rsidR="008427CD" w:rsidRPr="00FC306D">
        <w:rPr>
          <w:b/>
          <w:sz w:val="22"/>
          <w:szCs w:val="22"/>
        </w:rPr>
        <w:t>a</w:t>
      </w:r>
      <w:r w:rsidRPr="00FC306D">
        <w:rPr>
          <w:b/>
          <w:sz w:val="22"/>
          <w:szCs w:val="22"/>
        </w:rPr>
        <w:t xml:space="preserve">bout </w:t>
      </w:r>
      <w:r w:rsidR="008427CD" w:rsidRPr="00FC306D">
        <w:rPr>
          <w:b/>
          <w:sz w:val="22"/>
          <w:szCs w:val="22"/>
        </w:rPr>
        <w:t>ambient air quality standards</w:t>
      </w:r>
      <w:r w:rsidR="000D0145" w:rsidRPr="00FC306D">
        <w:rPr>
          <w:b/>
          <w:sz w:val="22"/>
          <w:szCs w:val="22"/>
        </w:rPr>
        <w:t>?</w:t>
      </w:r>
    </w:p>
    <w:p w:rsidR="008427CD" w:rsidRPr="00FC306D" w:rsidRDefault="008427CD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>Ecology must find a project is in compliance with all ambient air quality standards and acceptable source impact levels before issuing a final air permit approving the project.</w:t>
      </w:r>
    </w:p>
    <w:p w:rsidR="000D0145" w:rsidRPr="00FC306D" w:rsidRDefault="000D0145" w:rsidP="0015277B">
      <w:pPr>
        <w:spacing w:before="120"/>
        <w:ind w:left="360"/>
        <w:rPr>
          <w:b/>
          <w:sz w:val="22"/>
          <w:szCs w:val="22"/>
        </w:rPr>
      </w:pPr>
      <w:r w:rsidRPr="00FC306D">
        <w:rPr>
          <w:b/>
          <w:sz w:val="22"/>
          <w:szCs w:val="22"/>
        </w:rPr>
        <w:t xml:space="preserve">What are </w:t>
      </w:r>
      <w:r w:rsidR="008427CD" w:rsidRPr="00FC306D">
        <w:rPr>
          <w:b/>
          <w:sz w:val="22"/>
          <w:szCs w:val="22"/>
        </w:rPr>
        <w:t>a</w:t>
      </w:r>
      <w:r w:rsidRPr="00FC306D">
        <w:rPr>
          <w:b/>
          <w:sz w:val="22"/>
          <w:szCs w:val="22"/>
        </w:rPr>
        <w:t xml:space="preserve">mbient </w:t>
      </w:r>
      <w:r w:rsidR="008427CD" w:rsidRPr="00FC306D">
        <w:rPr>
          <w:b/>
          <w:sz w:val="22"/>
          <w:szCs w:val="22"/>
        </w:rPr>
        <w:t>a</w:t>
      </w:r>
      <w:r w:rsidRPr="00FC306D">
        <w:rPr>
          <w:b/>
          <w:sz w:val="22"/>
          <w:szCs w:val="22"/>
        </w:rPr>
        <w:t xml:space="preserve">ir </w:t>
      </w:r>
      <w:r w:rsidR="008427CD" w:rsidRPr="00FC306D">
        <w:rPr>
          <w:b/>
          <w:sz w:val="22"/>
          <w:szCs w:val="22"/>
        </w:rPr>
        <w:t>q</w:t>
      </w:r>
      <w:r w:rsidRPr="00FC306D">
        <w:rPr>
          <w:b/>
          <w:sz w:val="22"/>
          <w:szCs w:val="22"/>
        </w:rPr>
        <w:t xml:space="preserve">uality </w:t>
      </w:r>
      <w:r w:rsidR="008427CD" w:rsidRPr="00FC306D">
        <w:rPr>
          <w:b/>
          <w:sz w:val="22"/>
          <w:szCs w:val="22"/>
        </w:rPr>
        <w:t>s</w:t>
      </w:r>
      <w:r w:rsidRPr="00FC306D">
        <w:rPr>
          <w:b/>
          <w:sz w:val="22"/>
          <w:szCs w:val="22"/>
        </w:rPr>
        <w:t>tandards?</w:t>
      </w:r>
    </w:p>
    <w:p w:rsidR="00DD6C3C" w:rsidRPr="00FC306D" w:rsidRDefault="000D0145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 xml:space="preserve">EPA sets </w:t>
      </w:r>
      <w:r w:rsidR="009D33A7" w:rsidRPr="00FC306D">
        <w:rPr>
          <w:sz w:val="22"/>
          <w:szCs w:val="22"/>
        </w:rPr>
        <w:t>National Ambient Air Quality Standards (</w:t>
      </w:r>
      <w:r w:rsidRPr="00FC306D">
        <w:rPr>
          <w:sz w:val="22"/>
          <w:szCs w:val="22"/>
        </w:rPr>
        <w:t>NAAQS</w:t>
      </w:r>
      <w:r w:rsidR="009D33A7" w:rsidRPr="00FC306D">
        <w:rPr>
          <w:sz w:val="22"/>
          <w:szCs w:val="22"/>
        </w:rPr>
        <w:t>)</w:t>
      </w:r>
      <w:r w:rsidRPr="00FC306D">
        <w:rPr>
          <w:sz w:val="22"/>
          <w:szCs w:val="22"/>
        </w:rPr>
        <w:t xml:space="preserve"> for pollutants considered harmful to public health and the environment.  </w:t>
      </w:r>
      <w:r w:rsidR="009D33A7" w:rsidRPr="00FC306D">
        <w:rPr>
          <w:sz w:val="22"/>
          <w:szCs w:val="22"/>
        </w:rPr>
        <w:t>NAAQS</w:t>
      </w:r>
      <w:r w:rsidRPr="00FC306D">
        <w:rPr>
          <w:sz w:val="22"/>
          <w:szCs w:val="22"/>
        </w:rPr>
        <w:t xml:space="preserve"> </w:t>
      </w:r>
      <w:r w:rsidR="009D33A7" w:rsidRPr="00FC306D">
        <w:rPr>
          <w:sz w:val="22"/>
          <w:szCs w:val="22"/>
        </w:rPr>
        <w:t>are</w:t>
      </w:r>
      <w:r w:rsidRPr="00FC306D">
        <w:rPr>
          <w:sz w:val="22"/>
          <w:szCs w:val="22"/>
        </w:rPr>
        <w:t xml:space="preserve"> established for six pollutants:  </w:t>
      </w:r>
    </w:p>
    <w:p w:rsidR="00CB635C" w:rsidRPr="00FC306D" w:rsidRDefault="000D0145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carbon monoxide, </w:t>
      </w:r>
    </w:p>
    <w:p w:rsidR="00CB635C" w:rsidRPr="00FC306D" w:rsidRDefault="000D0145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lead, </w:t>
      </w:r>
    </w:p>
    <w:p w:rsidR="00CB635C" w:rsidRPr="00FC306D" w:rsidRDefault="000D0145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nitrogen dioxide, </w:t>
      </w:r>
    </w:p>
    <w:p w:rsidR="00CB635C" w:rsidRPr="00FC306D" w:rsidRDefault="000D0145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sulfur dioxide, </w:t>
      </w:r>
    </w:p>
    <w:p w:rsidR="00CB635C" w:rsidRPr="00FC306D" w:rsidRDefault="000D0145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>oz</w:t>
      </w:r>
      <w:r w:rsidR="009D33A7" w:rsidRPr="00FC306D">
        <w:rPr>
          <w:sz w:val="22"/>
          <w:szCs w:val="22"/>
        </w:rPr>
        <w:t xml:space="preserve">one, and </w:t>
      </w:r>
    </w:p>
    <w:p w:rsidR="00CB635C" w:rsidRPr="00FC306D" w:rsidRDefault="009D33A7" w:rsidP="0015277B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proofErr w:type="gramStart"/>
      <w:r w:rsidRPr="00FC306D">
        <w:rPr>
          <w:sz w:val="22"/>
          <w:szCs w:val="22"/>
        </w:rPr>
        <w:t>particulate</w:t>
      </w:r>
      <w:proofErr w:type="gramEnd"/>
      <w:r w:rsidRPr="00FC306D">
        <w:rPr>
          <w:sz w:val="22"/>
          <w:szCs w:val="22"/>
        </w:rPr>
        <w:t xml:space="preserve"> matter.  </w:t>
      </w:r>
    </w:p>
    <w:p w:rsidR="00DD6C3C" w:rsidRPr="00FC306D" w:rsidRDefault="00DD6C3C" w:rsidP="0015277B">
      <w:pPr>
        <w:ind w:left="360"/>
        <w:rPr>
          <w:sz w:val="22"/>
          <w:szCs w:val="22"/>
        </w:rPr>
      </w:pPr>
    </w:p>
    <w:p w:rsidR="000D0145" w:rsidRPr="00FC306D" w:rsidRDefault="009D33A7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 xml:space="preserve">Washington State </w:t>
      </w:r>
      <w:r w:rsidR="00DD6C3C" w:rsidRPr="00FC306D">
        <w:rPr>
          <w:sz w:val="22"/>
          <w:szCs w:val="22"/>
        </w:rPr>
        <w:t xml:space="preserve">also </w:t>
      </w:r>
      <w:r w:rsidRPr="00FC306D">
        <w:rPr>
          <w:sz w:val="22"/>
          <w:szCs w:val="22"/>
        </w:rPr>
        <w:t>maintains Washington Ambient Air Quality Standards</w:t>
      </w:r>
      <w:r w:rsidR="00A417B7" w:rsidRPr="00FC306D">
        <w:rPr>
          <w:sz w:val="22"/>
          <w:szCs w:val="22"/>
        </w:rPr>
        <w:t xml:space="preserve"> (WAAQS)</w:t>
      </w:r>
      <w:r w:rsidRPr="00FC306D">
        <w:rPr>
          <w:sz w:val="22"/>
          <w:szCs w:val="22"/>
        </w:rPr>
        <w:t xml:space="preserve"> for </w:t>
      </w:r>
      <w:r w:rsidR="00A417B7" w:rsidRPr="00FC306D">
        <w:rPr>
          <w:sz w:val="22"/>
          <w:szCs w:val="22"/>
        </w:rPr>
        <w:t>five pollutants (see reverse</w:t>
      </w:r>
      <w:r w:rsidR="00DD6C3C" w:rsidRPr="00FC306D">
        <w:rPr>
          <w:sz w:val="22"/>
          <w:szCs w:val="22"/>
        </w:rPr>
        <w:t xml:space="preserve"> side of this page</w:t>
      </w:r>
      <w:r w:rsidR="00A417B7" w:rsidRPr="00FC306D">
        <w:rPr>
          <w:sz w:val="22"/>
          <w:szCs w:val="22"/>
        </w:rPr>
        <w:t>)</w:t>
      </w:r>
      <w:r w:rsidR="00DD6C3C" w:rsidRPr="00FC306D">
        <w:rPr>
          <w:sz w:val="22"/>
          <w:szCs w:val="22"/>
        </w:rPr>
        <w:t xml:space="preserve"> and</w:t>
      </w:r>
      <w:r w:rsidR="00A417B7" w:rsidRPr="00FC306D">
        <w:rPr>
          <w:sz w:val="22"/>
          <w:szCs w:val="22"/>
        </w:rPr>
        <w:t xml:space="preserve"> Acceptable Source Impact Levels for</w:t>
      </w:r>
      <w:r w:rsidR="00BE073F" w:rsidRPr="00FC306D">
        <w:rPr>
          <w:sz w:val="22"/>
          <w:szCs w:val="22"/>
        </w:rPr>
        <w:t xml:space="preserve"> 395 Toxic Air Pollutants, as listed in </w:t>
      </w:r>
      <w:hyperlink r:id="rId11" w:history="1">
        <w:r w:rsidR="00BE073F" w:rsidRPr="00FC306D">
          <w:rPr>
            <w:rStyle w:val="Hyperlink"/>
            <w:sz w:val="22"/>
            <w:szCs w:val="22"/>
          </w:rPr>
          <w:t>Washington Administrative Code 173-460-150</w:t>
        </w:r>
      </w:hyperlink>
      <w:r w:rsidR="001C7B88" w:rsidRPr="00FC306D">
        <w:rPr>
          <w:rStyle w:val="FootnoteReference"/>
          <w:sz w:val="22"/>
          <w:szCs w:val="22"/>
        </w:rPr>
        <w:footnoteReference w:id="1"/>
      </w:r>
      <w:r w:rsidR="00BE073F" w:rsidRPr="00FC306D">
        <w:rPr>
          <w:sz w:val="22"/>
          <w:szCs w:val="22"/>
        </w:rPr>
        <w:t>.</w:t>
      </w:r>
    </w:p>
    <w:p w:rsidR="000D0145" w:rsidRPr="00FC306D" w:rsidRDefault="008D0B18" w:rsidP="0015277B">
      <w:pPr>
        <w:spacing w:before="120"/>
        <w:ind w:left="360"/>
        <w:rPr>
          <w:b/>
          <w:sz w:val="22"/>
          <w:szCs w:val="22"/>
        </w:rPr>
      </w:pPr>
      <w:r w:rsidRPr="00FC306D">
        <w:rPr>
          <w:b/>
          <w:sz w:val="22"/>
          <w:szCs w:val="22"/>
        </w:rPr>
        <w:t xml:space="preserve">How do I </w:t>
      </w:r>
      <w:r w:rsidR="00DD6C3C" w:rsidRPr="00FC306D">
        <w:rPr>
          <w:b/>
          <w:sz w:val="22"/>
          <w:szCs w:val="22"/>
        </w:rPr>
        <w:t>d</w:t>
      </w:r>
      <w:r w:rsidRPr="00FC306D">
        <w:rPr>
          <w:b/>
          <w:sz w:val="22"/>
          <w:szCs w:val="22"/>
        </w:rPr>
        <w:t xml:space="preserve">etermine </w:t>
      </w:r>
      <w:r w:rsidR="00DD6C3C" w:rsidRPr="00FC306D">
        <w:rPr>
          <w:b/>
          <w:sz w:val="22"/>
          <w:szCs w:val="22"/>
        </w:rPr>
        <w:t>m</w:t>
      </w:r>
      <w:r w:rsidRPr="00FC306D">
        <w:rPr>
          <w:b/>
          <w:sz w:val="22"/>
          <w:szCs w:val="22"/>
        </w:rPr>
        <w:t>y</w:t>
      </w:r>
      <w:r w:rsidR="000D0145" w:rsidRPr="00FC306D">
        <w:rPr>
          <w:b/>
          <w:sz w:val="22"/>
          <w:szCs w:val="22"/>
        </w:rPr>
        <w:t xml:space="preserve"> </w:t>
      </w:r>
      <w:r w:rsidR="00DD6C3C" w:rsidRPr="00FC306D">
        <w:rPr>
          <w:b/>
          <w:sz w:val="22"/>
          <w:szCs w:val="22"/>
        </w:rPr>
        <w:t>p</w:t>
      </w:r>
      <w:r w:rsidR="000D0145" w:rsidRPr="00FC306D">
        <w:rPr>
          <w:b/>
          <w:sz w:val="22"/>
          <w:szCs w:val="22"/>
        </w:rPr>
        <w:t xml:space="preserve">roject’s </w:t>
      </w:r>
      <w:r w:rsidR="00DD6C3C" w:rsidRPr="00FC306D">
        <w:rPr>
          <w:b/>
          <w:sz w:val="22"/>
          <w:szCs w:val="22"/>
        </w:rPr>
        <w:t>a</w:t>
      </w:r>
      <w:r w:rsidR="000D0145" w:rsidRPr="00FC306D">
        <w:rPr>
          <w:b/>
          <w:sz w:val="22"/>
          <w:szCs w:val="22"/>
        </w:rPr>
        <w:t xml:space="preserve">mbient </w:t>
      </w:r>
      <w:r w:rsidR="00DD6C3C" w:rsidRPr="00FC306D">
        <w:rPr>
          <w:b/>
          <w:sz w:val="22"/>
          <w:szCs w:val="22"/>
        </w:rPr>
        <w:t>a</w:t>
      </w:r>
      <w:r w:rsidR="000D0145" w:rsidRPr="00FC306D">
        <w:rPr>
          <w:b/>
          <w:sz w:val="22"/>
          <w:szCs w:val="22"/>
        </w:rPr>
        <w:t xml:space="preserve">ir </w:t>
      </w:r>
      <w:r w:rsidR="00DD6C3C" w:rsidRPr="00FC306D">
        <w:rPr>
          <w:b/>
          <w:sz w:val="22"/>
          <w:szCs w:val="22"/>
        </w:rPr>
        <w:t>q</w:t>
      </w:r>
      <w:r w:rsidR="000D0145" w:rsidRPr="00FC306D">
        <w:rPr>
          <w:b/>
          <w:sz w:val="22"/>
          <w:szCs w:val="22"/>
        </w:rPr>
        <w:t xml:space="preserve">uality </w:t>
      </w:r>
      <w:r w:rsidR="00DD6C3C" w:rsidRPr="00FC306D">
        <w:rPr>
          <w:b/>
          <w:sz w:val="22"/>
          <w:szCs w:val="22"/>
        </w:rPr>
        <w:t>i</w:t>
      </w:r>
      <w:r w:rsidR="000D0145" w:rsidRPr="00FC306D">
        <w:rPr>
          <w:b/>
          <w:sz w:val="22"/>
          <w:szCs w:val="22"/>
        </w:rPr>
        <w:t>mpacts</w:t>
      </w:r>
      <w:r w:rsidRPr="00FC306D">
        <w:rPr>
          <w:b/>
          <w:sz w:val="22"/>
          <w:szCs w:val="22"/>
        </w:rPr>
        <w:t>?</w:t>
      </w:r>
    </w:p>
    <w:p w:rsidR="000D0145" w:rsidRPr="00FC306D" w:rsidRDefault="00DD6C3C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>Take these steps to d</w:t>
      </w:r>
      <w:r w:rsidR="000D0145" w:rsidRPr="00FC306D">
        <w:rPr>
          <w:sz w:val="22"/>
          <w:szCs w:val="22"/>
        </w:rPr>
        <w:t>etermin</w:t>
      </w:r>
      <w:r w:rsidRPr="00FC306D">
        <w:rPr>
          <w:sz w:val="22"/>
          <w:szCs w:val="22"/>
        </w:rPr>
        <w:t>e</w:t>
      </w:r>
      <w:r w:rsidR="000D0145" w:rsidRPr="00FC306D">
        <w:rPr>
          <w:sz w:val="22"/>
          <w:szCs w:val="22"/>
        </w:rPr>
        <w:t xml:space="preserve"> your project’s ambient air quality impacts</w:t>
      </w:r>
      <w:proofErr w:type="gramStart"/>
      <w:r w:rsidRPr="00FC306D">
        <w:rPr>
          <w:sz w:val="22"/>
          <w:szCs w:val="22"/>
        </w:rPr>
        <w:t>:</w:t>
      </w:r>
      <w:r w:rsidR="000D0145" w:rsidRPr="00FC306D">
        <w:rPr>
          <w:sz w:val="22"/>
          <w:szCs w:val="22"/>
        </w:rPr>
        <w:t>:</w:t>
      </w:r>
      <w:proofErr w:type="gramEnd"/>
      <w:r w:rsidR="000D0145" w:rsidRPr="00FC306D">
        <w:rPr>
          <w:sz w:val="22"/>
          <w:szCs w:val="22"/>
        </w:rPr>
        <w:t xml:space="preserve">  </w:t>
      </w:r>
    </w:p>
    <w:p w:rsidR="000D0145" w:rsidRPr="00FC306D" w:rsidRDefault="000D0145" w:rsidP="00955A0A">
      <w:pPr>
        <w:pStyle w:val="ListParagraph"/>
        <w:numPr>
          <w:ilvl w:val="0"/>
          <w:numId w:val="19"/>
        </w:numPr>
        <w:spacing w:line="276" w:lineRule="auto"/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Identify the air pollutants released from each emission unit. </w:t>
      </w:r>
    </w:p>
    <w:p w:rsidR="000D0145" w:rsidRPr="00FC306D" w:rsidRDefault="000D0145" w:rsidP="00955A0A">
      <w:pPr>
        <w:pStyle w:val="ListParagraph"/>
        <w:numPr>
          <w:ilvl w:val="0"/>
          <w:numId w:val="19"/>
        </w:numPr>
        <w:spacing w:line="276" w:lineRule="auto"/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Calculate the </w:t>
      </w:r>
      <w:r w:rsidR="00BE073F" w:rsidRPr="00FC306D">
        <w:rPr>
          <w:sz w:val="22"/>
          <w:szCs w:val="22"/>
        </w:rPr>
        <w:t>potential emissions</w:t>
      </w:r>
      <w:r w:rsidRPr="00FC306D">
        <w:rPr>
          <w:sz w:val="22"/>
          <w:szCs w:val="22"/>
        </w:rPr>
        <w:t xml:space="preserve"> from each emissions unit.   </w:t>
      </w:r>
    </w:p>
    <w:p w:rsidR="00BE073F" w:rsidRPr="00FC306D" w:rsidRDefault="00BE073F" w:rsidP="00955A0A">
      <w:pPr>
        <w:pStyle w:val="ListParagraph"/>
        <w:numPr>
          <w:ilvl w:val="0"/>
          <w:numId w:val="19"/>
        </w:numPr>
        <w:spacing w:line="276" w:lineRule="auto"/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If the potential emissions are below the pollutant’s respective de </w:t>
      </w:r>
      <w:proofErr w:type="spellStart"/>
      <w:r w:rsidRPr="00FC306D">
        <w:rPr>
          <w:sz w:val="22"/>
          <w:szCs w:val="22"/>
        </w:rPr>
        <w:t>minimis</w:t>
      </w:r>
      <w:proofErr w:type="spellEnd"/>
      <w:r w:rsidRPr="00FC306D">
        <w:rPr>
          <w:sz w:val="22"/>
          <w:szCs w:val="22"/>
        </w:rPr>
        <w:t xml:space="preserve"> value and/or Small Quantity Emission Rate (SQER), no additional impacts </w:t>
      </w:r>
      <w:proofErr w:type="gramStart"/>
      <w:r w:rsidRPr="00FC306D">
        <w:rPr>
          <w:sz w:val="22"/>
          <w:szCs w:val="22"/>
        </w:rPr>
        <w:t xml:space="preserve">analyses </w:t>
      </w:r>
      <w:r w:rsidR="00DD6C3C" w:rsidRPr="00FC306D">
        <w:rPr>
          <w:sz w:val="22"/>
          <w:szCs w:val="22"/>
        </w:rPr>
        <w:t>is</w:t>
      </w:r>
      <w:proofErr w:type="gramEnd"/>
      <w:r w:rsidR="00DD6C3C" w:rsidRPr="00FC306D">
        <w:rPr>
          <w:sz w:val="22"/>
          <w:szCs w:val="22"/>
        </w:rPr>
        <w:t xml:space="preserve"> needed </w:t>
      </w:r>
      <w:r w:rsidRPr="00FC306D">
        <w:rPr>
          <w:sz w:val="22"/>
          <w:szCs w:val="22"/>
        </w:rPr>
        <w:t>for that pollutant.</w:t>
      </w:r>
    </w:p>
    <w:p w:rsidR="00F91784" w:rsidRPr="00FC306D" w:rsidRDefault="00BE073F" w:rsidP="00955A0A">
      <w:pPr>
        <w:pStyle w:val="ListParagraph"/>
        <w:numPr>
          <w:ilvl w:val="0"/>
          <w:numId w:val="19"/>
        </w:numPr>
        <w:spacing w:line="276" w:lineRule="auto"/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If the potential emissions are equal </w:t>
      </w:r>
      <w:r w:rsidR="00DD6C3C" w:rsidRPr="00FC306D">
        <w:rPr>
          <w:sz w:val="22"/>
          <w:szCs w:val="22"/>
        </w:rPr>
        <w:t xml:space="preserve">to </w:t>
      </w:r>
      <w:r w:rsidRPr="00FC306D">
        <w:rPr>
          <w:sz w:val="22"/>
          <w:szCs w:val="22"/>
        </w:rPr>
        <w:t xml:space="preserve">or greater than the pollutant’s respective de </w:t>
      </w:r>
      <w:proofErr w:type="spellStart"/>
      <w:r w:rsidRPr="00FC306D">
        <w:rPr>
          <w:sz w:val="22"/>
          <w:szCs w:val="22"/>
        </w:rPr>
        <w:t>minimis</w:t>
      </w:r>
      <w:proofErr w:type="spellEnd"/>
      <w:r w:rsidRPr="00FC306D">
        <w:rPr>
          <w:sz w:val="22"/>
          <w:szCs w:val="22"/>
        </w:rPr>
        <w:t xml:space="preserve"> value and/or SQER, you must</w:t>
      </w:r>
      <w:r w:rsidR="00F91784" w:rsidRPr="00FC306D">
        <w:rPr>
          <w:sz w:val="22"/>
          <w:szCs w:val="22"/>
        </w:rPr>
        <w:t>:</w:t>
      </w:r>
    </w:p>
    <w:p w:rsidR="00CB635C" w:rsidRPr="00FC306D" w:rsidRDefault="00BE073F" w:rsidP="00955A0A">
      <w:pPr>
        <w:pStyle w:val="ListParagraph"/>
        <w:numPr>
          <w:ilvl w:val="1"/>
          <w:numId w:val="19"/>
        </w:numPr>
        <w:spacing w:line="276" w:lineRule="auto"/>
        <w:ind w:left="1620"/>
        <w:rPr>
          <w:sz w:val="22"/>
          <w:szCs w:val="22"/>
        </w:rPr>
      </w:pPr>
      <w:r w:rsidRPr="00FC306D">
        <w:rPr>
          <w:sz w:val="22"/>
          <w:szCs w:val="22"/>
        </w:rPr>
        <w:t>model the impacts of emissions for the</w:t>
      </w:r>
      <w:r w:rsidR="000D0145" w:rsidRPr="00FC306D">
        <w:rPr>
          <w:sz w:val="22"/>
          <w:szCs w:val="22"/>
        </w:rPr>
        <w:t xml:space="preserve"> pollutant and </w:t>
      </w:r>
    </w:p>
    <w:p w:rsidR="00CB635C" w:rsidRPr="00FC306D" w:rsidRDefault="000D0145" w:rsidP="00955A0A">
      <w:pPr>
        <w:pStyle w:val="ListParagraph"/>
        <w:numPr>
          <w:ilvl w:val="1"/>
          <w:numId w:val="19"/>
        </w:numPr>
        <w:spacing w:line="276" w:lineRule="auto"/>
        <w:ind w:left="1620"/>
        <w:rPr>
          <w:sz w:val="22"/>
          <w:szCs w:val="22"/>
        </w:rPr>
      </w:pPr>
      <w:proofErr w:type="gramStart"/>
      <w:r w:rsidRPr="00FC306D">
        <w:rPr>
          <w:sz w:val="22"/>
          <w:szCs w:val="22"/>
        </w:rPr>
        <w:t>compare</w:t>
      </w:r>
      <w:proofErr w:type="gramEnd"/>
      <w:r w:rsidRPr="00FC306D">
        <w:rPr>
          <w:sz w:val="22"/>
          <w:szCs w:val="22"/>
        </w:rPr>
        <w:t xml:space="preserve"> </w:t>
      </w:r>
      <w:r w:rsidR="00F91784" w:rsidRPr="00FC306D">
        <w:rPr>
          <w:sz w:val="22"/>
          <w:szCs w:val="22"/>
        </w:rPr>
        <w:t xml:space="preserve">the impacts </w:t>
      </w:r>
      <w:r w:rsidRPr="00FC306D">
        <w:rPr>
          <w:sz w:val="22"/>
          <w:szCs w:val="22"/>
        </w:rPr>
        <w:t xml:space="preserve">to the </w:t>
      </w:r>
      <w:r w:rsidR="00BE073F" w:rsidRPr="00FC306D">
        <w:rPr>
          <w:sz w:val="22"/>
          <w:szCs w:val="22"/>
        </w:rPr>
        <w:t xml:space="preserve"> respective AAQS and/or Acceptable Source Impact Level</w:t>
      </w:r>
      <w:r w:rsidRPr="00FC306D">
        <w:rPr>
          <w:sz w:val="22"/>
          <w:szCs w:val="22"/>
        </w:rPr>
        <w:t xml:space="preserve">. </w:t>
      </w:r>
    </w:p>
    <w:p w:rsidR="00CB635C" w:rsidRPr="00FC306D" w:rsidRDefault="00CB635C" w:rsidP="0015277B">
      <w:pPr>
        <w:ind w:left="360"/>
        <w:rPr>
          <w:sz w:val="22"/>
          <w:szCs w:val="22"/>
        </w:rPr>
      </w:pPr>
    </w:p>
    <w:p w:rsidR="00CB635C" w:rsidRPr="00FC306D" w:rsidRDefault="00F91784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>A</w:t>
      </w:r>
      <w:r w:rsidR="00BE073F" w:rsidRPr="00FC306D">
        <w:rPr>
          <w:sz w:val="22"/>
          <w:szCs w:val="22"/>
        </w:rPr>
        <w:t>pplicants</w:t>
      </w:r>
      <w:r w:rsidRPr="00FC306D">
        <w:rPr>
          <w:sz w:val="22"/>
          <w:szCs w:val="22"/>
        </w:rPr>
        <w:t xml:space="preserve"> commonly</w:t>
      </w:r>
      <w:r w:rsidR="00BE073F" w:rsidRPr="00FC306D">
        <w:rPr>
          <w:sz w:val="22"/>
          <w:szCs w:val="22"/>
        </w:rPr>
        <w:t xml:space="preserve"> hire a consultant to perform any necessary computer modeling</w:t>
      </w:r>
      <w:r w:rsidR="000D0145" w:rsidRPr="00FC306D">
        <w:rPr>
          <w:sz w:val="22"/>
          <w:szCs w:val="22"/>
        </w:rPr>
        <w:t>.</w:t>
      </w:r>
    </w:p>
    <w:p w:rsidR="000D0145" w:rsidRPr="00FC306D" w:rsidRDefault="000D0145" w:rsidP="0015277B">
      <w:pPr>
        <w:spacing w:before="120"/>
        <w:ind w:left="360"/>
        <w:rPr>
          <w:b/>
          <w:sz w:val="22"/>
          <w:szCs w:val="22"/>
        </w:rPr>
      </w:pPr>
      <w:r w:rsidRPr="00FC306D">
        <w:rPr>
          <w:b/>
          <w:sz w:val="22"/>
          <w:szCs w:val="22"/>
        </w:rPr>
        <w:t xml:space="preserve">What </w:t>
      </w:r>
      <w:r w:rsidR="00F91784" w:rsidRPr="00FC306D">
        <w:rPr>
          <w:b/>
          <w:sz w:val="22"/>
          <w:szCs w:val="22"/>
        </w:rPr>
        <w:t>m</w:t>
      </w:r>
      <w:r w:rsidR="008D0B18" w:rsidRPr="00FC306D">
        <w:rPr>
          <w:b/>
          <w:sz w:val="22"/>
          <w:szCs w:val="22"/>
        </w:rPr>
        <w:t xml:space="preserve">odels are </w:t>
      </w:r>
      <w:r w:rsidR="00F91784" w:rsidRPr="00FC306D">
        <w:rPr>
          <w:b/>
          <w:sz w:val="22"/>
          <w:szCs w:val="22"/>
        </w:rPr>
        <w:t>u</w:t>
      </w:r>
      <w:r w:rsidR="008D0B18" w:rsidRPr="00FC306D">
        <w:rPr>
          <w:b/>
          <w:sz w:val="22"/>
          <w:szCs w:val="22"/>
        </w:rPr>
        <w:t>sed</w:t>
      </w:r>
      <w:r w:rsidRPr="00FC306D">
        <w:rPr>
          <w:b/>
          <w:sz w:val="22"/>
          <w:szCs w:val="22"/>
        </w:rPr>
        <w:t>?</w:t>
      </w:r>
    </w:p>
    <w:p w:rsidR="000D0145" w:rsidRPr="00FC306D" w:rsidRDefault="000D0145" w:rsidP="0015277B">
      <w:pPr>
        <w:ind w:left="360"/>
        <w:rPr>
          <w:sz w:val="22"/>
          <w:szCs w:val="22"/>
        </w:rPr>
      </w:pPr>
      <w:r w:rsidRPr="00FC306D">
        <w:rPr>
          <w:sz w:val="22"/>
          <w:szCs w:val="22"/>
        </w:rPr>
        <w:t>Advanced air dispersion modeling (</w:t>
      </w:r>
      <w:hyperlink r:id="rId12" w:history="1">
        <w:r w:rsidRPr="00FC306D">
          <w:rPr>
            <w:rStyle w:val="Hyperlink"/>
            <w:sz w:val="22"/>
            <w:szCs w:val="22"/>
          </w:rPr>
          <w:t>AERMOD</w:t>
        </w:r>
      </w:hyperlink>
      <w:r w:rsidR="001C7B88" w:rsidRPr="00FC306D">
        <w:rPr>
          <w:rStyle w:val="FootnoteReference"/>
          <w:sz w:val="22"/>
          <w:szCs w:val="22"/>
        </w:rPr>
        <w:footnoteReference w:id="2"/>
      </w:r>
      <w:r w:rsidRPr="00FC306D">
        <w:rPr>
          <w:sz w:val="22"/>
          <w:szCs w:val="22"/>
        </w:rPr>
        <w:t>), or its</w:t>
      </w:r>
      <w:r w:rsidR="001127C8" w:rsidRPr="00FC306D">
        <w:rPr>
          <w:sz w:val="22"/>
          <w:szCs w:val="22"/>
        </w:rPr>
        <w:t xml:space="preserve"> simpler</w:t>
      </w:r>
      <w:r w:rsidRPr="00FC306D">
        <w:rPr>
          <w:sz w:val="22"/>
          <w:szCs w:val="22"/>
        </w:rPr>
        <w:t xml:space="preserve"> screening </w:t>
      </w:r>
      <w:r w:rsidR="001127C8" w:rsidRPr="00FC306D">
        <w:rPr>
          <w:sz w:val="22"/>
          <w:szCs w:val="22"/>
        </w:rPr>
        <w:t>version</w:t>
      </w:r>
      <w:r w:rsidRPr="00FC306D">
        <w:rPr>
          <w:sz w:val="22"/>
          <w:szCs w:val="22"/>
        </w:rPr>
        <w:t xml:space="preserve"> (</w:t>
      </w:r>
      <w:hyperlink r:id="rId13" w:history="1">
        <w:r w:rsidRPr="00FC306D">
          <w:rPr>
            <w:rStyle w:val="Hyperlink"/>
            <w:sz w:val="22"/>
            <w:szCs w:val="22"/>
          </w:rPr>
          <w:t>AERSCREEN</w:t>
        </w:r>
      </w:hyperlink>
      <w:r w:rsidR="001C7B88" w:rsidRPr="00FC306D">
        <w:rPr>
          <w:rStyle w:val="FootnoteReference"/>
          <w:sz w:val="22"/>
          <w:szCs w:val="22"/>
        </w:rPr>
        <w:footnoteReference w:id="3"/>
      </w:r>
      <w:r w:rsidRPr="00FC306D">
        <w:rPr>
          <w:sz w:val="22"/>
          <w:szCs w:val="22"/>
        </w:rPr>
        <w:t>), are approved EPA models that are routinely used to make this demonstration.</w:t>
      </w:r>
    </w:p>
    <w:p w:rsidR="000D0145" w:rsidRPr="00FC306D" w:rsidRDefault="000D0145" w:rsidP="0015277B">
      <w:pPr>
        <w:spacing w:before="120"/>
        <w:ind w:left="360"/>
        <w:rPr>
          <w:b/>
          <w:sz w:val="22"/>
          <w:szCs w:val="22"/>
        </w:rPr>
      </w:pPr>
      <w:r w:rsidRPr="00FC306D">
        <w:rPr>
          <w:b/>
          <w:sz w:val="22"/>
          <w:szCs w:val="22"/>
        </w:rPr>
        <w:t>Resources</w:t>
      </w:r>
    </w:p>
    <w:p w:rsidR="000D0145" w:rsidRPr="00FC306D" w:rsidRDefault="000D0145" w:rsidP="00955A0A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 xml:space="preserve">EPA’s </w:t>
      </w:r>
      <w:hyperlink r:id="rId14" w:history="1">
        <w:r w:rsidRPr="00955A0A">
          <w:t>NAAQS website</w:t>
        </w:r>
      </w:hyperlink>
      <w:r w:rsidR="00F91784" w:rsidRPr="00FC306D">
        <w:rPr>
          <w:sz w:val="22"/>
          <w:szCs w:val="22"/>
        </w:rPr>
        <w:t>,</w:t>
      </w:r>
      <w:r w:rsidR="009721F7" w:rsidRPr="00955A0A">
        <w:footnoteReference w:id="4"/>
      </w:r>
      <w:r w:rsidRPr="00FC306D">
        <w:rPr>
          <w:sz w:val="22"/>
          <w:szCs w:val="22"/>
        </w:rPr>
        <w:t xml:space="preserve"> which includes EPA Users Guide for the Screening Model</w:t>
      </w:r>
    </w:p>
    <w:p w:rsidR="000D0145" w:rsidRPr="00FC306D" w:rsidRDefault="001127C8" w:rsidP="00955A0A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FC306D">
        <w:rPr>
          <w:sz w:val="22"/>
          <w:szCs w:val="22"/>
        </w:rPr>
        <w:t>Washington State Department of Ecology Permitting Office Contact identified on page 1 of the application.</w:t>
      </w:r>
    </w:p>
    <w:tbl>
      <w:tblPr>
        <w:tblW w:w="109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0"/>
      </w:tblGrid>
      <w:tr w:rsidR="000D0145" w:rsidRPr="000D0145" w:rsidTr="00753B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145" w:rsidRPr="000D0145" w:rsidRDefault="000D0145" w:rsidP="00753BEF">
            <w:pPr>
              <w:rPr>
                <w:color w:val="000000"/>
              </w:rPr>
            </w:pPr>
          </w:p>
        </w:tc>
      </w:tr>
      <w:tr w:rsidR="000D0145" w:rsidRPr="000D0145" w:rsidTr="00753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145" w:rsidRPr="000D0145" w:rsidRDefault="000D0145" w:rsidP="00A417B7">
            <w:pPr>
              <w:pStyle w:val="caption1"/>
              <w:rPr>
                <w:color w:val="000000"/>
                <w:sz w:val="24"/>
                <w:szCs w:val="24"/>
              </w:rPr>
            </w:pPr>
          </w:p>
        </w:tc>
      </w:tr>
    </w:tbl>
    <w:p w:rsidR="00955A0A" w:rsidRDefault="00955A0A" w:rsidP="00600EFC">
      <w:pPr>
        <w:spacing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lastRenderedPageBreak/>
        <w:br/>
      </w:r>
      <w:r w:rsidR="00A417B7" w:rsidRPr="0015277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National Ambient Air Quality Standards (NAAQS</w:t>
      </w:r>
      <w:proofErr w:type="gramStart"/>
      <w:r w:rsidR="00A417B7" w:rsidRPr="0015277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)</w:t>
      </w:r>
      <w:proofErr w:type="gramEnd"/>
      <w:r w:rsidR="00B200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br/>
      </w:r>
      <w:r w:rsidR="00A417B7" w:rsidRPr="0015277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Washington Ambient Air Quality Standards (WAAQS)</w:t>
      </w:r>
    </w:p>
    <w:p w:rsidR="00955A0A" w:rsidRDefault="00955A0A" w:rsidP="00955A0A">
      <w:pPr>
        <w:spacing w:before="120"/>
        <w:ind w:left="8640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Last updated: 11/28/12</w:t>
      </w:r>
    </w:p>
    <w:tbl>
      <w:tblPr>
        <w:tblW w:w="10642" w:type="dxa"/>
        <w:jc w:val="center"/>
        <w:tblCellSpacing w:w="0" w:type="dxa"/>
        <w:tblInd w:w="-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2070"/>
        <w:gridCol w:w="2060"/>
        <w:gridCol w:w="2081"/>
        <w:gridCol w:w="2539"/>
      </w:tblGrid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tcBorders>
              <w:top w:val="nil"/>
              <w:left w:val="nil"/>
            </w:tcBorders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gridSpan w:val="2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NAAQS Standards</w:t>
            </w:r>
          </w:p>
        </w:tc>
        <w:tc>
          <w:tcPr>
            <w:tcW w:w="2081" w:type="dxa"/>
            <w:tcBorders>
              <w:top w:val="nil"/>
            </w:tcBorders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WAAQS + Local</w:t>
            </w:r>
          </w:p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Air Standards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Pollutant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Primary 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Secondary 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Averaging Time</w:t>
            </w:r>
          </w:p>
        </w:tc>
        <w:tc>
          <w:tcPr>
            <w:tcW w:w="2539" w:type="dxa"/>
            <w:vMerge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Carbon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Monoxide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(10 mg/m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8-hour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35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(40 mg/m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1-hour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35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rHeight w:val="513"/>
          <w:tblCellSpacing w:w="0" w:type="dxa"/>
          <w:jc w:val="center"/>
        </w:trPr>
        <w:tc>
          <w:tcPr>
            <w:tcW w:w="1892" w:type="dxa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0.15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Rolling 3-Month Average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(2)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Nitrogen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Dioxide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0.053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(100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Annual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(Arithmetic Mean)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0.05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0.100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(189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ug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>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1-hour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(3)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rHeight w:val="330"/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Particulate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Matter (PM10)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Annual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50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417B7" w:rsidRPr="00EA1367" w:rsidTr="00955A0A">
        <w:trPr>
          <w:trHeight w:val="330"/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150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0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24-hour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(4)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150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Particulate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Matter (PM2.5)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15.0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Annual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(5)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(Arithmetic Mean)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35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24-hour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(6)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Total Suspended Particulate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Annual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60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24-hour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150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Ozone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0.075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Same as Primary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8-hour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(7)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1-hour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(8)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0.12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417B7" w:rsidRPr="00EA1367" w:rsidTr="00955A0A">
        <w:trPr>
          <w:tblCellSpacing w:w="0" w:type="dxa"/>
          <w:jc w:val="center"/>
        </w:trPr>
        <w:tc>
          <w:tcPr>
            <w:tcW w:w="1892" w:type="dxa"/>
            <w:vMerge w:val="restart"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Sulfur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Dioxide</w:t>
            </w: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Annual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(Arithmetic Mean)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0.02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rHeight w:val="195"/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24-hour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0.10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rHeight w:val="195"/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(1300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br/>
              <w:t>(1300 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3-hour 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</w:tr>
      <w:tr w:rsidR="00A417B7" w:rsidRPr="00EA1367" w:rsidTr="00955A0A">
        <w:trPr>
          <w:trHeight w:val="195"/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0.075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  <w:p w:rsidR="00A417B7" w:rsidRPr="00EA1367" w:rsidRDefault="00A417B7" w:rsidP="00A417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(µg/m</w:t>
            </w:r>
            <w:r w:rsidRPr="00EA136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A1367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1127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1-hour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</w:t>
            </w:r>
            <w:r w:rsidR="001127C8" w:rsidRPr="00EA1367">
              <w:rPr>
                <w:rFonts w:eastAsia="Times New Roman"/>
                <w:color w:val="000000"/>
                <w:sz w:val="22"/>
                <w:vertAlign w:val="superscript"/>
              </w:rPr>
              <w:t>9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0.40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  <w:tr w:rsidR="00A417B7" w:rsidRPr="00EA1367" w:rsidTr="00955A0A">
        <w:trPr>
          <w:trHeight w:val="195"/>
          <w:tblCellSpacing w:w="0" w:type="dxa"/>
          <w:jc w:val="center"/>
        </w:trPr>
        <w:tc>
          <w:tcPr>
            <w:tcW w:w="1892" w:type="dxa"/>
            <w:vMerge/>
            <w:vAlign w:val="center"/>
            <w:hideMark/>
          </w:tcPr>
          <w:p w:rsidR="00A417B7" w:rsidRPr="00EA1367" w:rsidRDefault="00A417B7" w:rsidP="00753BE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60" w:type="dxa"/>
            <w:vAlign w:val="center"/>
            <w:hideMark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No Standard</w:t>
            </w:r>
          </w:p>
        </w:tc>
        <w:tc>
          <w:tcPr>
            <w:tcW w:w="2081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>5-minute</w:t>
            </w:r>
            <w:r w:rsidRPr="00EA1367">
              <w:rPr>
                <w:rFonts w:eastAsia="Times New Roman"/>
                <w:color w:val="000000"/>
                <w:sz w:val="22"/>
                <w:vertAlign w:val="superscript"/>
              </w:rPr>
              <w:t>(1)</w:t>
            </w:r>
          </w:p>
        </w:tc>
        <w:tc>
          <w:tcPr>
            <w:tcW w:w="2539" w:type="dxa"/>
            <w:vAlign w:val="center"/>
          </w:tcPr>
          <w:p w:rsidR="00A417B7" w:rsidRPr="00EA1367" w:rsidRDefault="00A417B7" w:rsidP="00753BE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1367">
              <w:rPr>
                <w:rFonts w:eastAsia="Times New Roman"/>
                <w:color w:val="000000"/>
                <w:sz w:val="18"/>
                <w:szCs w:val="18"/>
              </w:rPr>
              <w:t xml:space="preserve">0.80 </w:t>
            </w:r>
            <w:proofErr w:type="spellStart"/>
            <w:r w:rsidRPr="00EA1367">
              <w:rPr>
                <w:rFonts w:eastAsia="Times New Roman"/>
                <w:color w:val="000000"/>
                <w:sz w:val="18"/>
                <w:szCs w:val="18"/>
              </w:rPr>
              <w:t>ppm</w:t>
            </w:r>
            <w:proofErr w:type="spellEnd"/>
          </w:p>
        </w:tc>
      </w:tr>
    </w:tbl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 xml:space="preserve">(1) </w:t>
      </w:r>
      <w:r w:rsidRPr="00EA1367">
        <w:rPr>
          <w:rFonts w:eastAsia="Times New Roman"/>
          <w:color w:val="000000"/>
          <w:sz w:val="18"/>
          <w:szCs w:val="18"/>
        </w:rPr>
        <w:t>Not to be exceeded more than once per year.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(2)</w:t>
      </w:r>
      <w:r w:rsidRPr="00EA1367">
        <w:rPr>
          <w:rFonts w:eastAsia="Times New Roman"/>
          <w:color w:val="000000"/>
          <w:sz w:val="18"/>
          <w:szCs w:val="18"/>
        </w:rPr>
        <w:t xml:space="preserve"> Final rule signed October 15, 2008.  Standard is not to be exceeded. 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(3)</w:t>
      </w:r>
      <w:r w:rsidRPr="00EA1367">
        <w:rPr>
          <w:rFonts w:eastAsia="Times New Roman"/>
          <w:color w:val="000000"/>
          <w:sz w:val="18"/>
          <w:szCs w:val="18"/>
        </w:rPr>
        <w:t xml:space="preserve"> To attain this standard, the 3-year average of the 98th percentile of the daily maximum 1-hour average at each monitor within an area must not exceed 0.100 </w:t>
      </w:r>
      <w:proofErr w:type="spellStart"/>
      <w:r w:rsidRPr="00EA1367">
        <w:rPr>
          <w:rFonts w:eastAsia="Times New Roman"/>
          <w:color w:val="000000"/>
          <w:sz w:val="18"/>
          <w:szCs w:val="18"/>
        </w:rPr>
        <w:t>ppm</w:t>
      </w:r>
      <w:proofErr w:type="spellEnd"/>
      <w:r w:rsidRPr="00EA1367">
        <w:rPr>
          <w:rFonts w:eastAsia="Times New Roman"/>
          <w:color w:val="000000"/>
          <w:sz w:val="18"/>
          <w:szCs w:val="18"/>
        </w:rPr>
        <w:t xml:space="preserve">.  Final primary standard published in FR on February 9, 2010, and is effective on April 12, 2010. </w:t>
      </w:r>
      <w:proofErr w:type="gramStart"/>
      <w:r w:rsidRPr="00EA1367">
        <w:rPr>
          <w:rFonts w:eastAsia="Times New Roman"/>
          <w:color w:val="000000"/>
          <w:sz w:val="18"/>
          <w:szCs w:val="18"/>
        </w:rPr>
        <w:t>Secondary standard under review.</w:t>
      </w:r>
      <w:proofErr w:type="gramEnd"/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(4)</w:t>
      </w:r>
      <w:r w:rsidRPr="00EA1367">
        <w:rPr>
          <w:rFonts w:eastAsia="Times New Roman"/>
          <w:color w:val="000000"/>
          <w:sz w:val="18"/>
          <w:szCs w:val="18"/>
        </w:rPr>
        <w:t xml:space="preserve"> Not to be exceeded more than once per year on average over 3 years.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(5)</w:t>
      </w:r>
      <w:r w:rsidRPr="00EA1367">
        <w:rPr>
          <w:rFonts w:eastAsia="Times New Roman"/>
          <w:color w:val="000000"/>
          <w:sz w:val="18"/>
          <w:szCs w:val="18"/>
        </w:rPr>
        <w:t xml:space="preserve"> To attain this standard, the 3-year average of the weighted annual mean PM2.5 concentrations from single or multiple community-oriented monitors must not exceed </w:t>
      </w:r>
      <w:proofErr w:type="gramStart"/>
      <w:r w:rsidRPr="00EA1367">
        <w:rPr>
          <w:rFonts w:eastAsia="Times New Roman"/>
          <w:color w:val="000000"/>
          <w:sz w:val="18"/>
          <w:szCs w:val="18"/>
        </w:rPr>
        <w:t>15.0 µg/m3</w:t>
      </w:r>
      <w:proofErr w:type="gramEnd"/>
      <w:r w:rsidRPr="00EA1367">
        <w:rPr>
          <w:rFonts w:eastAsia="Times New Roman"/>
          <w:color w:val="000000"/>
          <w:sz w:val="18"/>
          <w:szCs w:val="18"/>
        </w:rPr>
        <w:t>.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(6)</w:t>
      </w:r>
      <w:r w:rsidRPr="00EA1367">
        <w:rPr>
          <w:rFonts w:eastAsia="Times New Roman"/>
          <w:color w:val="000000"/>
          <w:sz w:val="18"/>
          <w:szCs w:val="18"/>
        </w:rPr>
        <w:t xml:space="preserve"> To attain this standard, the 3-year average of the 98th percentile of 24-hour concentrations at each population-oriented monitor within an area must not exceed </w:t>
      </w:r>
      <w:proofErr w:type="gramStart"/>
      <w:r w:rsidRPr="00EA1367">
        <w:rPr>
          <w:rFonts w:eastAsia="Times New Roman"/>
          <w:color w:val="000000"/>
          <w:sz w:val="18"/>
          <w:szCs w:val="18"/>
        </w:rPr>
        <w:t>35 µg/m3 (effective December 17, 2006)</w:t>
      </w:r>
      <w:proofErr w:type="gramEnd"/>
      <w:r w:rsidRPr="00EA1367">
        <w:rPr>
          <w:rFonts w:eastAsia="Times New Roman"/>
          <w:color w:val="000000"/>
          <w:sz w:val="18"/>
          <w:szCs w:val="18"/>
        </w:rPr>
        <w:t>.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(7)</w:t>
      </w:r>
      <w:r w:rsidRPr="00EA1367">
        <w:rPr>
          <w:rFonts w:eastAsia="Times New Roman"/>
          <w:color w:val="000000"/>
          <w:sz w:val="18"/>
          <w:szCs w:val="18"/>
        </w:rPr>
        <w:t xml:space="preserve"> To attain this standard, the 3-year average of the fourth-highest daily maximum 8-hour average ozone concentrations measured at each monitor within an area over each year must not exceed 0.075 </w:t>
      </w:r>
      <w:proofErr w:type="spellStart"/>
      <w:r w:rsidRPr="00EA1367">
        <w:rPr>
          <w:rFonts w:eastAsia="Times New Roman"/>
          <w:color w:val="000000"/>
          <w:sz w:val="18"/>
          <w:szCs w:val="18"/>
        </w:rPr>
        <w:t>ppm</w:t>
      </w:r>
      <w:proofErr w:type="spellEnd"/>
      <w:r w:rsidRPr="00EA1367">
        <w:rPr>
          <w:rFonts w:eastAsia="Times New Roman"/>
          <w:color w:val="000000"/>
          <w:sz w:val="18"/>
          <w:szCs w:val="18"/>
        </w:rPr>
        <w:t>.  (</w:t>
      </w:r>
      <w:proofErr w:type="gramStart"/>
      <w:r w:rsidRPr="00EA1367">
        <w:rPr>
          <w:rFonts w:eastAsia="Times New Roman"/>
          <w:color w:val="000000"/>
          <w:sz w:val="18"/>
          <w:szCs w:val="18"/>
        </w:rPr>
        <w:t>effective</w:t>
      </w:r>
      <w:proofErr w:type="gramEnd"/>
      <w:r w:rsidRPr="00EA1367">
        <w:rPr>
          <w:rFonts w:eastAsia="Times New Roman"/>
          <w:color w:val="000000"/>
          <w:sz w:val="18"/>
          <w:szCs w:val="18"/>
        </w:rPr>
        <w:t xml:space="preserve"> May 27, 2008)   EPA is in the process of reconsidering this standard.</w:t>
      </w:r>
    </w:p>
    <w:p w:rsidR="00A417B7" w:rsidRPr="00EA1367" w:rsidRDefault="00A417B7" w:rsidP="00955A0A">
      <w:pPr>
        <w:ind w:left="-360"/>
        <w:rPr>
          <w:rFonts w:eastAsia="Times New Roman"/>
          <w:color w:val="000000"/>
          <w:sz w:val="18"/>
          <w:szCs w:val="18"/>
        </w:rPr>
      </w:pPr>
      <w:r w:rsidRPr="00EA1367">
        <w:rPr>
          <w:rFonts w:eastAsia="Times New Roman"/>
          <w:color w:val="000000"/>
          <w:sz w:val="16"/>
          <w:szCs w:val="16"/>
        </w:rPr>
        <w:t>(8)</w:t>
      </w:r>
      <w:r w:rsidRPr="00EA1367">
        <w:rPr>
          <w:rFonts w:eastAsia="Times New Roman"/>
          <w:color w:val="000000"/>
          <w:sz w:val="18"/>
          <w:szCs w:val="18"/>
        </w:rPr>
        <w:t xml:space="preserve"> (</w:t>
      </w:r>
      <w:proofErr w:type="gramStart"/>
      <w:r w:rsidRPr="00EA1367">
        <w:rPr>
          <w:rFonts w:eastAsia="Times New Roman"/>
          <w:color w:val="000000"/>
          <w:sz w:val="18"/>
          <w:szCs w:val="18"/>
        </w:rPr>
        <w:t>a</w:t>
      </w:r>
      <w:proofErr w:type="gramEnd"/>
      <w:r w:rsidRPr="00EA1367">
        <w:rPr>
          <w:rFonts w:eastAsia="Times New Roman"/>
          <w:color w:val="000000"/>
          <w:sz w:val="18"/>
          <w:szCs w:val="18"/>
        </w:rPr>
        <w:t xml:space="preserve">) EPA revoked the </w:t>
      </w:r>
      <w:r w:rsidRPr="00EA1367">
        <w:rPr>
          <w:rFonts w:eastAsia="Times New Roman"/>
          <w:sz w:val="18"/>
        </w:rPr>
        <w:t>1-hour ozone standard</w:t>
      </w:r>
      <w:r w:rsidRPr="00EA1367">
        <w:rPr>
          <w:rFonts w:eastAsia="Times New Roman"/>
          <w:color w:val="000000"/>
          <w:sz w:val="18"/>
          <w:szCs w:val="18"/>
        </w:rPr>
        <w:t xml:space="preserve"> in all areas, although some areas have continuing obligations under that standard ("anti-backsliding").</w:t>
      </w:r>
      <w:r w:rsidRPr="00EA1367">
        <w:rPr>
          <w:rFonts w:eastAsia="Times New Roman"/>
          <w:color w:val="000000"/>
          <w:sz w:val="18"/>
          <w:szCs w:val="18"/>
        </w:rPr>
        <w:br/>
        <w:t xml:space="preserve">     (b) The standard is attained when the expected number of days per calendar year with maximum hourly average concentrations above 0.12 </w:t>
      </w:r>
      <w:proofErr w:type="spellStart"/>
      <w:r w:rsidRPr="00EA1367">
        <w:rPr>
          <w:rFonts w:eastAsia="Times New Roman"/>
          <w:color w:val="000000"/>
          <w:sz w:val="18"/>
          <w:szCs w:val="18"/>
        </w:rPr>
        <w:t>ppm</w:t>
      </w:r>
      <w:proofErr w:type="spellEnd"/>
      <w:r w:rsidRPr="00EA1367">
        <w:rPr>
          <w:rFonts w:eastAsia="Times New Roman"/>
          <w:color w:val="000000"/>
          <w:sz w:val="18"/>
          <w:szCs w:val="18"/>
        </w:rPr>
        <w:t xml:space="preserve"> is </w:t>
      </w:r>
      <w:r w:rsidRPr="00EA1367">
        <w:rPr>
          <w:rFonts w:eastAsia="Times New Roman"/>
          <w:color w:val="000000"/>
          <w:sz w:val="18"/>
          <w:szCs w:val="18"/>
          <w:u w:val="single"/>
        </w:rPr>
        <w:t>&lt;</w:t>
      </w:r>
      <w:r w:rsidRPr="00EA1367">
        <w:rPr>
          <w:rFonts w:eastAsia="Times New Roman"/>
          <w:color w:val="000000"/>
          <w:sz w:val="18"/>
          <w:szCs w:val="18"/>
        </w:rPr>
        <w:t xml:space="preserve"> 1.</w:t>
      </w:r>
    </w:p>
    <w:p w:rsidR="00E7717A" w:rsidRPr="00EA1367" w:rsidRDefault="00A417B7" w:rsidP="00B200AC">
      <w:pPr>
        <w:ind w:left="-360"/>
        <w:rPr>
          <w:sz w:val="32"/>
          <w:szCs w:val="32"/>
        </w:rPr>
      </w:pPr>
      <w:r w:rsidRPr="00EA1367">
        <w:rPr>
          <w:rFonts w:eastAsia="Times New Roman"/>
          <w:color w:val="000000"/>
          <w:sz w:val="18"/>
          <w:szCs w:val="18"/>
        </w:rPr>
        <w:t xml:space="preserve">(9) </w:t>
      </w:r>
      <w:r w:rsidRPr="00EA1367">
        <w:rPr>
          <w:color w:val="000000"/>
          <w:sz w:val="18"/>
          <w:szCs w:val="18"/>
        </w:rPr>
        <w:t>99th percentile of 1-hour daily maximum concentrations, averaged over 3 years</w:t>
      </w:r>
      <w:r w:rsidRPr="00EA1367">
        <w:rPr>
          <w:sz w:val="18"/>
          <w:szCs w:val="18"/>
        </w:rPr>
        <w:t>.</w:t>
      </w:r>
    </w:p>
    <w:sectPr w:rsidR="00E7717A" w:rsidRPr="00EA1367" w:rsidSect="0015277B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CA" w:rsidRDefault="00C151CA" w:rsidP="00753BEF">
      <w:r>
        <w:separator/>
      </w:r>
    </w:p>
  </w:endnote>
  <w:endnote w:type="continuationSeparator" w:id="0">
    <w:p w:rsidR="00C151CA" w:rsidRDefault="00C151CA" w:rsidP="007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DG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CA" w:rsidRPr="0015277B" w:rsidRDefault="00C151C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15277B">
      <w:rPr>
        <w:rFonts w:asciiTheme="majorHAnsi" w:hAnsiTheme="majorHAnsi"/>
        <w:sz w:val="20"/>
        <w:szCs w:val="20"/>
      </w:rPr>
      <w:t>ECY 070-</w:t>
    </w:r>
    <w:r w:rsidR="009708CC">
      <w:rPr>
        <w:rFonts w:asciiTheme="majorHAnsi" w:hAnsiTheme="majorHAnsi"/>
        <w:sz w:val="20"/>
        <w:szCs w:val="20"/>
      </w:rPr>
      <w:t>410</w:t>
    </w:r>
    <w:r w:rsidR="00C42288">
      <w:rPr>
        <w:rFonts w:asciiTheme="majorHAnsi" w:hAnsiTheme="majorHAnsi"/>
        <w:sz w:val="20"/>
        <w:szCs w:val="20"/>
      </w:rPr>
      <w:t>e</w:t>
    </w:r>
    <w:r w:rsidRPr="0015277B">
      <w:rPr>
        <w:rFonts w:asciiTheme="majorHAnsi" w:hAnsiTheme="majorHAnsi"/>
        <w:sz w:val="20"/>
        <w:szCs w:val="20"/>
      </w:rPr>
      <w:ptab w:relativeTo="margin" w:alignment="right" w:leader="none"/>
    </w:r>
    <w:r w:rsidRPr="0015277B">
      <w:rPr>
        <w:rFonts w:asciiTheme="majorHAnsi" w:hAnsiTheme="majorHAnsi"/>
        <w:sz w:val="20"/>
        <w:szCs w:val="20"/>
      </w:rPr>
      <w:t xml:space="preserve"> </w:t>
    </w:r>
    <w:r w:rsidR="00371D7B" w:rsidRPr="0015277B">
      <w:rPr>
        <w:sz w:val="20"/>
        <w:szCs w:val="20"/>
      </w:rPr>
      <w:fldChar w:fldCharType="begin"/>
    </w:r>
    <w:r w:rsidRPr="0015277B">
      <w:rPr>
        <w:sz w:val="20"/>
        <w:szCs w:val="20"/>
      </w:rPr>
      <w:instrText xml:space="preserve"> PAGE   \* MERGEFORMAT </w:instrText>
    </w:r>
    <w:r w:rsidR="00371D7B" w:rsidRPr="0015277B">
      <w:rPr>
        <w:sz w:val="20"/>
        <w:szCs w:val="20"/>
      </w:rPr>
      <w:fldChar w:fldCharType="separate"/>
    </w:r>
    <w:r w:rsidR="009708CC" w:rsidRPr="009708CC">
      <w:rPr>
        <w:rFonts w:asciiTheme="majorHAnsi" w:hAnsiTheme="majorHAnsi"/>
        <w:noProof/>
        <w:sz w:val="20"/>
        <w:szCs w:val="20"/>
      </w:rPr>
      <w:t>1</w:t>
    </w:r>
    <w:r w:rsidR="00371D7B" w:rsidRPr="0015277B">
      <w:rPr>
        <w:sz w:val="20"/>
        <w:szCs w:val="20"/>
      </w:rPr>
      <w:fldChar w:fldCharType="end"/>
    </w:r>
  </w:p>
  <w:p w:rsidR="00C151CA" w:rsidRPr="0015277B" w:rsidRDefault="00D36C62" w:rsidP="00FC306D">
    <w:pPr>
      <w:rPr>
        <w:rFonts w:asciiTheme="majorHAnsi" w:hAnsiTheme="majorHAnsi"/>
        <w:sz w:val="20"/>
        <w:szCs w:val="20"/>
      </w:rPr>
    </w:pPr>
    <w:r w:rsidRPr="0015277B">
      <w:rPr>
        <w:rStyle w:val="Emphasis"/>
        <w:rFonts w:ascii="Arial" w:hAnsi="Arial" w:cs="Arial"/>
        <w:i w:val="0"/>
        <w:sz w:val="20"/>
        <w:szCs w:val="20"/>
      </w:rPr>
      <w:t>If you need this document in a format for the visually impaired, call the Air Quality Program at 360-407-6800. Persons with hearing loss can call 711 for Washington Relay Service. Persons with a speech disability can call 877-833-6341.</w:t>
    </w:r>
  </w:p>
  <w:p w:rsidR="00C151CA" w:rsidRDefault="00C15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CA" w:rsidRDefault="00C151CA" w:rsidP="00753BEF">
      <w:r>
        <w:separator/>
      </w:r>
    </w:p>
  </w:footnote>
  <w:footnote w:type="continuationSeparator" w:id="0">
    <w:p w:rsidR="00C151CA" w:rsidRDefault="00C151CA" w:rsidP="00753BEF">
      <w:r>
        <w:continuationSeparator/>
      </w:r>
    </w:p>
  </w:footnote>
  <w:footnote w:id="1">
    <w:p w:rsidR="00C151CA" w:rsidRDefault="00C15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7B88">
        <w:t>http://apps.leg.wa.gov/WAC/default.aspx?cite=173-460-150</w:t>
      </w:r>
    </w:p>
  </w:footnote>
  <w:footnote w:id="2">
    <w:p w:rsidR="00C151CA" w:rsidRDefault="00C15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7B88">
        <w:t>http://www.epa.gov/ttn/scram/dispersion_prefrec.htm#aermod</w:t>
      </w:r>
    </w:p>
  </w:footnote>
  <w:footnote w:id="3">
    <w:p w:rsidR="00C151CA" w:rsidRDefault="00C15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7B88">
        <w:t>http://www.epa.gov/ttn/scram/dispersion_screening.htm#aerscreen</w:t>
      </w:r>
    </w:p>
  </w:footnote>
  <w:footnote w:id="4">
    <w:p w:rsidR="00C151CA" w:rsidRDefault="00C15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http://www.epa.gov/air/criteria.html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4D" w:rsidRDefault="001C2A4D" w:rsidP="001C2A4D">
    <w:pPr>
      <w:pStyle w:val="Header"/>
      <w:jc w:val="both"/>
    </w:pPr>
    <w:r w:rsidRPr="001C2A4D"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580390" cy="670560"/>
          <wp:effectExtent l="19050" t="0" r="0" b="0"/>
          <wp:docPr id="3" name="Picture 0" descr="ECOLOGO-BW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-BW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  <w:r w:rsidR="00955A0A">
      <w:rPr>
        <w:rFonts w:ascii="Arial" w:hAnsi="Arial" w:cs="Arial"/>
        <w:b/>
        <w:sz w:val="32"/>
        <w:szCs w:val="32"/>
      </w:rPr>
      <w:t xml:space="preserve">            </w:t>
    </w:r>
    <w:r w:rsidRPr="00CB635C">
      <w:rPr>
        <w:rFonts w:ascii="Arial" w:hAnsi="Arial" w:cs="Arial"/>
        <w:b/>
        <w:sz w:val="32"/>
        <w:szCs w:val="32"/>
      </w:rPr>
      <w:t>Ambient Air Impacts Analyses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5E2666"/>
    <w:multiLevelType w:val="multilevel"/>
    <w:tmpl w:val="9178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B065AB"/>
    <w:multiLevelType w:val="hybridMultilevel"/>
    <w:tmpl w:val="38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3B4"/>
    <w:multiLevelType w:val="hybridMultilevel"/>
    <w:tmpl w:val="F468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5C9"/>
    <w:multiLevelType w:val="hybridMultilevel"/>
    <w:tmpl w:val="30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4F7"/>
    <w:multiLevelType w:val="multilevel"/>
    <w:tmpl w:val="40E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D30"/>
    <w:multiLevelType w:val="hybridMultilevel"/>
    <w:tmpl w:val="47BC5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975482"/>
    <w:multiLevelType w:val="hybridMultilevel"/>
    <w:tmpl w:val="0368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2342"/>
    <w:multiLevelType w:val="hybridMultilevel"/>
    <w:tmpl w:val="21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55D"/>
    <w:multiLevelType w:val="hybridMultilevel"/>
    <w:tmpl w:val="93F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E0"/>
    <w:multiLevelType w:val="hybridMultilevel"/>
    <w:tmpl w:val="1A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D9A"/>
    <w:multiLevelType w:val="hybridMultilevel"/>
    <w:tmpl w:val="A17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2D93"/>
    <w:multiLevelType w:val="hybridMultilevel"/>
    <w:tmpl w:val="8B000F70"/>
    <w:lvl w:ilvl="0" w:tplc="99F00596">
      <w:numFmt w:val="bullet"/>
      <w:lvlText w:val="•"/>
      <w:lvlJc w:val="left"/>
      <w:pPr>
        <w:ind w:left="720" w:hanging="360"/>
      </w:pPr>
      <w:rPr>
        <w:rFonts w:ascii="GJDGEB+TimesNewRoman,Bold" w:eastAsiaTheme="minorHAnsi" w:hAnsi="GJDGEB+TimesNewRoman,Bold" w:cs="GJDGEB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41D52"/>
    <w:multiLevelType w:val="hybridMultilevel"/>
    <w:tmpl w:val="25D02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A28FD"/>
    <w:multiLevelType w:val="hybridMultilevel"/>
    <w:tmpl w:val="41E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11EA9"/>
    <w:multiLevelType w:val="hybridMultilevel"/>
    <w:tmpl w:val="C95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322E5"/>
    <w:multiLevelType w:val="hybridMultilevel"/>
    <w:tmpl w:val="E86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F3304"/>
    <w:multiLevelType w:val="hybridMultilevel"/>
    <w:tmpl w:val="11F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F6B53"/>
    <w:multiLevelType w:val="hybridMultilevel"/>
    <w:tmpl w:val="199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3358"/>
    <w:multiLevelType w:val="hybridMultilevel"/>
    <w:tmpl w:val="C23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0CAD"/>
    <w:multiLevelType w:val="hybridMultilevel"/>
    <w:tmpl w:val="A05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A17A3"/>
    <w:multiLevelType w:val="hybridMultilevel"/>
    <w:tmpl w:val="28C2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71257A"/>
    <w:multiLevelType w:val="hybridMultilevel"/>
    <w:tmpl w:val="F71A2C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6C6658A6"/>
    <w:multiLevelType w:val="hybridMultilevel"/>
    <w:tmpl w:val="D0F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388D"/>
    <w:multiLevelType w:val="hybridMultilevel"/>
    <w:tmpl w:val="619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F013D"/>
    <w:multiLevelType w:val="hybridMultilevel"/>
    <w:tmpl w:val="65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E0A9D"/>
    <w:multiLevelType w:val="hybridMultilevel"/>
    <w:tmpl w:val="C2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7"/>
  </w:num>
  <w:num w:numId="8">
    <w:abstractNumId w:val="24"/>
  </w:num>
  <w:num w:numId="9">
    <w:abstractNumId w:val="16"/>
  </w:num>
  <w:num w:numId="10">
    <w:abstractNumId w:val="18"/>
  </w:num>
  <w:num w:numId="11">
    <w:abstractNumId w:val="15"/>
  </w:num>
  <w:num w:numId="12">
    <w:abstractNumId w:val="25"/>
  </w:num>
  <w:num w:numId="13">
    <w:abstractNumId w:val="0"/>
  </w:num>
  <w:num w:numId="14">
    <w:abstractNumId w:val="20"/>
  </w:num>
  <w:num w:numId="15">
    <w:abstractNumId w:val="4"/>
  </w:num>
  <w:num w:numId="16">
    <w:abstractNumId w:val="14"/>
  </w:num>
  <w:num w:numId="17">
    <w:abstractNumId w:val="19"/>
  </w:num>
  <w:num w:numId="18">
    <w:abstractNumId w:val="9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2911"/>
    <w:rsid w:val="0001071D"/>
    <w:rsid w:val="000140DB"/>
    <w:rsid w:val="00026DDD"/>
    <w:rsid w:val="00041C53"/>
    <w:rsid w:val="00043187"/>
    <w:rsid w:val="00046032"/>
    <w:rsid w:val="00046779"/>
    <w:rsid w:val="00053A10"/>
    <w:rsid w:val="00056B77"/>
    <w:rsid w:val="000656A7"/>
    <w:rsid w:val="00076FDB"/>
    <w:rsid w:val="00093479"/>
    <w:rsid w:val="000B14F0"/>
    <w:rsid w:val="000C4D6E"/>
    <w:rsid w:val="000D0145"/>
    <w:rsid w:val="000D04AA"/>
    <w:rsid w:val="000E20EC"/>
    <w:rsid w:val="000E3B5F"/>
    <w:rsid w:val="000F523D"/>
    <w:rsid w:val="0010014E"/>
    <w:rsid w:val="00101180"/>
    <w:rsid w:val="00107DE5"/>
    <w:rsid w:val="001127C8"/>
    <w:rsid w:val="001273BF"/>
    <w:rsid w:val="001366F3"/>
    <w:rsid w:val="00143D20"/>
    <w:rsid w:val="001465C4"/>
    <w:rsid w:val="0015277B"/>
    <w:rsid w:val="00154478"/>
    <w:rsid w:val="00155EE1"/>
    <w:rsid w:val="00160D70"/>
    <w:rsid w:val="001652A8"/>
    <w:rsid w:val="001824C5"/>
    <w:rsid w:val="00183F0A"/>
    <w:rsid w:val="001A10E7"/>
    <w:rsid w:val="001A4F2F"/>
    <w:rsid w:val="001A628A"/>
    <w:rsid w:val="001B1044"/>
    <w:rsid w:val="001C2A4D"/>
    <w:rsid w:val="001C4909"/>
    <w:rsid w:val="001C7B88"/>
    <w:rsid w:val="001D3C08"/>
    <w:rsid w:val="001D7F98"/>
    <w:rsid w:val="001E473C"/>
    <w:rsid w:val="001F2014"/>
    <w:rsid w:val="001F5268"/>
    <w:rsid w:val="00201040"/>
    <w:rsid w:val="00211F7B"/>
    <w:rsid w:val="00217271"/>
    <w:rsid w:val="0022207B"/>
    <w:rsid w:val="00222681"/>
    <w:rsid w:val="00226302"/>
    <w:rsid w:val="002402CD"/>
    <w:rsid w:val="002447C7"/>
    <w:rsid w:val="002507EA"/>
    <w:rsid w:val="00263330"/>
    <w:rsid w:val="00282BCF"/>
    <w:rsid w:val="00284ABA"/>
    <w:rsid w:val="002A03F1"/>
    <w:rsid w:val="002A085A"/>
    <w:rsid w:val="002A386E"/>
    <w:rsid w:val="002D02A9"/>
    <w:rsid w:val="002F28D7"/>
    <w:rsid w:val="003065DF"/>
    <w:rsid w:val="00316F25"/>
    <w:rsid w:val="003258E6"/>
    <w:rsid w:val="00335508"/>
    <w:rsid w:val="00371D7B"/>
    <w:rsid w:val="00373279"/>
    <w:rsid w:val="0037366E"/>
    <w:rsid w:val="00390BBB"/>
    <w:rsid w:val="003A5729"/>
    <w:rsid w:val="003C4548"/>
    <w:rsid w:val="003C7C93"/>
    <w:rsid w:val="003D5374"/>
    <w:rsid w:val="003D604F"/>
    <w:rsid w:val="003F3A27"/>
    <w:rsid w:val="003F4CD9"/>
    <w:rsid w:val="00415BD9"/>
    <w:rsid w:val="004226B8"/>
    <w:rsid w:val="004236F6"/>
    <w:rsid w:val="00424B0D"/>
    <w:rsid w:val="004315B1"/>
    <w:rsid w:val="004360AA"/>
    <w:rsid w:val="00445301"/>
    <w:rsid w:val="0045658C"/>
    <w:rsid w:val="00456B39"/>
    <w:rsid w:val="00475441"/>
    <w:rsid w:val="00485C2F"/>
    <w:rsid w:val="004933C6"/>
    <w:rsid w:val="004A6669"/>
    <w:rsid w:val="004B1403"/>
    <w:rsid w:val="004B5143"/>
    <w:rsid w:val="004C0412"/>
    <w:rsid w:val="004C12BC"/>
    <w:rsid w:val="004C72B6"/>
    <w:rsid w:val="004D7EC9"/>
    <w:rsid w:val="004F0923"/>
    <w:rsid w:val="00500636"/>
    <w:rsid w:val="00510DAB"/>
    <w:rsid w:val="00510F03"/>
    <w:rsid w:val="00513D6B"/>
    <w:rsid w:val="005234EA"/>
    <w:rsid w:val="00525077"/>
    <w:rsid w:val="005453DF"/>
    <w:rsid w:val="005575A7"/>
    <w:rsid w:val="00560257"/>
    <w:rsid w:val="0056338C"/>
    <w:rsid w:val="00595A42"/>
    <w:rsid w:val="005972A3"/>
    <w:rsid w:val="005A6F90"/>
    <w:rsid w:val="005C26BE"/>
    <w:rsid w:val="005D2E34"/>
    <w:rsid w:val="005D3CBD"/>
    <w:rsid w:val="005F3A61"/>
    <w:rsid w:val="00600EFC"/>
    <w:rsid w:val="00635D51"/>
    <w:rsid w:val="0063644F"/>
    <w:rsid w:val="00641329"/>
    <w:rsid w:val="00656A90"/>
    <w:rsid w:val="006640CA"/>
    <w:rsid w:val="006A2911"/>
    <w:rsid w:val="006D7354"/>
    <w:rsid w:val="006F06C0"/>
    <w:rsid w:val="006F374D"/>
    <w:rsid w:val="00700B2B"/>
    <w:rsid w:val="00741733"/>
    <w:rsid w:val="00753BEF"/>
    <w:rsid w:val="00766598"/>
    <w:rsid w:val="00767B3C"/>
    <w:rsid w:val="00780F72"/>
    <w:rsid w:val="00797FAB"/>
    <w:rsid w:val="007A2F95"/>
    <w:rsid w:val="007D0EE3"/>
    <w:rsid w:val="007E18F9"/>
    <w:rsid w:val="007F6841"/>
    <w:rsid w:val="00814631"/>
    <w:rsid w:val="008427CD"/>
    <w:rsid w:val="00842ECB"/>
    <w:rsid w:val="00860A3F"/>
    <w:rsid w:val="00867054"/>
    <w:rsid w:val="008713DC"/>
    <w:rsid w:val="00894949"/>
    <w:rsid w:val="008962E5"/>
    <w:rsid w:val="00897598"/>
    <w:rsid w:val="008B6C03"/>
    <w:rsid w:val="008D0B18"/>
    <w:rsid w:val="008D2C8D"/>
    <w:rsid w:val="00900F8B"/>
    <w:rsid w:val="00907F13"/>
    <w:rsid w:val="00913FC2"/>
    <w:rsid w:val="00922DB6"/>
    <w:rsid w:val="009314B6"/>
    <w:rsid w:val="00933F99"/>
    <w:rsid w:val="00953D6C"/>
    <w:rsid w:val="00955A0A"/>
    <w:rsid w:val="009708CC"/>
    <w:rsid w:val="009721F7"/>
    <w:rsid w:val="009A70AC"/>
    <w:rsid w:val="009A7911"/>
    <w:rsid w:val="009B0192"/>
    <w:rsid w:val="009C3808"/>
    <w:rsid w:val="009C5814"/>
    <w:rsid w:val="009C6D9F"/>
    <w:rsid w:val="009C7C62"/>
    <w:rsid w:val="009D33A7"/>
    <w:rsid w:val="009D7748"/>
    <w:rsid w:val="009F1EDF"/>
    <w:rsid w:val="00A02BD1"/>
    <w:rsid w:val="00A13DE1"/>
    <w:rsid w:val="00A16546"/>
    <w:rsid w:val="00A21396"/>
    <w:rsid w:val="00A25266"/>
    <w:rsid w:val="00A2663E"/>
    <w:rsid w:val="00A36A38"/>
    <w:rsid w:val="00A417B7"/>
    <w:rsid w:val="00A57516"/>
    <w:rsid w:val="00A57C29"/>
    <w:rsid w:val="00A74C34"/>
    <w:rsid w:val="00A84586"/>
    <w:rsid w:val="00A866E5"/>
    <w:rsid w:val="00A91888"/>
    <w:rsid w:val="00A928DD"/>
    <w:rsid w:val="00AA725C"/>
    <w:rsid w:val="00AB1F46"/>
    <w:rsid w:val="00AC0B94"/>
    <w:rsid w:val="00AD12E0"/>
    <w:rsid w:val="00AE4277"/>
    <w:rsid w:val="00AE7129"/>
    <w:rsid w:val="00B03E8F"/>
    <w:rsid w:val="00B12519"/>
    <w:rsid w:val="00B1589F"/>
    <w:rsid w:val="00B160BD"/>
    <w:rsid w:val="00B200AC"/>
    <w:rsid w:val="00B44EAE"/>
    <w:rsid w:val="00B538B9"/>
    <w:rsid w:val="00B92A19"/>
    <w:rsid w:val="00B92CB2"/>
    <w:rsid w:val="00B973C3"/>
    <w:rsid w:val="00B97D57"/>
    <w:rsid w:val="00BC3196"/>
    <w:rsid w:val="00BE073F"/>
    <w:rsid w:val="00C070E4"/>
    <w:rsid w:val="00C1480B"/>
    <w:rsid w:val="00C151CA"/>
    <w:rsid w:val="00C173E7"/>
    <w:rsid w:val="00C233AF"/>
    <w:rsid w:val="00C37B72"/>
    <w:rsid w:val="00C42288"/>
    <w:rsid w:val="00C614FC"/>
    <w:rsid w:val="00C65DF5"/>
    <w:rsid w:val="00C77072"/>
    <w:rsid w:val="00C81438"/>
    <w:rsid w:val="00C92553"/>
    <w:rsid w:val="00CA4AAF"/>
    <w:rsid w:val="00CB635C"/>
    <w:rsid w:val="00CC063F"/>
    <w:rsid w:val="00CC45DB"/>
    <w:rsid w:val="00CE4864"/>
    <w:rsid w:val="00D01B98"/>
    <w:rsid w:val="00D041C9"/>
    <w:rsid w:val="00D221FC"/>
    <w:rsid w:val="00D36C62"/>
    <w:rsid w:val="00D37BB6"/>
    <w:rsid w:val="00D726C2"/>
    <w:rsid w:val="00D878AE"/>
    <w:rsid w:val="00D90527"/>
    <w:rsid w:val="00D91C39"/>
    <w:rsid w:val="00DC57E3"/>
    <w:rsid w:val="00DD5913"/>
    <w:rsid w:val="00DD6C3C"/>
    <w:rsid w:val="00DE7AEC"/>
    <w:rsid w:val="00DF7D6C"/>
    <w:rsid w:val="00E1272E"/>
    <w:rsid w:val="00E2020F"/>
    <w:rsid w:val="00E25592"/>
    <w:rsid w:val="00E7717A"/>
    <w:rsid w:val="00E90336"/>
    <w:rsid w:val="00E9502C"/>
    <w:rsid w:val="00EA1367"/>
    <w:rsid w:val="00EA7D4B"/>
    <w:rsid w:val="00EB7377"/>
    <w:rsid w:val="00EC2542"/>
    <w:rsid w:val="00EC675F"/>
    <w:rsid w:val="00ED2720"/>
    <w:rsid w:val="00EE2ED7"/>
    <w:rsid w:val="00EE4CEB"/>
    <w:rsid w:val="00EF5B34"/>
    <w:rsid w:val="00F008BD"/>
    <w:rsid w:val="00F1585F"/>
    <w:rsid w:val="00F25246"/>
    <w:rsid w:val="00F50242"/>
    <w:rsid w:val="00F701EA"/>
    <w:rsid w:val="00F8770F"/>
    <w:rsid w:val="00F91784"/>
    <w:rsid w:val="00F921EB"/>
    <w:rsid w:val="00FB573D"/>
    <w:rsid w:val="00FC306D"/>
    <w:rsid w:val="00FC5368"/>
    <w:rsid w:val="00FD0210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F"/>
  </w:style>
  <w:style w:type="paragraph" w:styleId="Heading1">
    <w:name w:val="heading 1"/>
    <w:basedOn w:val="Normal"/>
    <w:next w:val="Normal"/>
    <w:link w:val="Heading1Char"/>
    <w:uiPriority w:val="9"/>
    <w:qFormat/>
    <w:rsid w:val="00226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1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E5"/>
    <w:rPr>
      <w:b/>
      <w:bCs/>
    </w:rPr>
  </w:style>
  <w:style w:type="paragraph" w:styleId="Revision">
    <w:name w:val="Revision"/>
    <w:hidden/>
    <w:uiPriority w:val="99"/>
    <w:semiHidden/>
    <w:rsid w:val="00A866E5"/>
  </w:style>
  <w:style w:type="paragraph" w:customStyle="1" w:styleId="Default">
    <w:name w:val="Default"/>
    <w:rsid w:val="001A628A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2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ion1">
    <w:name w:val="caption1"/>
    <w:basedOn w:val="Normal"/>
    <w:rsid w:val="000D0145"/>
    <w:pPr>
      <w:spacing w:line="312" w:lineRule="atLeast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EF"/>
    <w:rPr>
      <w:vertAlign w:val="superscript"/>
    </w:rPr>
  </w:style>
  <w:style w:type="table" w:styleId="TableGrid">
    <w:name w:val="Table Grid"/>
    <w:basedOn w:val="TableNormal"/>
    <w:uiPriority w:val="59"/>
    <w:rsid w:val="00753B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878A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AE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5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16"/>
  </w:style>
  <w:style w:type="paragraph" w:styleId="Footer">
    <w:name w:val="footer"/>
    <w:basedOn w:val="Normal"/>
    <w:link w:val="FooterChar"/>
    <w:uiPriority w:val="99"/>
    <w:unhideWhenUsed/>
    <w:rsid w:val="00A5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16"/>
  </w:style>
  <w:style w:type="character" w:styleId="Emphasis">
    <w:name w:val="Emphasis"/>
    <w:basedOn w:val="DefaultParagraphFont"/>
    <w:qFormat/>
    <w:rsid w:val="00D36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a.gov/scram001/dispersion_screening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a.gov/scram001/dispersion_prefrec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173-460-1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a.gov/air/criter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137KB</OtherSize>
    <OtherNumberOfPages xmlns="50388d1e-1a9a-4f36-844f-06a4a43be12a" xsi:nil="true"/>
    <OtherFileType xmlns="50388d1e-1a9a-4f36-844f-06a4a43be12a">docx</OtherFileType>
    <OnlineNumber xmlns="50388d1e-1a9a-4f36-844f-06a4a43be12a">ECY070410E</Online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0CEC7D-3C27-4392-A9D2-AFA706412066}"/>
</file>

<file path=customXml/itemProps2.xml><?xml version="1.0" encoding="utf-8"?>
<ds:datastoreItem xmlns:ds="http://schemas.openxmlformats.org/officeDocument/2006/customXml" ds:itemID="{8DE39C1C-4D89-4D24-9E9F-53C9064E0DCF}"/>
</file>

<file path=customXml/itemProps3.xml><?xml version="1.0" encoding="utf-8"?>
<ds:datastoreItem xmlns:ds="http://schemas.openxmlformats.org/officeDocument/2006/customXml" ds:itemID="{EBF87742-3211-4F49-9CC0-D373E07E5165}"/>
</file>

<file path=customXml/itemProps4.xml><?xml version="1.0" encoding="utf-8"?>
<ds:datastoreItem xmlns:ds="http://schemas.openxmlformats.org/officeDocument/2006/customXml" ds:itemID="{F8618A9A-0D70-4EDB-B82C-5DA01B221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rhib461</dc:creator>
  <cp:lastModifiedBy>tdah461</cp:lastModifiedBy>
  <cp:revision>19</cp:revision>
  <dcterms:created xsi:type="dcterms:W3CDTF">2013-01-28T18:43:00Z</dcterms:created>
  <dcterms:modified xsi:type="dcterms:W3CDTF">2013-02-06T20:36:00Z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ECY070410EOther.docx</vt:lpwstr>
  </property>
</Properties>
</file>